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54603" w14:textId="5CD9D3D0" w:rsidR="00A0373C" w:rsidRDefault="00FD629D" w:rsidP="0081516D">
      <w:pPr>
        <w:tabs>
          <w:tab w:val="left" w:pos="1074"/>
        </w:tabs>
      </w:pPr>
      <w:r>
        <w:rPr>
          <w:noProof/>
        </w:rPr>
        <w:drawing>
          <wp:anchor distT="0" distB="0" distL="114300" distR="114300" simplePos="0" relativeHeight="251658240" behindDoc="0" locked="0" layoutInCell="1" allowOverlap="1" wp14:anchorId="2B9FBB3D" wp14:editId="251E92A6">
            <wp:simplePos x="0" y="0"/>
            <wp:positionH relativeFrom="page">
              <wp:posOffset>0</wp:posOffset>
            </wp:positionH>
            <wp:positionV relativeFrom="page">
              <wp:posOffset>1</wp:posOffset>
            </wp:positionV>
            <wp:extent cx="7559400" cy="10684798"/>
            <wp:effectExtent l="0" t="0" r="0" b="0"/>
            <wp:wrapNone/>
            <wp:docPr id="1" name="Immagine 1" descr="Cover image&#10;&#10;Free &amp; Equal logo, Australian Human Rights Commission logo at the top with 'Respect, Protect, Fulfill' circle artwork in the centre.&#10;&#10;Title: Free &amp; Equal Position paper: A Human Rights Act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over image&#10;&#10;Free &amp; Equal logo, Australian Human Rights Commission logo at the top with 'Respect, Protect, Fulfill' circle artwork in the centre.&#10;&#10;Title: Free &amp; Equal Position paper: A Human Rights Act for Austral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2725A7DF" w14:textId="77777777" w:rsidR="00FE4F1D" w:rsidRDefault="0081516D" w:rsidP="00FE4F1D">
      <w:pPr>
        <w:pStyle w:val="CopyrightText"/>
      </w:pPr>
      <w:r>
        <w:br w:type="page"/>
      </w:r>
      <w:r w:rsidR="00FE4F1D">
        <w:lastRenderedPageBreak/>
        <w:t>© Australian Human Rights Commission 2022.</w:t>
      </w:r>
    </w:p>
    <w:p w14:paraId="6AA5EB0E" w14:textId="77777777" w:rsidR="00FE4F1D" w:rsidRDefault="00FE4F1D" w:rsidP="00FE4F1D">
      <w:pPr>
        <w:pStyle w:val="CopyrightText"/>
      </w:pPr>
      <w:r>
        <w:t>The Australian Human Rights Commission encourages the dissemination and exchange of information presented in this publication.</w:t>
      </w:r>
    </w:p>
    <w:p w14:paraId="7A375824" w14:textId="77777777" w:rsidR="00FE4F1D" w:rsidRPr="00A011D1" w:rsidRDefault="00FE4F1D" w:rsidP="00FE4F1D">
      <w:r w:rsidRPr="00A011D1">
        <w:rPr>
          <w:noProof/>
        </w:rPr>
        <w:drawing>
          <wp:inline distT="0" distB="0" distL="0" distR="0" wp14:anchorId="51315147" wp14:editId="6C07F605">
            <wp:extent cx="1066800" cy="342900"/>
            <wp:effectExtent l="0" t="0" r="0" b="0"/>
            <wp:docPr id="15" name="Immagine 15"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reative Commons CCBY logo"/>
                    <pic:cNvPicPr/>
                  </pic:nvPicPr>
                  <pic:blipFill>
                    <a:blip r:embed="rId15"/>
                    <a:stretch>
                      <a:fillRect/>
                    </a:stretch>
                  </pic:blipFill>
                  <pic:spPr>
                    <a:xfrm>
                      <a:off x="0" y="0"/>
                      <a:ext cx="1066800" cy="342900"/>
                    </a:xfrm>
                    <a:prstGeom prst="rect">
                      <a:avLst/>
                    </a:prstGeom>
                  </pic:spPr>
                </pic:pic>
              </a:graphicData>
            </a:graphic>
          </wp:inline>
        </w:drawing>
      </w:r>
    </w:p>
    <w:p w14:paraId="383D5809" w14:textId="77777777" w:rsidR="00FE4F1D" w:rsidRDefault="00FE4F1D" w:rsidP="00FE4F1D">
      <w:pPr>
        <w:pStyle w:val="CopyrightText"/>
      </w:pPr>
      <w:r>
        <w:t xml:space="preserve">All material presented in this publication is licensed under the Creative Commons Attribution 4.0 International Licence, </w:t>
      </w:r>
      <w:proofErr w:type="gramStart"/>
      <w:r>
        <w:t>with the exception of</w:t>
      </w:r>
      <w:proofErr w:type="gramEnd"/>
      <w:r>
        <w:t>:</w:t>
      </w:r>
    </w:p>
    <w:p w14:paraId="24672DF5" w14:textId="77777777" w:rsidR="00FE4F1D" w:rsidRDefault="00FE4F1D" w:rsidP="00FE4F1D">
      <w:pPr>
        <w:pStyle w:val="CopyrightTextBullets"/>
      </w:pPr>
      <w:r>
        <w:t>photographs and images</w:t>
      </w:r>
    </w:p>
    <w:p w14:paraId="255ADDEE" w14:textId="77777777" w:rsidR="00FE4F1D" w:rsidRDefault="00FE4F1D" w:rsidP="00FE4F1D">
      <w:pPr>
        <w:pStyle w:val="CopyrightTextBullets"/>
      </w:pPr>
      <w:r>
        <w:t xml:space="preserve">the Commission’s logo, any </w:t>
      </w:r>
      <w:proofErr w:type="gramStart"/>
      <w:r>
        <w:t>branding</w:t>
      </w:r>
      <w:proofErr w:type="gramEnd"/>
      <w:r>
        <w:t xml:space="preserve"> or trademarks</w:t>
      </w:r>
    </w:p>
    <w:p w14:paraId="2A00C9B4" w14:textId="77777777" w:rsidR="00FE4F1D" w:rsidRDefault="00FE4F1D" w:rsidP="00FE4F1D">
      <w:pPr>
        <w:pStyle w:val="CopyrightTextBullets"/>
      </w:pPr>
      <w:r>
        <w:t>where otherwise indicated.</w:t>
      </w:r>
    </w:p>
    <w:p w14:paraId="7B46DAD9" w14:textId="77777777" w:rsidR="00FE4F1D" w:rsidRDefault="00FE4F1D" w:rsidP="00FE4F1D">
      <w:pPr>
        <w:pStyle w:val="CopyrightText"/>
      </w:pPr>
      <w:r>
        <w:t xml:space="preserve">To view a copy of this licence, visit </w:t>
      </w:r>
      <w:hyperlink r:id="rId16" w:history="1">
        <w:r w:rsidRPr="00945B58">
          <w:rPr>
            <w:rStyle w:val="Collegamentoipertestuale"/>
            <w:rFonts w:eastAsia="MS Mincho"/>
          </w:rPr>
          <w:t>https://creativecommons.org/licenses/by/4.0/legalcode</w:t>
        </w:r>
      </w:hyperlink>
      <w:r>
        <w:t>.</w:t>
      </w:r>
    </w:p>
    <w:p w14:paraId="6846BC94" w14:textId="77777777" w:rsidR="00FE4F1D" w:rsidRDefault="00FE4F1D" w:rsidP="00FE4F1D">
      <w:pPr>
        <w:pStyle w:val="CopyrightText"/>
      </w:pPr>
      <w:r>
        <w:t xml:space="preserve">In essence, you are free to copy, communicate and adapt the publication, </w:t>
      </w:r>
      <w:proofErr w:type="gramStart"/>
      <w:r>
        <w:t>as long as</w:t>
      </w:r>
      <w:proofErr w:type="gramEnd"/>
      <w:r>
        <w:t xml:space="preserve"> you attribute the Australian Human Rights Commission and abide by the other licence terms.</w:t>
      </w:r>
    </w:p>
    <w:p w14:paraId="7CBD5C71" w14:textId="77777777" w:rsidR="00FE4F1D" w:rsidRDefault="00FE4F1D" w:rsidP="00FE4F1D">
      <w:pPr>
        <w:pStyle w:val="CopyrightText"/>
      </w:pPr>
      <w:r>
        <w:rPr>
          <w:rStyle w:val="Enfasigrassetto"/>
          <w:rFonts w:eastAsia="MS Mincho"/>
        </w:rPr>
        <w:t>Please give attribution to:</w:t>
      </w:r>
      <w:r>
        <w:t xml:space="preserve"> © Australian Human Rights Commission 2022.</w:t>
      </w:r>
    </w:p>
    <w:p w14:paraId="079063B9" w14:textId="347D6B99" w:rsidR="00FE4F1D" w:rsidRDefault="00195966" w:rsidP="00FE4F1D">
      <w:pPr>
        <w:pStyle w:val="CopyrightText"/>
        <w:rPr>
          <w:rStyle w:val="Enfasigrassetto"/>
          <w:rFonts w:eastAsia="MS Mincho"/>
        </w:rPr>
      </w:pPr>
      <w:r>
        <w:rPr>
          <w:rStyle w:val="Bold"/>
          <w:rFonts w:eastAsia="MS Mincho"/>
        </w:rPr>
        <w:t>FREE AND EQUAL</w:t>
      </w:r>
      <w:r w:rsidR="00FE4F1D">
        <w:t xml:space="preserve"> •</w:t>
      </w:r>
      <w:r w:rsidR="001A5535">
        <w:t xml:space="preserve"> </w:t>
      </w:r>
      <w:r w:rsidR="001A5535" w:rsidRPr="001A5535">
        <w:rPr>
          <w:rStyle w:val="Enfasigrassetto"/>
        </w:rPr>
        <w:t>A Human Rights Law for Australia</w:t>
      </w:r>
      <w:r w:rsidR="001A5535">
        <w:t xml:space="preserve"> • </w:t>
      </w:r>
      <w:r w:rsidR="001A5535" w:rsidRPr="001A5535">
        <w:rPr>
          <w:rStyle w:val="Enfasigrassetto"/>
        </w:rPr>
        <w:t xml:space="preserve">Summary </w:t>
      </w:r>
      <w:r w:rsidR="00DE5D9A">
        <w:rPr>
          <w:rStyle w:val="Enfasigrassetto"/>
        </w:rPr>
        <w:t>r</w:t>
      </w:r>
      <w:r w:rsidR="001A5535" w:rsidRPr="001A5535">
        <w:rPr>
          <w:rStyle w:val="Enfasigrassetto"/>
        </w:rPr>
        <w:t>eport</w:t>
      </w:r>
    </w:p>
    <w:p w14:paraId="494E6FAC" w14:textId="69214282" w:rsidR="00FE4F1D" w:rsidRPr="00636E22" w:rsidRDefault="00FE4F1D" w:rsidP="00FE4F1D">
      <w:pPr>
        <w:pStyle w:val="CopyrightText"/>
        <w:rPr>
          <w:rtl/>
        </w:rPr>
      </w:pPr>
      <w:r>
        <w:rPr>
          <w:lang w:bidi="ar-YE"/>
        </w:rPr>
        <w:t xml:space="preserve">ISBN </w:t>
      </w:r>
      <w:r w:rsidR="00636E22" w:rsidRPr="00636E22">
        <w:t>978-1-925917-77-2</w:t>
      </w:r>
    </w:p>
    <w:p w14:paraId="611EED8D" w14:textId="77777777" w:rsidR="00FE4F1D" w:rsidRDefault="00FE4F1D" w:rsidP="00FE4F1D">
      <w:pPr>
        <w:pStyle w:val="CopyrightText"/>
        <w:rPr>
          <w:rStyle w:val="Bold"/>
          <w:rFonts w:eastAsia="MS Mincho"/>
        </w:rPr>
      </w:pPr>
      <w:r>
        <w:rPr>
          <w:rStyle w:val="Bold"/>
          <w:rFonts w:eastAsia="MS Mincho"/>
        </w:rPr>
        <w:t>Acknowledgments</w:t>
      </w:r>
    </w:p>
    <w:p w14:paraId="55E9F4BD" w14:textId="77777777" w:rsidR="00FE4F1D" w:rsidRPr="009500F7" w:rsidRDefault="00FE4F1D" w:rsidP="00FE4F1D">
      <w:pPr>
        <w:pStyle w:val="CopyrightText"/>
      </w:pPr>
      <w:r w:rsidRPr="009500F7">
        <w:t>Inquiry team: Darren Dick PSM, Senior Policy Executive; Sarah Sacher, Legal Research Officer.</w:t>
      </w:r>
    </w:p>
    <w:p w14:paraId="0B5ECC88" w14:textId="77777777" w:rsidR="00FE4F1D" w:rsidRPr="009500F7" w:rsidRDefault="00FE4F1D" w:rsidP="00FE4F1D">
      <w:pPr>
        <w:pStyle w:val="CopyrightText"/>
      </w:pPr>
      <w:r w:rsidRPr="009500F7">
        <w:t>Other Commission staff: Leanne Smith, Chief Executive; Julie O’Brien, General Counsel; Rachel Holt, Senior Executive, Information and Conciliation Service; Graeme Edgerton, Deputy General Counsel; Jodie Ball, Deputy Director, Information and Conciliation Service; Ella Kucharova, Senior Lawyer.</w:t>
      </w:r>
    </w:p>
    <w:p w14:paraId="4ED93707" w14:textId="0E8D3738" w:rsidR="00FE4F1D" w:rsidRPr="00F97807" w:rsidRDefault="00FE4F1D" w:rsidP="00FE4F1D">
      <w:pPr>
        <w:pStyle w:val="CopyrightText"/>
      </w:pPr>
      <w:r w:rsidRPr="009500F7">
        <w:t xml:space="preserve">The Commission also thanks: Scientia Professor George Williams AO FASSA; Professor Rosalind Dixon; the Secretariat, Parliamentary Joint Committee on Human Rights; Professor Rosemary </w:t>
      </w:r>
      <w:r w:rsidRPr="00F97807">
        <w:t>Kayess</w:t>
      </w:r>
      <w:r w:rsidR="00F97807" w:rsidRPr="00F97807">
        <w:t xml:space="preserve"> for expert reading of the final text</w:t>
      </w:r>
      <w:r w:rsidRPr="00F97807">
        <w:t>.</w:t>
      </w:r>
    </w:p>
    <w:p w14:paraId="6F850675" w14:textId="7E20D52A" w:rsidR="00FE4F1D" w:rsidRDefault="00FE4F1D" w:rsidP="00FE4F1D">
      <w:pPr>
        <w:pStyle w:val="CopyrightText"/>
      </w:pPr>
      <w:r w:rsidRPr="009500F7">
        <w:t>The Commission is especially grateful to all individuals and organisations that participated by making submissions and participating in consultations throughout the National Conversation.</w:t>
      </w:r>
    </w:p>
    <w:p w14:paraId="5D55B49B" w14:textId="063BCAE6" w:rsidR="00FE4F1D" w:rsidRDefault="00FE4F1D" w:rsidP="00FE4F1D">
      <w:pPr>
        <w:pStyle w:val="CopyrightText"/>
      </w:pPr>
      <w:r>
        <w:t xml:space="preserve">This publication can be found in electronic format on the Australian Human Rights Commission’s website at </w:t>
      </w:r>
      <w:hyperlink r:id="rId17" w:tooltip="https://humanrights.gov.au/human-rights-act-for-australia" w:history="1">
        <w:r w:rsidR="00E04AD2" w:rsidRPr="00E04AD2">
          <w:rPr>
            <w:rStyle w:val="Collegamentoipertestuale"/>
            <w:rFonts w:eastAsia="MS Mincho"/>
          </w:rPr>
          <w:t>https://humanrights.gov.au/human-rights-act-for-australia</w:t>
        </w:r>
      </w:hyperlink>
      <w:r w:rsidRPr="00FD629D">
        <w:t>.</w:t>
      </w:r>
    </w:p>
    <w:p w14:paraId="3BFE931F" w14:textId="77777777" w:rsidR="00FE4F1D" w:rsidRDefault="00FE4F1D" w:rsidP="00FE4F1D">
      <w:pPr>
        <w:pStyle w:val="CopyrightText"/>
      </w:pPr>
      <w:r>
        <w:t>For further information about the Australian Human Rights Commission or copyright in this publication, please contact:</w:t>
      </w:r>
    </w:p>
    <w:p w14:paraId="305EECEC" w14:textId="77777777" w:rsidR="00FE4F1D" w:rsidRDefault="00FE4F1D" w:rsidP="00FE4F1D">
      <w:pPr>
        <w:pStyle w:val="CopyrightTextAddress"/>
      </w:pPr>
      <w:r>
        <w:t>Australian Human Rights Commission</w:t>
      </w:r>
    </w:p>
    <w:p w14:paraId="44B3D959" w14:textId="77777777" w:rsidR="00FE4F1D" w:rsidRDefault="00FE4F1D" w:rsidP="00FE4F1D">
      <w:pPr>
        <w:pStyle w:val="CopyrightTextAddress"/>
      </w:pPr>
      <w:r>
        <w:t>GPO Box 5218</w:t>
      </w:r>
    </w:p>
    <w:p w14:paraId="42A60D57" w14:textId="77777777" w:rsidR="00FE4F1D" w:rsidRDefault="00FE4F1D" w:rsidP="00FE4F1D">
      <w:pPr>
        <w:pStyle w:val="CopyrightTextAddress"/>
      </w:pPr>
      <w:r>
        <w:t>SYDNEY NSW 2001</w:t>
      </w:r>
    </w:p>
    <w:p w14:paraId="775A8C8F" w14:textId="77777777" w:rsidR="00FE4F1D" w:rsidRDefault="00FE4F1D" w:rsidP="00FE4F1D">
      <w:pPr>
        <w:pStyle w:val="CopyrightTextAddress"/>
      </w:pPr>
      <w:r>
        <w:t>Telephone: (02) 9284 9600</w:t>
      </w:r>
    </w:p>
    <w:p w14:paraId="16C06D7A" w14:textId="018E7307" w:rsidR="00FE4F1D" w:rsidRDefault="00FE4F1D" w:rsidP="00DE5D9A">
      <w:pPr>
        <w:pStyle w:val="CopyrightTextAddress"/>
      </w:pPr>
      <w:r>
        <w:t xml:space="preserve">Email: </w:t>
      </w:r>
      <w:hyperlink r:id="rId18" w:history="1">
        <w:r w:rsidRPr="00945B58">
          <w:rPr>
            <w:rStyle w:val="Collegamentoipertestuale"/>
            <w:rFonts w:eastAsia="MS Mincho"/>
          </w:rPr>
          <w:t>communications@humanrights.gov.au</w:t>
        </w:r>
      </w:hyperlink>
    </w:p>
    <w:p w14:paraId="033D073F" w14:textId="6F34A1D5" w:rsidR="00007446" w:rsidRPr="00DE5D9A" w:rsidRDefault="00007446" w:rsidP="00DE5D9A"/>
    <w:p w14:paraId="0E3C9BC6" w14:textId="4630A6C3" w:rsidR="00FE4F1D" w:rsidRDefault="00FE4F1D">
      <w:pPr>
        <w:keepLines w:val="0"/>
        <w:spacing w:after="0" w:line="240" w:lineRule="auto"/>
      </w:pPr>
      <w:r>
        <w:br w:type="page"/>
      </w:r>
    </w:p>
    <w:p w14:paraId="28D72CB2" w14:textId="7AAD351E" w:rsidR="009B60B9" w:rsidRDefault="009500F7" w:rsidP="009500F7">
      <w:pPr>
        <w:pStyle w:val="Titolosommario"/>
      </w:pPr>
      <w:bookmarkStart w:id="0" w:name="_Toc209316062"/>
      <w:bookmarkStart w:id="1" w:name="_Toc207761830"/>
      <w:bookmarkEnd w:id="0"/>
      <w:r>
        <w:lastRenderedPageBreak/>
        <w:t>Contents</w:t>
      </w:r>
    </w:p>
    <w:p w14:paraId="0F8E6230" w14:textId="197CE2B9" w:rsidR="00FE3CCC" w:rsidRDefault="0086329D">
      <w:pPr>
        <w:pStyle w:val="Sommario1"/>
        <w:rPr>
          <w:rFonts w:asciiTheme="minorHAnsi" w:eastAsiaTheme="minorEastAsia" w:hAnsiTheme="minorHAnsi" w:cstheme="minorBidi"/>
          <w:b w:val="0"/>
          <w:sz w:val="24"/>
          <w:lang w:val="it-IT" w:eastAsia="it-IT"/>
        </w:rPr>
      </w:pPr>
      <w:r>
        <w:rPr>
          <w:b w:val="0"/>
          <w:color w:val="2B579A"/>
        </w:rPr>
        <w:fldChar w:fldCharType="begin"/>
      </w:r>
      <w:r>
        <w:rPr>
          <w:b w:val="0"/>
          <w:color w:val="2B579A"/>
        </w:rPr>
        <w:instrText xml:space="preserve"> TOC \h \z \t "Titolo 1;1;Titolo 2;2;Titolo 3;3;Titolo;1" </w:instrText>
      </w:r>
      <w:r>
        <w:rPr>
          <w:b w:val="0"/>
          <w:color w:val="2B579A"/>
        </w:rPr>
        <w:fldChar w:fldCharType="separate"/>
      </w:r>
      <w:hyperlink w:anchor="_Toc121381270" w:history="1">
        <w:r w:rsidR="00FE3CCC" w:rsidRPr="0084672C">
          <w:rPr>
            <w:rStyle w:val="Collegamentoipertestuale"/>
          </w:rPr>
          <w:t>President’s foreword</w:t>
        </w:r>
        <w:r w:rsidR="00FE3CCC">
          <w:rPr>
            <w:webHidden/>
          </w:rPr>
          <w:tab/>
        </w:r>
        <w:r w:rsidR="00FE3CCC">
          <w:rPr>
            <w:webHidden/>
          </w:rPr>
          <w:fldChar w:fldCharType="begin"/>
        </w:r>
        <w:r w:rsidR="00FE3CCC">
          <w:rPr>
            <w:webHidden/>
          </w:rPr>
          <w:instrText xml:space="preserve"> PAGEREF _Toc121381270 \h </w:instrText>
        </w:r>
        <w:r w:rsidR="00FE3CCC">
          <w:rPr>
            <w:webHidden/>
          </w:rPr>
        </w:r>
        <w:r w:rsidR="00FE3CCC">
          <w:rPr>
            <w:webHidden/>
          </w:rPr>
          <w:fldChar w:fldCharType="separate"/>
        </w:r>
        <w:r w:rsidR="00FE3CCC">
          <w:rPr>
            <w:webHidden/>
          </w:rPr>
          <w:t>5</w:t>
        </w:r>
        <w:r w:rsidR="00FE3CCC">
          <w:rPr>
            <w:webHidden/>
          </w:rPr>
          <w:fldChar w:fldCharType="end"/>
        </w:r>
      </w:hyperlink>
    </w:p>
    <w:p w14:paraId="6459808F" w14:textId="06FEC9AB" w:rsidR="00FE3CCC" w:rsidRDefault="00000000">
      <w:pPr>
        <w:pStyle w:val="Sommario1"/>
        <w:rPr>
          <w:rFonts w:asciiTheme="minorHAnsi" w:eastAsiaTheme="minorEastAsia" w:hAnsiTheme="minorHAnsi" w:cstheme="minorBidi"/>
          <w:b w:val="0"/>
          <w:sz w:val="24"/>
          <w:lang w:val="it-IT" w:eastAsia="it-IT"/>
        </w:rPr>
      </w:pPr>
      <w:hyperlink w:anchor="_Toc121381271" w:history="1">
        <w:r w:rsidR="00FE3CCC" w:rsidRPr="0084672C">
          <w:rPr>
            <w:rStyle w:val="Collegamentoipertestuale"/>
          </w:rPr>
          <w:t>Summary report</w:t>
        </w:r>
        <w:r w:rsidR="00FE3CCC">
          <w:rPr>
            <w:webHidden/>
          </w:rPr>
          <w:tab/>
        </w:r>
        <w:r w:rsidR="00FE3CCC">
          <w:rPr>
            <w:webHidden/>
          </w:rPr>
          <w:fldChar w:fldCharType="begin"/>
        </w:r>
        <w:r w:rsidR="00FE3CCC">
          <w:rPr>
            <w:webHidden/>
          </w:rPr>
          <w:instrText xml:space="preserve"> PAGEREF _Toc121381271 \h </w:instrText>
        </w:r>
        <w:r w:rsidR="00FE3CCC">
          <w:rPr>
            <w:webHidden/>
          </w:rPr>
        </w:r>
        <w:r w:rsidR="00FE3CCC">
          <w:rPr>
            <w:webHidden/>
          </w:rPr>
          <w:fldChar w:fldCharType="separate"/>
        </w:r>
        <w:r w:rsidR="00FE3CCC">
          <w:rPr>
            <w:webHidden/>
          </w:rPr>
          <w:t>7</w:t>
        </w:r>
        <w:r w:rsidR="00FE3CCC">
          <w:rPr>
            <w:webHidden/>
          </w:rPr>
          <w:fldChar w:fldCharType="end"/>
        </w:r>
      </w:hyperlink>
    </w:p>
    <w:p w14:paraId="58A5E5D5" w14:textId="27C710E9" w:rsidR="00FE3CCC" w:rsidRDefault="00000000">
      <w:pPr>
        <w:pStyle w:val="Sommario2"/>
        <w:rPr>
          <w:rFonts w:asciiTheme="minorHAnsi" w:eastAsiaTheme="minorEastAsia" w:hAnsiTheme="minorHAnsi" w:cstheme="minorBidi"/>
          <w:sz w:val="24"/>
          <w:lang w:val="it-IT" w:eastAsia="it-IT"/>
        </w:rPr>
      </w:pPr>
      <w:hyperlink w:anchor="_Toc121381272" w:history="1">
        <w:r w:rsidR="00FE3CCC" w:rsidRPr="0084672C">
          <w:rPr>
            <w:rStyle w:val="Collegamentoipertestuale"/>
          </w:rPr>
          <w:t>Overview of the Position Paper</w:t>
        </w:r>
        <w:r w:rsidR="00FE3CCC">
          <w:rPr>
            <w:webHidden/>
          </w:rPr>
          <w:tab/>
        </w:r>
        <w:r w:rsidR="00FE3CCC">
          <w:rPr>
            <w:webHidden/>
          </w:rPr>
          <w:fldChar w:fldCharType="begin"/>
        </w:r>
        <w:r w:rsidR="00FE3CCC">
          <w:rPr>
            <w:webHidden/>
          </w:rPr>
          <w:instrText xml:space="preserve"> PAGEREF _Toc121381272 \h </w:instrText>
        </w:r>
        <w:r w:rsidR="00FE3CCC">
          <w:rPr>
            <w:webHidden/>
          </w:rPr>
        </w:r>
        <w:r w:rsidR="00FE3CCC">
          <w:rPr>
            <w:webHidden/>
          </w:rPr>
          <w:fldChar w:fldCharType="separate"/>
        </w:r>
        <w:r w:rsidR="00FE3CCC">
          <w:rPr>
            <w:webHidden/>
          </w:rPr>
          <w:t>7</w:t>
        </w:r>
        <w:r w:rsidR="00FE3CCC">
          <w:rPr>
            <w:webHidden/>
          </w:rPr>
          <w:fldChar w:fldCharType="end"/>
        </w:r>
      </w:hyperlink>
    </w:p>
    <w:p w14:paraId="6F6F0E31" w14:textId="264D3B24"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73" w:history="1">
        <w:r w:rsidR="00FE3CCC" w:rsidRPr="0084672C">
          <w:rPr>
            <w:rStyle w:val="Collegamentoipertestuale"/>
          </w:rPr>
          <w:t>(a)</w:t>
        </w:r>
        <w:r w:rsidR="00FE3CCC">
          <w:rPr>
            <w:rFonts w:asciiTheme="minorHAnsi" w:eastAsiaTheme="minorEastAsia" w:hAnsiTheme="minorHAnsi" w:cstheme="minorBidi"/>
            <w:sz w:val="24"/>
            <w:lang w:val="it-IT" w:eastAsia="it-IT"/>
          </w:rPr>
          <w:tab/>
        </w:r>
        <w:r w:rsidR="00FE3CCC" w:rsidRPr="0084672C">
          <w:rPr>
            <w:rStyle w:val="Collegamentoipertestuale"/>
          </w:rPr>
          <w:t>Why Australia needs a Human Rights Act</w:t>
        </w:r>
        <w:r w:rsidR="00FE3CCC">
          <w:rPr>
            <w:webHidden/>
          </w:rPr>
          <w:tab/>
        </w:r>
        <w:r w:rsidR="00FE3CCC">
          <w:rPr>
            <w:webHidden/>
          </w:rPr>
          <w:fldChar w:fldCharType="begin"/>
        </w:r>
        <w:r w:rsidR="00FE3CCC">
          <w:rPr>
            <w:webHidden/>
          </w:rPr>
          <w:instrText xml:space="preserve"> PAGEREF _Toc121381273 \h </w:instrText>
        </w:r>
        <w:r w:rsidR="00FE3CCC">
          <w:rPr>
            <w:webHidden/>
          </w:rPr>
        </w:r>
        <w:r w:rsidR="00FE3CCC">
          <w:rPr>
            <w:webHidden/>
          </w:rPr>
          <w:fldChar w:fldCharType="separate"/>
        </w:r>
        <w:r w:rsidR="00FE3CCC">
          <w:rPr>
            <w:webHidden/>
          </w:rPr>
          <w:t>7</w:t>
        </w:r>
        <w:r w:rsidR="00FE3CCC">
          <w:rPr>
            <w:webHidden/>
          </w:rPr>
          <w:fldChar w:fldCharType="end"/>
        </w:r>
      </w:hyperlink>
    </w:p>
    <w:p w14:paraId="12806AA2" w14:textId="413A5D17"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74" w:history="1">
        <w:r w:rsidR="00FE3CCC" w:rsidRPr="0084672C">
          <w:rPr>
            <w:rStyle w:val="Collegamentoipertestuale"/>
          </w:rPr>
          <w:t>(b)</w:t>
        </w:r>
        <w:r w:rsidR="00FE3CCC">
          <w:rPr>
            <w:rFonts w:asciiTheme="minorHAnsi" w:eastAsiaTheme="minorEastAsia" w:hAnsiTheme="minorHAnsi" w:cstheme="minorBidi"/>
            <w:sz w:val="24"/>
            <w:lang w:val="it-IT" w:eastAsia="it-IT"/>
          </w:rPr>
          <w:tab/>
        </w:r>
        <w:r w:rsidR="00FE3CCC" w:rsidRPr="0084672C">
          <w:rPr>
            <w:rStyle w:val="Collegamentoipertestuale"/>
          </w:rPr>
          <w:t>A Human Rights Act based on dialogue</w:t>
        </w:r>
        <w:r w:rsidR="00FE3CCC">
          <w:rPr>
            <w:webHidden/>
          </w:rPr>
          <w:tab/>
        </w:r>
        <w:r w:rsidR="00FE3CCC">
          <w:rPr>
            <w:webHidden/>
          </w:rPr>
          <w:fldChar w:fldCharType="begin"/>
        </w:r>
        <w:r w:rsidR="00FE3CCC">
          <w:rPr>
            <w:webHidden/>
          </w:rPr>
          <w:instrText xml:space="preserve"> PAGEREF _Toc121381274 \h </w:instrText>
        </w:r>
        <w:r w:rsidR="00FE3CCC">
          <w:rPr>
            <w:webHidden/>
          </w:rPr>
        </w:r>
        <w:r w:rsidR="00FE3CCC">
          <w:rPr>
            <w:webHidden/>
          </w:rPr>
          <w:fldChar w:fldCharType="separate"/>
        </w:r>
        <w:r w:rsidR="00FE3CCC">
          <w:rPr>
            <w:webHidden/>
          </w:rPr>
          <w:t>14</w:t>
        </w:r>
        <w:r w:rsidR="00FE3CCC">
          <w:rPr>
            <w:webHidden/>
          </w:rPr>
          <w:fldChar w:fldCharType="end"/>
        </w:r>
      </w:hyperlink>
    </w:p>
    <w:p w14:paraId="63879401" w14:textId="28984F9F"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75" w:history="1">
        <w:r w:rsidR="00FE3CCC" w:rsidRPr="0084672C">
          <w:rPr>
            <w:rStyle w:val="Collegamentoipertestuale"/>
          </w:rPr>
          <w:t>(c)</w:t>
        </w:r>
        <w:r w:rsidR="00FE3CCC">
          <w:rPr>
            <w:rFonts w:asciiTheme="minorHAnsi" w:eastAsiaTheme="minorEastAsia" w:hAnsiTheme="minorHAnsi" w:cstheme="minorBidi"/>
            <w:sz w:val="24"/>
            <w:lang w:val="it-IT" w:eastAsia="it-IT"/>
          </w:rPr>
          <w:tab/>
        </w:r>
        <w:r w:rsidR="00FE3CCC" w:rsidRPr="0084672C">
          <w:rPr>
            <w:rStyle w:val="Collegamentoipertestuale"/>
          </w:rPr>
          <w:t>What rights should be included in a Human Rights Act?</w:t>
        </w:r>
        <w:r w:rsidR="00FE3CCC">
          <w:rPr>
            <w:webHidden/>
          </w:rPr>
          <w:tab/>
        </w:r>
        <w:r w:rsidR="00FE3CCC">
          <w:rPr>
            <w:webHidden/>
          </w:rPr>
          <w:fldChar w:fldCharType="begin"/>
        </w:r>
        <w:r w:rsidR="00FE3CCC">
          <w:rPr>
            <w:webHidden/>
          </w:rPr>
          <w:instrText xml:space="preserve"> PAGEREF _Toc121381275 \h </w:instrText>
        </w:r>
        <w:r w:rsidR="00FE3CCC">
          <w:rPr>
            <w:webHidden/>
          </w:rPr>
        </w:r>
        <w:r w:rsidR="00FE3CCC">
          <w:rPr>
            <w:webHidden/>
          </w:rPr>
          <w:fldChar w:fldCharType="separate"/>
        </w:r>
        <w:r w:rsidR="00FE3CCC">
          <w:rPr>
            <w:webHidden/>
          </w:rPr>
          <w:t>14</w:t>
        </w:r>
        <w:r w:rsidR="00FE3CCC">
          <w:rPr>
            <w:webHidden/>
          </w:rPr>
          <w:fldChar w:fldCharType="end"/>
        </w:r>
      </w:hyperlink>
    </w:p>
    <w:p w14:paraId="6345CB52" w14:textId="040F08C1"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76" w:history="1">
        <w:r w:rsidR="00FE3CCC" w:rsidRPr="0084672C">
          <w:rPr>
            <w:rStyle w:val="Collegamentoipertestuale"/>
          </w:rPr>
          <w:t>(d)</w:t>
        </w:r>
        <w:r w:rsidR="00FE3CCC">
          <w:rPr>
            <w:rFonts w:asciiTheme="minorHAnsi" w:eastAsiaTheme="minorEastAsia" w:hAnsiTheme="minorHAnsi" w:cstheme="minorBidi"/>
            <w:sz w:val="24"/>
            <w:lang w:val="it-IT" w:eastAsia="it-IT"/>
          </w:rPr>
          <w:tab/>
        </w:r>
        <w:r w:rsidR="00FE3CCC" w:rsidRPr="0084672C">
          <w:rPr>
            <w:rStyle w:val="Collegamentoipertestuale"/>
          </w:rPr>
          <w:t>Positive duty on public authorities</w:t>
        </w:r>
        <w:r w:rsidR="00FE3CCC">
          <w:rPr>
            <w:webHidden/>
          </w:rPr>
          <w:tab/>
        </w:r>
        <w:r w:rsidR="00FE3CCC">
          <w:rPr>
            <w:webHidden/>
          </w:rPr>
          <w:fldChar w:fldCharType="begin"/>
        </w:r>
        <w:r w:rsidR="00FE3CCC">
          <w:rPr>
            <w:webHidden/>
          </w:rPr>
          <w:instrText xml:space="preserve"> PAGEREF _Toc121381276 \h </w:instrText>
        </w:r>
        <w:r w:rsidR="00FE3CCC">
          <w:rPr>
            <w:webHidden/>
          </w:rPr>
        </w:r>
        <w:r w:rsidR="00FE3CCC">
          <w:rPr>
            <w:webHidden/>
          </w:rPr>
          <w:fldChar w:fldCharType="separate"/>
        </w:r>
        <w:r w:rsidR="00FE3CCC">
          <w:rPr>
            <w:webHidden/>
          </w:rPr>
          <w:t>18</w:t>
        </w:r>
        <w:r w:rsidR="00FE3CCC">
          <w:rPr>
            <w:webHidden/>
          </w:rPr>
          <w:fldChar w:fldCharType="end"/>
        </w:r>
      </w:hyperlink>
    </w:p>
    <w:p w14:paraId="0795E448" w14:textId="7AAB54AB"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77" w:history="1">
        <w:r w:rsidR="00FE3CCC" w:rsidRPr="0084672C">
          <w:rPr>
            <w:rStyle w:val="Collegamentoipertestuale"/>
          </w:rPr>
          <w:t>(e)</w:t>
        </w:r>
        <w:r w:rsidR="00FE3CCC">
          <w:rPr>
            <w:rFonts w:asciiTheme="minorHAnsi" w:eastAsiaTheme="minorEastAsia" w:hAnsiTheme="minorHAnsi" w:cstheme="minorBidi"/>
            <w:sz w:val="24"/>
            <w:lang w:val="it-IT" w:eastAsia="it-IT"/>
          </w:rPr>
          <w:tab/>
        </w:r>
        <w:r w:rsidR="00FE3CCC" w:rsidRPr="0084672C">
          <w:rPr>
            <w:rStyle w:val="Collegamentoipertestuale"/>
          </w:rPr>
          <w:t>Procedural duties</w:t>
        </w:r>
        <w:r w:rsidR="00FE3CCC">
          <w:rPr>
            <w:webHidden/>
          </w:rPr>
          <w:tab/>
        </w:r>
        <w:r w:rsidR="00FE3CCC">
          <w:rPr>
            <w:webHidden/>
          </w:rPr>
          <w:fldChar w:fldCharType="begin"/>
        </w:r>
        <w:r w:rsidR="00FE3CCC">
          <w:rPr>
            <w:webHidden/>
          </w:rPr>
          <w:instrText xml:space="preserve"> PAGEREF _Toc121381277 \h </w:instrText>
        </w:r>
        <w:r w:rsidR="00FE3CCC">
          <w:rPr>
            <w:webHidden/>
          </w:rPr>
        </w:r>
        <w:r w:rsidR="00FE3CCC">
          <w:rPr>
            <w:webHidden/>
          </w:rPr>
          <w:fldChar w:fldCharType="separate"/>
        </w:r>
        <w:r w:rsidR="00FE3CCC">
          <w:rPr>
            <w:webHidden/>
          </w:rPr>
          <w:t>20</w:t>
        </w:r>
        <w:r w:rsidR="00FE3CCC">
          <w:rPr>
            <w:webHidden/>
          </w:rPr>
          <w:fldChar w:fldCharType="end"/>
        </w:r>
      </w:hyperlink>
    </w:p>
    <w:p w14:paraId="1C634951" w14:textId="55A18809"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78" w:history="1">
        <w:r w:rsidR="00FE3CCC" w:rsidRPr="0084672C">
          <w:rPr>
            <w:rStyle w:val="Collegamentoipertestuale"/>
          </w:rPr>
          <w:t>(f)</w:t>
        </w:r>
        <w:r w:rsidR="00FE3CCC">
          <w:rPr>
            <w:rFonts w:asciiTheme="minorHAnsi" w:eastAsiaTheme="minorEastAsia" w:hAnsiTheme="minorHAnsi" w:cstheme="minorBidi"/>
            <w:sz w:val="24"/>
            <w:lang w:val="it-IT" w:eastAsia="it-IT"/>
          </w:rPr>
          <w:tab/>
        </w:r>
        <w:r w:rsidR="00FE3CCC" w:rsidRPr="0084672C">
          <w:rPr>
            <w:rStyle w:val="Collegamentoipertestuale"/>
          </w:rPr>
          <w:t>Jurisdiction and scope</w:t>
        </w:r>
        <w:r w:rsidR="00FE3CCC">
          <w:rPr>
            <w:webHidden/>
          </w:rPr>
          <w:tab/>
        </w:r>
        <w:r w:rsidR="00FE3CCC">
          <w:rPr>
            <w:webHidden/>
          </w:rPr>
          <w:fldChar w:fldCharType="begin"/>
        </w:r>
        <w:r w:rsidR="00FE3CCC">
          <w:rPr>
            <w:webHidden/>
          </w:rPr>
          <w:instrText xml:space="preserve"> PAGEREF _Toc121381278 \h </w:instrText>
        </w:r>
        <w:r w:rsidR="00FE3CCC">
          <w:rPr>
            <w:webHidden/>
          </w:rPr>
        </w:r>
        <w:r w:rsidR="00FE3CCC">
          <w:rPr>
            <w:webHidden/>
          </w:rPr>
          <w:fldChar w:fldCharType="separate"/>
        </w:r>
        <w:r w:rsidR="00FE3CCC">
          <w:rPr>
            <w:webHidden/>
          </w:rPr>
          <w:t>22</w:t>
        </w:r>
        <w:r w:rsidR="00FE3CCC">
          <w:rPr>
            <w:webHidden/>
          </w:rPr>
          <w:fldChar w:fldCharType="end"/>
        </w:r>
      </w:hyperlink>
    </w:p>
    <w:p w14:paraId="280073E1" w14:textId="06137878"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79" w:history="1">
        <w:r w:rsidR="00FE3CCC" w:rsidRPr="0084672C">
          <w:rPr>
            <w:rStyle w:val="Collegamentoipertestuale"/>
          </w:rPr>
          <w:t>(g)</w:t>
        </w:r>
        <w:r w:rsidR="00FE3CCC">
          <w:rPr>
            <w:rFonts w:asciiTheme="minorHAnsi" w:eastAsiaTheme="minorEastAsia" w:hAnsiTheme="minorHAnsi" w:cstheme="minorBidi"/>
            <w:sz w:val="24"/>
            <w:lang w:val="it-IT" w:eastAsia="it-IT"/>
          </w:rPr>
          <w:tab/>
        </w:r>
        <w:r w:rsidR="00FE3CCC" w:rsidRPr="0084672C">
          <w:rPr>
            <w:rStyle w:val="Collegamentoipertestuale"/>
          </w:rPr>
          <w:t>Interpretation of rights in the Human Rights Act</w:t>
        </w:r>
        <w:r w:rsidR="00FE3CCC">
          <w:rPr>
            <w:webHidden/>
          </w:rPr>
          <w:tab/>
        </w:r>
        <w:r w:rsidR="00FE3CCC">
          <w:rPr>
            <w:webHidden/>
          </w:rPr>
          <w:fldChar w:fldCharType="begin"/>
        </w:r>
        <w:r w:rsidR="00FE3CCC">
          <w:rPr>
            <w:webHidden/>
          </w:rPr>
          <w:instrText xml:space="preserve"> PAGEREF _Toc121381279 \h </w:instrText>
        </w:r>
        <w:r w:rsidR="00FE3CCC">
          <w:rPr>
            <w:webHidden/>
          </w:rPr>
        </w:r>
        <w:r w:rsidR="00FE3CCC">
          <w:rPr>
            <w:webHidden/>
          </w:rPr>
          <w:fldChar w:fldCharType="separate"/>
        </w:r>
        <w:r w:rsidR="00FE3CCC">
          <w:rPr>
            <w:webHidden/>
          </w:rPr>
          <w:t>23</w:t>
        </w:r>
        <w:r w:rsidR="00FE3CCC">
          <w:rPr>
            <w:webHidden/>
          </w:rPr>
          <w:fldChar w:fldCharType="end"/>
        </w:r>
      </w:hyperlink>
    </w:p>
    <w:p w14:paraId="346A5535" w14:textId="2BF57FEE"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80" w:history="1">
        <w:r w:rsidR="00FE3CCC" w:rsidRPr="0084672C">
          <w:rPr>
            <w:rStyle w:val="Collegamentoipertestuale"/>
          </w:rPr>
          <w:t>(h)</w:t>
        </w:r>
        <w:r w:rsidR="00FE3CCC">
          <w:rPr>
            <w:rFonts w:asciiTheme="minorHAnsi" w:eastAsiaTheme="minorEastAsia" w:hAnsiTheme="minorHAnsi" w:cstheme="minorBidi"/>
            <w:sz w:val="24"/>
            <w:lang w:val="it-IT" w:eastAsia="it-IT"/>
          </w:rPr>
          <w:tab/>
        </w:r>
        <w:r w:rsidR="00FE3CCC" w:rsidRPr="0084672C">
          <w:rPr>
            <w:rStyle w:val="Collegamentoipertestuale"/>
          </w:rPr>
          <w:t>Interpretation of federal laws and limitations on human rights</w:t>
        </w:r>
        <w:r w:rsidR="00FE3CCC">
          <w:rPr>
            <w:webHidden/>
          </w:rPr>
          <w:tab/>
        </w:r>
        <w:r w:rsidR="00FE3CCC">
          <w:rPr>
            <w:webHidden/>
          </w:rPr>
          <w:fldChar w:fldCharType="begin"/>
        </w:r>
        <w:r w:rsidR="00FE3CCC">
          <w:rPr>
            <w:webHidden/>
          </w:rPr>
          <w:instrText xml:space="preserve"> PAGEREF _Toc121381280 \h </w:instrText>
        </w:r>
        <w:r w:rsidR="00FE3CCC">
          <w:rPr>
            <w:webHidden/>
          </w:rPr>
        </w:r>
        <w:r w:rsidR="00FE3CCC">
          <w:rPr>
            <w:webHidden/>
          </w:rPr>
          <w:fldChar w:fldCharType="separate"/>
        </w:r>
        <w:r w:rsidR="00FE3CCC">
          <w:rPr>
            <w:webHidden/>
          </w:rPr>
          <w:t>23</w:t>
        </w:r>
        <w:r w:rsidR="00FE3CCC">
          <w:rPr>
            <w:webHidden/>
          </w:rPr>
          <w:fldChar w:fldCharType="end"/>
        </w:r>
      </w:hyperlink>
    </w:p>
    <w:p w14:paraId="6E539D41" w14:textId="328EEFE4"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81" w:history="1">
        <w:r w:rsidR="00FE3CCC" w:rsidRPr="0084672C">
          <w:rPr>
            <w:rStyle w:val="Collegamentoipertestuale"/>
          </w:rPr>
          <w:t>(i)</w:t>
        </w:r>
        <w:r w:rsidR="00FE3CCC">
          <w:rPr>
            <w:rFonts w:asciiTheme="minorHAnsi" w:eastAsiaTheme="minorEastAsia" w:hAnsiTheme="minorHAnsi" w:cstheme="minorBidi"/>
            <w:sz w:val="24"/>
            <w:lang w:val="it-IT" w:eastAsia="it-IT"/>
          </w:rPr>
          <w:tab/>
        </w:r>
        <w:r w:rsidR="00FE3CCC" w:rsidRPr="0084672C">
          <w:rPr>
            <w:rStyle w:val="Collegamentoipertestuale"/>
          </w:rPr>
          <w:t>Notification to Parliament regarding incompatible laws</w:t>
        </w:r>
        <w:r w:rsidR="00FE3CCC">
          <w:rPr>
            <w:webHidden/>
          </w:rPr>
          <w:tab/>
        </w:r>
        <w:r w:rsidR="00FE3CCC">
          <w:rPr>
            <w:webHidden/>
          </w:rPr>
          <w:fldChar w:fldCharType="begin"/>
        </w:r>
        <w:r w:rsidR="00FE3CCC">
          <w:rPr>
            <w:webHidden/>
          </w:rPr>
          <w:instrText xml:space="preserve"> PAGEREF _Toc121381281 \h </w:instrText>
        </w:r>
        <w:r w:rsidR="00FE3CCC">
          <w:rPr>
            <w:webHidden/>
          </w:rPr>
        </w:r>
        <w:r w:rsidR="00FE3CCC">
          <w:rPr>
            <w:webHidden/>
          </w:rPr>
          <w:fldChar w:fldCharType="separate"/>
        </w:r>
        <w:r w:rsidR="00FE3CCC">
          <w:rPr>
            <w:webHidden/>
          </w:rPr>
          <w:t>25</w:t>
        </w:r>
        <w:r w:rsidR="00FE3CCC">
          <w:rPr>
            <w:webHidden/>
          </w:rPr>
          <w:fldChar w:fldCharType="end"/>
        </w:r>
      </w:hyperlink>
    </w:p>
    <w:p w14:paraId="18C4C000" w14:textId="68F6B4E7"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82" w:history="1">
        <w:r w:rsidR="00FE3CCC" w:rsidRPr="0084672C">
          <w:rPr>
            <w:rStyle w:val="Collegamentoipertestuale"/>
          </w:rPr>
          <w:t>(j)</w:t>
        </w:r>
        <w:r w:rsidR="00FE3CCC">
          <w:rPr>
            <w:rFonts w:asciiTheme="minorHAnsi" w:eastAsiaTheme="minorEastAsia" w:hAnsiTheme="minorHAnsi" w:cstheme="minorBidi"/>
            <w:sz w:val="24"/>
            <w:lang w:val="it-IT" w:eastAsia="it-IT"/>
          </w:rPr>
          <w:tab/>
        </w:r>
        <w:r w:rsidR="00FE3CCC" w:rsidRPr="0084672C">
          <w:rPr>
            <w:rStyle w:val="Collegamentoipertestuale"/>
          </w:rPr>
          <w:t>Cause of action, complaints and remedies</w:t>
        </w:r>
        <w:r w:rsidR="00FE3CCC">
          <w:rPr>
            <w:webHidden/>
          </w:rPr>
          <w:tab/>
        </w:r>
        <w:r w:rsidR="00FE3CCC">
          <w:rPr>
            <w:webHidden/>
          </w:rPr>
          <w:fldChar w:fldCharType="begin"/>
        </w:r>
        <w:r w:rsidR="00FE3CCC">
          <w:rPr>
            <w:webHidden/>
          </w:rPr>
          <w:instrText xml:space="preserve"> PAGEREF _Toc121381282 \h </w:instrText>
        </w:r>
        <w:r w:rsidR="00FE3CCC">
          <w:rPr>
            <w:webHidden/>
          </w:rPr>
        </w:r>
        <w:r w:rsidR="00FE3CCC">
          <w:rPr>
            <w:webHidden/>
          </w:rPr>
          <w:fldChar w:fldCharType="separate"/>
        </w:r>
        <w:r w:rsidR="00FE3CCC">
          <w:rPr>
            <w:webHidden/>
          </w:rPr>
          <w:t>26</w:t>
        </w:r>
        <w:r w:rsidR="00FE3CCC">
          <w:rPr>
            <w:webHidden/>
          </w:rPr>
          <w:fldChar w:fldCharType="end"/>
        </w:r>
      </w:hyperlink>
    </w:p>
    <w:p w14:paraId="4F067D5E" w14:textId="049CFF27"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83" w:history="1">
        <w:r w:rsidR="00FE3CCC" w:rsidRPr="0084672C">
          <w:rPr>
            <w:rStyle w:val="Collegamentoipertestuale"/>
          </w:rPr>
          <w:t>(k)</w:t>
        </w:r>
        <w:r w:rsidR="00FE3CCC">
          <w:rPr>
            <w:rFonts w:asciiTheme="minorHAnsi" w:eastAsiaTheme="minorEastAsia" w:hAnsiTheme="minorHAnsi" w:cstheme="minorBidi"/>
            <w:sz w:val="24"/>
            <w:lang w:val="it-IT" w:eastAsia="it-IT"/>
          </w:rPr>
          <w:tab/>
        </w:r>
        <w:r w:rsidR="00FE3CCC" w:rsidRPr="0084672C">
          <w:rPr>
            <w:rStyle w:val="Collegamentoipertestuale"/>
          </w:rPr>
          <w:t>Periodic reviews</w:t>
        </w:r>
        <w:r w:rsidR="00FE3CCC">
          <w:rPr>
            <w:webHidden/>
          </w:rPr>
          <w:tab/>
        </w:r>
        <w:r w:rsidR="00FE3CCC">
          <w:rPr>
            <w:webHidden/>
          </w:rPr>
          <w:fldChar w:fldCharType="begin"/>
        </w:r>
        <w:r w:rsidR="00FE3CCC">
          <w:rPr>
            <w:webHidden/>
          </w:rPr>
          <w:instrText xml:space="preserve"> PAGEREF _Toc121381283 \h </w:instrText>
        </w:r>
        <w:r w:rsidR="00FE3CCC">
          <w:rPr>
            <w:webHidden/>
          </w:rPr>
        </w:r>
        <w:r w:rsidR="00FE3CCC">
          <w:rPr>
            <w:webHidden/>
          </w:rPr>
          <w:fldChar w:fldCharType="separate"/>
        </w:r>
        <w:r w:rsidR="00FE3CCC">
          <w:rPr>
            <w:webHidden/>
          </w:rPr>
          <w:t>30</w:t>
        </w:r>
        <w:r w:rsidR="00FE3CCC">
          <w:rPr>
            <w:webHidden/>
          </w:rPr>
          <w:fldChar w:fldCharType="end"/>
        </w:r>
      </w:hyperlink>
    </w:p>
    <w:p w14:paraId="47044FEC" w14:textId="7F03604A"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84" w:history="1">
        <w:r w:rsidR="00FE3CCC" w:rsidRPr="0084672C">
          <w:rPr>
            <w:rStyle w:val="Collegamentoipertestuale"/>
          </w:rPr>
          <w:t>(l)</w:t>
        </w:r>
        <w:r w:rsidR="00FE3CCC">
          <w:rPr>
            <w:rFonts w:asciiTheme="minorHAnsi" w:eastAsiaTheme="minorEastAsia" w:hAnsiTheme="minorHAnsi" w:cstheme="minorBidi"/>
            <w:sz w:val="24"/>
            <w:lang w:val="it-IT" w:eastAsia="it-IT"/>
          </w:rPr>
          <w:tab/>
        </w:r>
        <w:r w:rsidR="00FE3CCC" w:rsidRPr="0084672C">
          <w:rPr>
            <w:rStyle w:val="Collegamentoipertestuale"/>
          </w:rPr>
          <w:t>Parliamentary scrutiny</w:t>
        </w:r>
        <w:r w:rsidR="00FE3CCC">
          <w:rPr>
            <w:webHidden/>
          </w:rPr>
          <w:tab/>
        </w:r>
        <w:r w:rsidR="00FE3CCC">
          <w:rPr>
            <w:webHidden/>
          </w:rPr>
          <w:fldChar w:fldCharType="begin"/>
        </w:r>
        <w:r w:rsidR="00FE3CCC">
          <w:rPr>
            <w:webHidden/>
          </w:rPr>
          <w:instrText xml:space="preserve"> PAGEREF _Toc121381284 \h </w:instrText>
        </w:r>
        <w:r w:rsidR="00FE3CCC">
          <w:rPr>
            <w:webHidden/>
          </w:rPr>
        </w:r>
        <w:r w:rsidR="00FE3CCC">
          <w:rPr>
            <w:webHidden/>
          </w:rPr>
          <w:fldChar w:fldCharType="separate"/>
        </w:r>
        <w:r w:rsidR="00FE3CCC">
          <w:rPr>
            <w:webHidden/>
          </w:rPr>
          <w:t>31</w:t>
        </w:r>
        <w:r w:rsidR="00FE3CCC">
          <w:rPr>
            <w:webHidden/>
          </w:rPr>
          <w:fldChar w:fldCharType="end"/>
        </w:r>
      </w:hyperlink>
    </w:p>
    <w:p w14:paraId="0B7AE33C" w14:textId="56A9EC41"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85" w:history="1">
        <w:r w:rsidR="00FE3CCC" w:rsidRPr="0084672C">
          <w:rPr>
            <w:rStyle w:val="Collegamentoipertestuale"/>
            <w:lang w:val="en-US"/>
          </w:rPr>
          <w:t>(m)</w:t>
        </w:r>
        <w:r w:rsidR="00FE3CCC">
          <w:rPr>
            <w:rFonts w:asciiTheme="minorHAnsi" w:eastAsiaTheme="minorEastAsia" w:hAnsiTheme="minorHAnsi" w:cstheme="minorBidi"/>
            <w:sz w:val="24"/>
            <w:lang w:val="it-IT" w:eastAsia="it-IT"/>
          </w:rPr>
          <w:tab/>
        </w:r>
        <w:r w:rsidR="00FE3CCC" w:rsidRPr="0084672C">
          <w:rPr>
            <w:rStyle w:val="Collegamentoipertestuale"/>
            <w:lang w:val="en-US"/>
          </w:rPr>
          <w:t>Role of the Commission</w:t>
        </w:r>
        <w:r w:rsidR="00FE3CCC">
          <w:rPr>
            <w:webHidden/>
          </w:rPr>
          <w:tab/>
        </w:r>
        <w:r w:rsidR="00FE3CCC">
          <w:rPr>
            <w:webHidden/>
          </w:rPr>
          <w:fldChar w:fldCharType="begin"/>
        </w:r>
        <w:r w:rsidR="00FE3CCC">
          <w:rPr>
            <w:webHidden/>
          </w:rPr>
          <w:instrText xml:space="preserve"> PAGEREF _Toc121381285 \h </w:instrText>
        </w:r>
        <w:r w:rsidR="00FE3CCC">
          <w:rPr>
            <w:webHidden/>
          </w:rPr>
        </w:r>
        <w:r w:rsidR="00FE3CCC">
          <w:rPr>
            <w:webHidden/>
          </w:rPr>
          <w:fldChar w:fldCharType="separate"/>
        </w:r>
        <w:r w:rsidR="00FE3CCC">
          <w:rPr>
            <w:webHidden/>
          </w:rPr>
          <w:t>31</w:t>
        </w:r>
        <w:r w:rsidR="00FE3CCC">
          <w:rPr>
            <w:webHidden/>
          </w:rPr>
          <w:fldChar w:fldCharType="end"/>
        </w:r>
      </w:hyperlink>
    </w:p>
    <w:p w14:paraId="046C27C1" w14:textId="7D17402E" w:rsidR="00FE3CCC" w:rsidRDefault="00000000">
      <w:pPr>
        <w:pStyle w:val="Sommario2"/>
        <w:rPr>
          <w:rFonts w:asciiTheme="minorHAnsi" w:eastAsiaTheme="minorEastAsia" w:hAnsiTheme="minorHAnsi" w:cstheme="minorBidi"/>
          <w:sz w:val="24"/>
          <w:lang w:val="it-IT" w:eastAsia="it-IT"/>
        </w:rPr>
      </w:pPr>
      <w:hyperlink w:anchor="_Toc121381286" w:history="1">
        <w:r w:rsidR="00FE3CCC" w:rsidRPr="0084672C">
          <w:rPr>
            <w:rStyle w:val="Collegamentoipertestuale"/>
          </w:rPr>
          <w:t>Recommendations</w:t>
        </w:r>
        <w:r w:rsidR="00FE3CCC">
          <w:rPr>
            <w:webHidden/>
          </w:rPr>
          <w:tab/>
        </w:r>
        <w:r w:rsidR="00FE3CCC">
          <w:rPr>
            <w:webHidden/>
          </w:rPr>
          <w:fldChar w:fldCharType="begin"/>
        </w:r>
        <w:r w:rsidR="00FE3CCC">
          <w:rPr>
            <w:webHidden/>
          </w:rPr>
          <w:instrText xml:space="preserve"> PAGEREF _Toc121381286 \h </w:instrText>
        </w:r>
        <w:r w:rsidR="00FE3CCC">
          <w:rPr>
            <w:webHidden/>
          </w:rPr>
        </w:r>
        <w:r w:rsidR="00FE3CCC">
          <w:rPr>
            <w:webHidden/>
          </w:rPr>
          <w:fldChar w:fldCharType="separate"/>
        </w:r>
        <w:r w:rsidR="00FE3CCC">
          <w:rPr>
            <w:webHidden/>
          </w:rPr>
          <w:t>32</w:t>
        </w:r>
        <w:r w:rsidR="00FE3CCC">
          <w:rPr>
            <w:webHidden/>
          </w:rPr>
          <w:fldChar w:fldCharType="end"/>
        </w:r>
      </w:hyperlink>
    </w:p>
    <w:p w14:paraId="443DB802" w14:textId="7EBC4362" w:rsidR="00FE3CCC" w:rsidRDefault="00000000">
      <w:pPr>
        <w:pStyle w:val="Sommario2"/>
        <w:rPr>
          <w:rFonts w:asciiTheme="minorHAnsi" w:eastAsiaTheme="minorEastAsia" w:hAnsiTheme="minorHAnsi" w:cstheme="minorBidi"/>
          <w:sz w:val="24"/>
          <w:lang w:val="it-IT" w:eastAsia="it-IT"/>
        </w:rPr>
      </w:pPr>
      <w:hyperlink w:anchor="_Toc121381287" w:history="1">
        <w:r w:rsidR="00FE3CCC" w:rsidRPr="0084672C">
          <w:rPr>
            <w:rStyle w:val="Collegamentoipertestuale"/>
          </w:rPr>
          <w:t>Free &amp; Equal inquiry process</w:t>
        </w:r>
        <w:r w:rsidR="00FE3CCC">
          <w:rPr>
            <w:webHidden/>
          </w:rPr>
          <w:tab/>
        </w:r>
        <w:r w:rsidR="00FE3CCC">
          <w:rPr>
            <w:webHidden/>
          </w:rPr>
          <w:fldChar w:fldCharType="begin"/>
        </w:r>
        <w:r w:rsidR="00FE3CCC">
          <w:rPr>
            <w:webHidden/>
          </w:rPr>
          <w:instrText xml:space="preserve"> PAGEREF _Toc121381287 \h </w:instrText>
        </w:r>
        <w:r w:rsidR="00FE3CCC">
          <w:rPr>
            <w:webHidden/>
          </w:rPr>
        </w:r>
        <w:r w:rsidR="00FE3CCC">
          <w:rPr>
            <w:webHidden/>
          </w:rPr>
          <w:fldChar w:fldCharType="separate"/>
        </w:r>
        <w:r w:rsidR="00FE3CCC">
          <w:rPr>
            <w:webHidden/>
          </w:rPr>
          <w:t>34</w:t>
        </w:r>
        <w:r w:rsidR="00FE3CCC">
          <w:rPr>
            <w:webHidden/>
          </w:rPr>
          <w:fldChar w:fldCharType="end"/>
        </w:r>
      </w:hyperlink>
    </w:p>
    <w:p w14:paraId="0EC8F49A" w14:textId="65C32D2C" w:rsidR="00FE3CCC" w:rsidRDefault="00000000">
      <w:pPr>
        <w:pStyle w:val="Sommario2"/>
        <w:rPr>
          <w:rFonts w:asciiTheme="minorHAnsi" w:eastAsiaTheme="minorEastAsia" w:hAnsiTheme="minorHAnsi" w:cstheme="minorBidi"/>
          <w:sz w:val="24"/>
          <w:lang w:val="it-IT" w:eastAsia="it-IT"/>
        </w:rPr>
      </w:pPr>
      <w:hyperlink w:anchor="_Toc121381288" w:history="1">
        <w:r w:rsidR="00FE3CCC" w:rsidRPr="0084672C">
          <w:rPr>
            <w:rStyle w:val="Collegamentoipertestuale"/>
          </w:rPr>
          <w:t>Outcomes – the value of human rights</w:t>
        </w:r>
        <w:r w:rsidR="00FE3CCC">
          <w:rPr>
            <w:webHidden/>
          </w:rPr>
          <w:tab/>
        </w:r>
        <w:r w:rsidR="00FE3CCC">
          <w:rPr>
            <w:webHidden/>
          </w:rPr>
          <w:fldChar w:fldCharType="begin"/>
        </w:r>
        <w:r w:rsidR="00FE3CCC">
          <w:rPr>
            <w:webHidden/>
          </w:rPr>
          <w:instrText xml:space="preserve"> PAGEREF _Toc121381288 \h </w:instrText>
        </w:r>
        <w:r w:rsidR="00FE3CCC">
          <w:rPr>
            <w:webHidden/>
          </w:rPr>
        </w:r>
        <w:r w:rsidR="00FE3CCC">
          <w:rPr>
            <w:webHidden/>
          </w:rPr>
          <w:fldChar w:fldCharType="separate"/>
        </w:r>
        <w:r w:rsidR="00FE3CCC">
          <w:rPr>
            <w:webHidden/>
          </w:rPr>
          <w:t>35</w:t>
        </w:r>
        <w:r w:rsidR="00FE3CCC">
          <w:rPr>
            <w:webHidden/>
          </w:rPr>
          <w:fldChar w:fldCharType="end"/>
        </w:r>
      </w:hyperlink>
    </w:p>
    <w:p w14:paraId="4E5C838C" w14:textId="5C46B672" w:rsidR="00FE3CCC" w:rsidRDefault="00000000">
      <w:pPr>
        <w:pStyle w:val="Sommario2"/>
        <w:rPr>
          <w:rFonts w:asciiTheme="minorHAnsi" w:eastAsiaTheme="minorEastAsia" w:hAnsiTheme="minorHAnsi" w:cstheme="minorBidi"/>
          <w:sz w:val="24"/>
          <w:lang w:val="it-IT" w:eastAsia="it-IT"/>
        </w:rPr>
      </w:pPr>
      <w:hyperlink w:anchor="_Toc121381289" w:history="1">
        <w:r w:rsidR="00FE3CCC" w:rsidRPr="0084672C">
          <w:rPr>
            <w:rStyle w:val="Collegamentoipertestuale"/>
          </w:rPr>
          <w:t>Responding to COVID-19 – a case study</w:t>
        </w:r>
        <w:r w:rsidR="00FE3CCC">
          <w:rPr>
            <w:webHidden/>
          </w:rPr>
          <w:tab/>
        </w:r>
        <w:r w:rsidR="00FE3CCC">
          <w:rPr>
            <w:webHidden/>
          </w:rPr>
          <w:fldChar w:fldCharType="begin"/>
        </w:r>
        <w:r w:rsidR="00FE3CCC">
          <w:rPr>
            <w:webHidden/>
          </w:rPr>
          <w:instrText xml:space="preserve"> PAGEREF _Toc121381289 \h </w:instrText>
        </w:r>
        <w:r w:rsidR="00FE3CCC">
          <w:rPr>
            <w:webHidden/>
          </w:rPr>
        </w:r>
        <w:r w:rsidR="00FE3CCC">
          <w:rPr>
            <w:webHidden/>
          </w:rPr>
          <w:fldChar w:fldCharType="separate"/>
        </w:r>
        <w:r w:rsidR="00FE3CCC">
          <w:rPr>
            <w:webHidden/>
          </w:rPr>
          <w:t>37</w:t>
        </w:r>
        <w:r w:rsidR="00FE3CCC">
          <w:rPr>
            <w:webHidden/>
          </w:rPr>
          <w:fldChar w:fldCharType="end"/>
        </w:r>
      </w:hyperlink>
    </w:p>
    <w:p w14:paraId="4E2F7643" w14:textId="5FFB4B68"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90" w:history="1">
        <w:r w:rsidR="00FE3CCC" w:rsidRPr="0084672C">
          <w:rPr>
            <w:rStyle w:val="Collegamentoipertestuale"/>
          </w:rPr>
          <w:t>(a)</w:t>
        </w:r>
        <w:r w:rsidR="00FE3CCC">
          <w:rPr>
            <w:rFonts w:asciiTheme="minorHAnsi" w:eastAsiaTheme="minorEastAsia" w:hAnsiTheme="minorHAnsi" w:cstheme="minorBidi"/>
            <w:sz w:val="24"/>
            <w:lang w:val="it-IT" w:eastAsia="it-IT"/>
          </w:rPr>
          <w:tab/>
        </w:r>
        <w:r w:rsidR="00FE3CCC" w:rsidRPr="0084672C">
          <w:rPr>
            <w:rStyle w:val="Collegamentoipertestuale"/>
          </w:rPr>
          <w:t>Role of human rights in times of crisis</w:t>
        </w:r>
        <w:r w:rsidR="00FE3CCC">
          <w:rPr>
            <w:webHidden/>
          </w:rPr>
          <w:tab/>
        </w:r>
        <w:r w:rsidR="00FE3CCC">
          <w:rPr>
            <w:webHidden/>
          </w:rPr>
          <w:fldChar w:fldCharType="begin"/>
        </w:r>
        <w:r w:rsidR="00FE3CCC">
          <w:rPr>
            <w:webHidden/>
          </w:rPr>
          <w:instrText xml:space="preserve"> PAGEREF _Toc121381290 \h </w:instrText>
        </w:r>
        <w:r w:rsidR="00FE3CCC">
          <w:rPr>
            <w:webHidden/>
          </w:rPr>
        </w:r>
        <w:r w:rsidR="00FE3CCC">
          <w:rPr>
            <w:webHidden/>
          </w:rPr>
          <w:fldChar w:fldCharType="separate"/>
        </w:r>
        <w:r w:rsidR="00FE3CCC">
          <w:rPr>
            <w:webHidden/>
          </w:rPr>
          <w:t>37</w:t>
        </w:r>
        <w:r w:rsidR="00FE3CCC">
          <w:rPr>
            <w:webHidden/>
          </w:rPr>
          <w:fldChar w:fldCharType="end"/>
        </w:r>
      </w:hyperlink>
    </w:p>
    <w:p w14:paraId="0DD8D178" w14:textId="3250551A"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91" w:history="1">
        <w:r w:rsidR="00FE3CCC" w:rsidRPr="0084672C">
          <w:rPr>
            <w:rStyle w:val="Collegamentoipertestuale"/>
          </w:rPr>
          <w:t>(b)</w:t>
        </w:r>
        <w:r w:rsidR="00FE3CCC">
          <w:rPr>
            <w:rFonts w:asciiTheme="minorHAnsi" w:eastAsiaTheme="minorEastAsia" w:hAnsiTheme="minorHAnsi" w:cstheme="minorBidi"/>
            <w:sz w:val="24"/>
            <w:lang w:val="it-IT" w:eastAsia="it-IT"/>
          </w:rPr>
          <w:tab/>
        </w:r>
        <w:r w:rsidR="00FE3CCC" w:rsidRPr="0084672C">
          <w:rPr>
            <w:rStyle w:val="Collegamentoipertestuale"/>
          </w:rPr>
          <w:t>Some key human rights concerns associated with Australia’s COVID-19 response</w:t>
        </w:r>
        <w:r w:rsidR="00FE3CCC">
          <w:rPr>
            <w:webHidden/>
          </w:rPr>
          <w:tab/>
        </w:r>
        <w:r w:rsidR="00FE3CCC">
          <w:rPr>
            <w:webHidden/>
          </w:rPr>
          <w:fldChar w:fldCharType="begin"/>
        </w:r>
        <w:r w:rsidR="00FE3CCC">
          <w:rPr>
            <w:webHidden/>
          </w:rPr>
          <w:instrText xml:space="preserve"> PAGEREF _Toc121381291 \h </w:instrText>
        </w:r>
        <w:r w:rsidR="00FE3CCC">
          <w:rPr>
            <w:webHidden/>
          </w:rPr>
        </w:r>
        <w:r w:rsidR="00FE3CCC">
          <w:rPr>
            <w:webHidden/>
          </w:rPr>
          <w:fldChar w:fldCharType="separate"/>
        </w:r>
        <w:r w:rsidR="00FE3CCC">
          <w:rPr>
            <w:webHidden/>
          </w:rPr>
          <w:t>38</w:t>
        </w:r>
        <w:r w:rsidR="00FE3CCC">
          <w:rPr>
            <w:webHidden/>
          </w:rPr>
          <w:fldChar w:fldCharType="end"/>
        </w:r>
      </w:hyperlink>
    </w:p>
    <w:p w14:paraId="51E89600" w14:textId="629E4A05"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92" w:history="1">
        <w:r w:rsidR="00FE3CCC" w:rsidRPr="0084672C">
          <w:rPr>
            <w:rStyle w:val="Collegamentoipertestuale"/>
          </w:rPr>
          <w:t>(c)</w:t>
        </w:r>
        <w:r w:rsidR="00FE3CCC">
          <w:rPr>
            <w:rFonts w:asciiTheme="minorHAnsi" w:eastAsiaTheme="minorEastAsia" w:hAnsiTheme="minorHAnsi" w:cstheme="minorBidi"/>
            <w:sz w:val="24"/>
            <w:lang w:val="it-IT" w:eastAsia="it-IT"/>
          </w:rPr>
          <w:tab/>
        </w:r>
        <w:r w:rsidR="00FE3CCC" w:rsidRPr="0084672C">
          <w:rPr>
            <w:rStyle w:val="Collegamentoipertestuale"/>
          </w:rPr>
          <w:t>The role of a Human Rights Act</w:t>
        </w:r>
        <w:r w:rsidR="00FE3CCC">
          <w:rPr>
            <w:webHidden/>
          </w:rPr>
          <w:tab/>
        </w:r>
        <w:r w:rsidR="00FE3CCC">
          <w:rPr>
            <w:webHidden/>
          </w:rPr>
          <w:fldChar w:fldCharType="begin"/>
        </w:r>
        <w:r w:rsidR="00FE3CCC">
          <w:rPr>
            <w:webHidden/>
          </w:rPr>
          <w:instrText xml:space="preserve"> PAGEREF _Toc121381292 \h </w:instrText>
        </w:r>
        <w:r w:rsidR="00FE3CCC">
          <w:rPr>
            <w:webHidden/>
          </w:rPr>
        </w:r>
        <w:r w:rsidR="00FE3CCC">
          <w:rPr>
            <w:webHidden/>
          </w:rPr>
          <w:fldChar w:fldCharType="separate"/>
        </w:r>
        <w:r w:rsidR="00FE3CCC">
          <w:rPr>
            <w:webHidden/>
          </w:rPr>
          <w:t>39</w:t>
        </w:r>
        <w:r w:rsidR="00FE3CCC">
          <w:rPr>
            <w:webHidden/>
          </w:rPr>
          <w:fldChar w:fldCharType="end"/>
        </w:r>
      </w:hyperlink>
    </w:p>
    <w:p w14:paraId="62CF5AAF" w14:textId="507288DF" w:rsidR="00FE3CCC" w:rsidRDefault="00000000">
      <w:pPr>
        <w:pStyle w:val="Sommario3"/>
        <w:tabs>
          <w:tab w:val="left" w:pos="1701"/>
        </w:tabs>
        <w:rPr>
          <w:rFonts w:asciiTheme="minorHAnsi" w:eastAsiaTheme="minorEastAsia" w:hAnsiTheme="minorHAnsi" w:cstheme="minorBidi"/>
          <w:sz w:val="24"/>
          <w:lang w:val="it-IT" w:eastAsia="it-IT"/>
        </w:rPr>
      </w:pPr>
      <w:hyperlink w:anchor="_Toc121381293" w:history="1">
        <w:r w:rsidR="00FE3CCC" w:rsidRPr="0084672C">
          <w:rPr>
            <w:rStyle w:val="Collegamentoipertestuale"/>
          </w:rPr>
          <w:t>(d)</w:t>
        </w:r>
        <w:r w:rsidR="00FE3CCC">
          <w:rPr>
            <w:rFonts w:asciiTheme="minorHAnsi" w:eastAsiaTheme="minorEastAsia" w:hAnsiTheme="minorHAnsi" w:cstheme="minorBidi"/>
            <w:sz w:val="24"/>
            <w:lang w:val="it-IT" w:eastAsia="it-IT"/>
          </w:rPr>
          <w:tab/>
        </w:r>
        <w:r w:rsidR="00FE3CCC" w:rsidRPr="0084672C">
          <w:rPr>
            <w:rStyle w:val="Collegamentoipertestuale"/>
          </w:rPr>
          <w:t>Examples of how Human Rights Acts have been used to address COVID-19</w:t>
        </w:r>
        <w:r w:rsidR="00FE3CCC">
          <w:rPr>
            <w:webHidden/>
          </w:rPr>
          <w:tab/>
        </w:r>
        <w:r w:rsidR="00FE3CCC">
          <w:rPr>
            <w:webHidden/>
          </w:rPr>
          <w:fldChar w:fldCharType="begin"/>
        </w:r>
        <w:r w:rsidR="00FE3CCC">
          <w:rPr>
            <w:webHidden/>
          </w:rPr>
          <w:instrText xml:space="preserve"> PAGEREF _Toc121381293 \h </w:instrText>
        </w:r>
        <w:r w:rsidR="00FE3CCC">
          <w:rPr>
            <w:webHidden/>
          </w:rPr>
        </w:r>
        <w:r w:rsidR="00FE3CCC">
          <w:rPr>
            <w:webHidden/>
          </w:rPr>
          <w:fldChar w:fldCharType="separate"/>
        </w:r>
        <w:r w:rsidR="00FE3CCC">
          <w:rPr>
            <w:webHidden/>
          </w:rPr>
          <w:t>41</w:t>
        </w:r>
        <w:r w:rsidR="00FE3CCC">
          <w:rPr>
            <w:webHidden/>
          </w:rPr>
          <w:fldChar w:fldCharType="end"/>
        </w:r>
      </w:hyperlink>
    </w:p>
    <w:p w14:paraId="327322D5" w14:textId="47D6DFDD" w:rsidR="00FE4F1D" w:rsidRDefault="0086329D" w:rsidP="00913639">
      <w:r>
        <w:rPr>
          <w:b/>
          <w:noProof/>
          <w:color w:val="2B579A"/>
        </w:rPr>
        <w:fldChar w:fldCharType="end"/>
      </w:r>
    </w:p>
    <w:p w14:paraId="1581ADC9" w14:textId="77777777" w:rsidR="00FE4F1D" w:rsidRDefault="00FE4F1D">
      <w:pPr>
        <w:keepLines w:val="0"/>
        <w:spacing w:after="0" w:line="240" w:lineRule="auto"/>
      </w:pPr>
      <w:r>
        <w:br w:type="page"/>
      </w:r>
    </w:p>
    <w:p w14:paraId="2AF4A474" w14:textId="77777777" w:rsidR="00FE4F1D" w:rsidRPr="00007446" w:rsidRDefault="00FE4F1D" w:rsidP="00FE4F1D">
      <w:pPr>
        <w:tabs>
          <w:tab w:val="left" w:pos="1074"/>
        </w:tabs>
      </w:pPr>
    </w:p>
    <w:p w14:paraId="0655C4F8" w14:textId="77777777" w:rsidR="00FE4F1D" w:rsidRDefault="00FE4F1D" w:rsidP="00FE4F1D"/>
    <w:p w14:paraId="237214DE" w14:textId="77777777" w:rsidR="00FE4F1D" w:rsidRDefault="00FE4F1D" w:rsidP="00FE4F1D"/>
    <w:p w14:paraId="09956C61" w14:textId="77777777" w:rsidR="00FE4F1D" w:rsidRDefault="00FE4F1D" w:rsidP="00FE4F1D"/>
    <w:p w14:paraId="446B6921" w14:textId="77777777" w:rsidR="00FE4F1D" w:rsidRDefault="00FE4F1D" w:rsidP="00FE4F1D"/>
    <w:p w14:paraId="67ACF10D" w14:textId="77777777" w:rsidR="00FE4F1D" w:rsidRPr="00007446" w:rsidRDefault="00FE4F1D" w:rsidP="00FE4F1D"/>
    <w:p w14:paraId="70A8664C" w14:textId="77777777" w:rsidR="00FE4F1D" w:rsidRPr="00D83E4F" w:rsidRDefault="00FE4F1D" w:rsidP="00FE4F1D">
      <w:pPr>
        <w:pStyle w:val="MainTitle"/>
      </w:pPr>
      <w:r>
        <w:t>A</w:t>
      </w:r>
      <w:r w:rsidRPr="00D83E4F">
        <w:t xml:space="preserve"> Human Rights Act for Australia</w:t>
      </w:r>
    </w:p>
    <w:p w14:paraId="07696501" w14:textId="61877359" w:rsidR="00FE4F1D" w:rsidRPr="00126E8E" w:rsidRDefault="00FE4F1D" w:rsidP="00FE4F1D">
      <w:pPr>
        <w:pStyle w:val="Sottotitolo"/>
      </w:pPr>
      <w:bookmarkStart w:id="2" w:name="_Toc120475773"/>
      <w:r w:rsidRPr="00126E8E">
        <w:t>Position paper: Free and Equal</w:t>
      </w:r>
      <w:bookmarkEnd w:id="2"/>
    </w:p>
    <w:p w14:paraId="71548059" w14:textId="77777777" w:rsidR="00FE4F1D" w:rsidRPr="0081516D" w:rsidRDefault="00FE4F1D" w:rsidP="00FE4F1D"/>
    <w:p w14:paraId="51CCBDE2" w14:textId="77777777" w:rsidR="00FE4F1D" w:rsidRPr="0081516D" w:rsidRDefault="00FE4F1D" w:rsidP="00FE4F1D"/>
    <w:p w14:paraId="369D6224" w14:textId="1DCC0666" w:rsidR="00FE4F1D" w:rsidRPr="001A5535" w:rsidRDefault="001A5535" w:rsidP="001A5535">
      <w:pPr>
        <w:pStyle w:val="Sottotitolo"/>
        <w:rPr>
          <w:rStyle w:val="Enfasigrassetto"/>
        </w:rPr>
      </w:pPr>
      <w:r w:rsidRPr="001A5535">
        <w:rPr>
          <w:rStyle w:val="Enfasigrassetto"/>
        </w:rPr>
        <w:t xml:space="preserve">Summary </w:t>
      </w:r>
      <w:r w:rsidR="00DE5D9A">
        <w:rPr>
          <w:rStyle w:val="Enfasigrassetto"/>
        </w:rPr>
        <w:t>r</w:t>
      </w:r>
      <w:r w:rsidRPr="001A5535">
        <w:rPr>
          <w:rStyle w:val="Enfasigrassetto"/>
        </w:rPr>
        <w:t>eport</w:t>
      </w:r>
    </w:p>
    <w:p w14:paraId="4ECACD27" w14:textId="77777777" w:rsidR="00FE4F1D" w:rsidRDefault="00FE4F1D" w:rsidP="00FE4F1D"/>
    <w:p w14:paraId="552D3559" w14:textId="77777777" w:rsidR="00FE4F1D" w:rsidRDefault="00FE4F1D" w:rsidP="00FE4F1D"/>
    <w:p w14:paraId="42646B8D" w14:textId="77777777" w:rsidR="00FE4F1D" w:rsidRDefault="00FE4F1D" w:rsidP="00FE4F1D"/>
    <w:p w14:paraId="217EE05C" w14:textId="77777777" w:rsidR="00FE4F1D" w:rsidRDefault="00FE4F1D" w:rsidP="00FE4F1D"/>
    <w:p w14:paraId="1B71DEA0" w14:textId="77777777" w:rsidR="00FE4F1D" w:rsidRDefault="00FE4F1D" w:rsidP="00FE4F1D"/>
    <w:p w14:paraId="7A765240" w14:textId="77777777" w:rsidR="00FE4F1D" w:rsidRDefault="00FE4F1D" w:rsidP="00FE4F1D"/>
    <w:p w14:paraId="283E4EF2" w14:textId="77777777" w:rsidR="00FE4F1D" w:rsidRDefault="00FE4F1D" w:rsidP="00FE4F1D"/>
    <w:p w14:paraId="796770C1" w14:textId="77777777" w:rsidR="00FE4F1D" w:rsidRDefault="00FE4F1D" w:rsidP="00FE4F1D"/>
    <w:p w14:paraId="105D89F6" w14:textId="77777777" w:rsidR="00FE4F1D" w:rsidRPr="0081516D" w:rsidRDefault="00FE4F1D" w:rsidP="00FE4F1D">
      <w:pPr>
        <w:jc w:val="center"/>
      </w:pPr>
      <w:r>
        <w:rPr>
          <w:noProof/>
        </w:rPr>
        <w:drawing>
          <wp:inline distT="0" distB="0" distL="0" distR="0" wp14:anchorId="77CD7DFF" wp14:editId="512A5EE6">
            <wp:extent cx="1983783" cy="650252"/>
            <wp:effectExtent l="0" t="0" r="0" b="0"/>
            <wp:docPr id="11" name="Immagine 11" descr="Free &amp; Equal logo&#10;An Australian Conversation on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Free &amp; Equal logo&#10;An Australian Conversation on Human Righ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7016" cy="654590"/>
                    </a:xfrm>
                    <a:prstGeom prst="rect">
                      <a:avLst/>
                    </a:prstGeom>
                  </pic:spPr>
                </pic:pic>
              </a:graphicData>
            </a:graphic>
          </wp:inline>
        </w:drawing>
      </w:r>
      <w:r>
        <w:t xml:space="preserve">         </w:t>
      </w:r>
      <w:r>
        <w:rPr>
          <w:noProof/>
        </w:rPr>
        <w:drawing>
          <wp:inline distT="0" distB="0" distL="0" distR="0" wp14:anchorId="1FF5C6A6" wp14:editId="64C1DBCF">
            <wp:extent cx="1658319" cy="569848"/>
            <wp:effectExtent l="0" t="0" r="5715" b="1905"/>
            <wp:docPr id="14" name="Immagine 14" descr="Australian Human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Australian Human Rights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5912" cy="589639"/>
                    </a:xfrm>
                    <a:prstGeom prst="rect">
                      <a:avLst/>
                    </a:prstGeom>
                  </pic:spPr>
                </pic:pic>
              </a:graphicData>
            </a:graphic>
          </wp:inline>
        </w:drawing>
      </w:r>
    </w:p>
    <w:p w14:paraId="6F8260EE" w14:textId="77777777" w:rsidR="00FE4F1D" w:rsidRPr="0081516D" w:rsidRDefault="00FE4F1D" w:rsidP="00FE4F1D">
      <w:r w:rsidRPr="0081516D">
        <w:br w:type="page"/>
      </w:r>
    </w:p>
    <w:p w14:paraId="7E05DF0D" w14:textId="50890851" w:rsidR="00824386" w:rsidRPr="009821F8" w:rsidRDefault="00824386" w:rsidP="009821F8">
      <w:pPr>
        <w:pStyle w:val="Titolo"/>
      </w:pPr>
      <w:bookmarkStart w:id="3" w:name="_Toc121381270"/>
      <w:r>
        <w:lastRenderedPageBreak/>
        <w:t>President’s foreword</w:t>
      </w:r>
      <w:bookmarkEnd w:id="3"/>
    </w:p>
    <w:p w14:paraId="2A722121" w14:textId="58F85D4B" w:rsidR="00824386" w:rsidRDefault="00824386" w:rsidP="00705803">
      <w:pPr>
        <w:rPr>
          <w:rFonts w:cs="Open Sans"/>
          <w:lang w:val="en-US"/>
        </w:rPr>
      </w:pPr>
      <w:r>
        <w:rPr>
          <w:rFonts w:cs="Open Sans"/>
          <w:lang w:val="en-US"/>
        </w:rPr>
        <w:t xml:space="preserve">This </w:t>
      </w:r>
      <w:r w:rsidRPr="00705803">
        <w:t>Position Paper offers a model for an Australian Human Rights Act and associated reforms. It seeks to complete the central, missing piece of our domestic legislative framework for the promotion and protection of human rights in Australia – by bringing rights</w:t>
      </w:r>
      <w:r>
        <w:rPr>
          <w:rFonts w:cs="Open Sans"/>
          <w:lang w:val="en-US"/>
        </w:rPr>
        <w:t xml:space="preserve"> home.</w:t>
      </w:r>
    </w:p>
    <w:p w14:paraId="424AE3B8" w14:textId="2B539403" w:rsidR="00824386" w:rsidRDefault="00824386" w:rsidP="00824386">
      <w:pPr>
        <w:spacing w:before="120" w:line="276" w:lineRule="auto"/>
        <w:rPr>
          <w:rFonts w:cs="Open Sans"/>
          <w:lang w:val="en-US"/>
        </w:rPr>
      </w:pPr>
      <w:r w:rsidRPr="51A980E7">
        <w:rPr>
          <w:rFonts w:cs="Open Sans"/>
          <w:lang w:val="en-US"/>
        </w:rPr>
        <w:t>In doing so, it proposes how to</w:t>
      </w:r>
      <w:r>
        <w:rPr>
          <w:rFonts w:cs="Open Sans"/>
          <w:lang w:val="en-US"/>
        </w:rPr>
        <w:t xml:space="preserve"> </w:t>
      </w:r>
      <w:r w:rsidRPr="51A980E7">
        <w:rPr>
          <w:rFonts w:cs="Open Sans"/>
          <w:lang w:val="en-US"/>
        </w:rPr>
        <w:t>belatedly meet the intended</w:t>
      </w:r>
      <w:r>
        <w:rPr>
          <w:rFonts w:cs="Open Sans"/>
          <w:lang w:val="en-US"/>
        </w:rPr>
        <w:t xml:space="preserve"> design of the Australian Human Rights Commission itself</w:t>
      </w:r>
      <w:r w:rsidRPr="51A980E7">
        <w:rPr>
          <w:rFonts w:cs="Open Sans"/>
          <w:lang w:val="en-US"/>
        </w:rPr>
        <w:t>. When established on a permanent footing in 1986, the Commission was intended to have</w:t>
      </w:r>
      <w:r>
        <w:rPr>
          <w:rFonts w:cs="Open Sans"/>
          <w:lang w:val="en-US"/>
        </w:rPr>
        <w:t xml:space="preserve"> a complaint handling jurisdiction for human rights complaints </w:t>
      </w:r>
      <w:r w:rsidRPr="51A980E7">
        <w:rPr>
          <w:rFonts w:cs="Open Sans"/>
        </w:rPr>
        <w:t>through</w:t>
      </w:r>
      <w:r w:rsidRPr="00DC54F1">
        <w:rPr>
          <w:rFonts w:cs="Open Sans"/>
        </w:rPr>
        <w:t xml:space="preserve"> </w:t>
      </w:r>
      <w:r>
        <w:rPr>
          <w:rFonts w:cs="Open Sans"/>
        </w:rPr>
        <w:t xml:space="preserve">an </w:t>
      </w:r>
      <w:r w:rsidRPr="00DC54F1">
        <w:rPr>
          <w:rFonts w:cs="Open Sans"/>
        </w:rPr>
        <w:t>Australian Bill of Rights Act</w:t>
      </w:r>
      <w:r>
        <w:rPr>
          <w:rFonts w:cs="Open Sans"/>
        </w:rPr>
        <w:t>.</w:t>
      </w:r>
    </w:p>
    <w:p w14:paraId="4E0ED632" w14:textId="1577F4B8" w:rsidR="00824386" w:rsidRDefault="00824386" w:rsidP="00824386">
      <w:pPr>
        <w:spacing w:before="120" w:line="276" w:lineRule="auto"/>
        <w:rPr>
          <w:rFonts w:cs="Open Sans"/>
        </w:rPr>
      </w:pPr>
      <w:r>
        <w:rPr>
          <w:rFonts w:cs="Open Sans"/>
          <w:lang w:val="en-US"/>
        </w:rPr>
        <w:t xml:space="preserve">While </w:t>
      </w:r>
      <w:r w:rsidRPr="017E0E5C">
        <w:rPr>
          <w:rFonts w:cs="Open Sans"/>
          <w:lang w:val="en-US"/>
        </w:rPr>
        <w:t xml:space="preserve">every other country in the Commonwealth </w:t>
      </w:r>
      <w:r w:rsidRPr="00DC54F1">
        <w:rPr>
          <w:rFonts w:cs="Open Sans"/>
          <w:lang w:val="en-US"/>
        </w:rPr>
        <w:t xml:space="preserve">of Nations has moved forward by introducing comprehensive human rights protections in </w:t>
      </w:r>
      <w:r>
        <w:rPr>
          <w:rFonts w:cs="Open Sans"/>
          <w:lang w:val="en-US"/>
        </w:rPr>
        <w:t xml:space="preserve">domestic </w:t>
      </w:r>
      <w:r w:rsidRPr="00DC54F1">
        <w:rPr>
          <w:rFonts w:cs="Open Sans"/>
          <w:lang w:val="en-US"/>
        </w:rPr>
        <w:t>legislation</w:t>
      </w:r>
      <w:r>
        <w:rPr>
          <w:rFonts w:cs="Open Sans"/>
          <w:lang w:val="en-US"/>
        </w:rPr>
        <w:t>, Australia</w:t>
      </w:r>
      <w:r w:rsidRPr="00DC54F1">
        <w:rPr>
          <w:rFonts w:cs="Open Sans"/>
          <w:lang w:val="en-US"/>
        </w:rPr>
        <w:t xml:space="preserve"> stand</w:t>
      </w:r>
      <w:r>
        <w:rPr>
          <w:rFonts w:cs="Open Sans"/>
          <w:lang w:val="en-US"/>
        </w:rPr>
        <w:t>s</w:t>
      </w:r>
      <w:r w:rsidRPr="00DC54F1">
        <w:rPr>
          <w:rFonts w:cs="Open Sans"/>
          <w:lang w:val="en-US"/>
        </w:rPr>
        <w:t xml:space="preserve"> alone </w:t>
      </w:r>
      <w:r w:rsidRPr="017E0E5C">
        <w:rPr>
          <w:rFonts w:cs="Open Sans"/>
          <w:lang w:val="en-US"/>
        </w:rPr>
        <w:t xml:space="preserve">in </w:t>
      </w:r>
      <w:r w:rsidRPr="00DC54F1">
        <w:rPr>
          <w:rFonts w:cs="Open Sans"/>
          <w:lang w:val="en-US"/>
        </w:rPr>
        <w:t xml:space="preserve">not having introduced </w:t>
      </w:r>
      <w:r w:rsidRPr="6A0DCB2A">
        <w:rPr>
          <w:rFonts w:cs="Open Sans"/>
          <w:lang w:val="en-US"/>
        </w:rPr>
        <w:t>a Human R</w:t>
      </w:r>
      <w:r w:rsidR="00644535">
        <w:rPr>
          <w:rFonts w:cs="Open Sans"/>
          <w:lang w:val="en-US"/>
        </w:rPr>
        <w:t>i</w:t>
      </w:r>
      <w:r w:rsidRPr="6A0DCB2A">
        <w:rPr>
          <w:rFonts w:cs="Open Sans"/>
          <w:lang w:val="en-US"/>
        </w:rPr>
        <w:t>ghts Act.</w:t>
      </w:r>
    </w:p>
    <w:p w14:paraId="2A3C1987" w14:textId="40621187" w:rsidR="00824386" w:rsidRDefault="00824386" w:rsidP="00824386">
      <w:pPr>
        <w:spacing w:before="120" w:line="276" w:lineRule="auto"/>
        <w:rPr>
          <w:rFonts w:cs="Open Sans"/>
        </w:rPr>
      </w:pPr>
      <w:r>
        <w:rPr>
          <w:rFonts w:cs="Open Sans"/>
        </w:rPr>
        <w:t>But just because ‘everyone else’ has one, does that necessarily mean that we need one too? That is a fair question to ask</w:t>
      </w:r>
      <w:r w:rsidRPr="017E0E5C">
        <w:rPr>
          <w:rFonts w:cs="Open Sans"/>
        </w:rPr>
        <w:t>.</w:t>
      </w:r>
      <w:r>
        <w:rPr>
          <w:rFonts w:cs="Open Sans"/>
        </w:rPr>
        <w:t xml:space="preserve"> </w:t>
      </w:r>
      <w:r w:rsidR="002C48E0" w:rsidRPr="007943F8">
        <w:rPr>
          <w:rFonts w:cs="Open Sans"/>
        </w:rPr>
        <w:t xml:space="preserve">There is a strong sense of rights and freedoms in </w:t>
      </w:r>
      <w:proofErr w:type="gramStart"/>
      <w:r w:rsidR="002C48E0" w:rsidRPr="007943F8">
        <w:rPr>
          <w:rFonts w:cs="Open Sans"/>
        </w:rPr>
        <w:t>Australia</w:t>
      </w:r>
      <w:proofErr w:type="gramEnd"/>
      <w:r w:rsidR="009A5063">
        <w:rPr>
          <w:rFonts w:cs="Open Sans"/>
        </w:rPr>
        <w:t xml:space="preserve"> and s</w:t>
      </w:r>
      <w:r>
        <w:rPr>
          <w:rFonts w:cs="Open Sans"/>
        </w:rPr>
        <w:t xml:space="preserve">ome argue that our rights and freedoms are protected well enough without one. Our experience with COVID-19 responses challenges that assertion. That indefinite administrative detention is not unlawful under our existing laws suggests why our current protections, including the </w:t>
      </w:r>
      <w:r w:rsidRPr="00E67C56">
        <w:rPr>
          <w:rFonts w:cs="Open Sans"/>
        </w:rPr>
        <w:t>rule</w:t>
      </w:r>
      <w:r>
        <w:rPr>
          <w:rFonts w:cs="Open Sans"/>
        </w:rPr>
        <w:t xml:space="preserve"> of statutory construction, known </w:t>
      </w:r>
      <w:r w:rsidRPr="00E67C56">
        <w:rPr>
          <w:rFonts w:cs="Open Sans"/>
        </w:rPr>
        <w:t xml:space="preserve">as </w:t>
      </w:r>
      <w:r>
        <w:rPr>
          <w:rFonts w:cs="Open Sans"/>
        </w:rPr>
        <w:t>the principle of legality, are just not enough.</w:t>
      </w:r>
    </w:p>
    <w:p w14:paraId="5EAC0FF5" w14:textId="44D45BB8" w:rsidR="00824386" w:rsidRDefault="00824386" w:rsidP="00824386">
      <w:pPr>
        <w:spacing w:before="120" w:line="276" w:lineRule="auto"/>
        <w:rPr>
          <w:rFonts w:cs="Open Sans"/>
        </w:rPr>
      </w:pPr>
      <w:r w:rsidRPr="6A0DCB2A">
        <w:rPr>
          <w:rFonts w:cs="Open Sans"/>
        </w:rPr>
        <w:t xml:space="preserve">The Commission has been handling human rights complaints since 1981, </w:t>
      </w:r>
      <w:r w:rsidR="00B45A61">
        <w:rPr>
          <w:rFonts w:cs="Open Sans"/>
        </w:rPr>
        <w:t>through the lens of the international treaties</w:t>
      </w:r>
      <w:r w:rsidR="007106C1">
        <w:rPr>
          <w:rFonts w:cs="Open Sans"/>
        </w:rPr>
        <w:t>, and</w:t>
      </w:r>
      <w:r w:rsidRPr="6A0DCB2A">
        <w:rPr>
          <w:rFonts w:cs="Open Sans"/>
        </w:rPr>
        <w:t xml:space="preserve"> we seek to resolve matters through conciliation. However, this process is without any recourse to enforceable remedies through the courts. This stands in contrast to complaints brought under federal discrimination laws that the Commission also administers.</w:t>
      </w:r>
    </w:p>
    <w:p w14:paraId="09ED0186" w14:textId="6A256460" w:rsidR="00824386" w:rsidRDefault="00824386" w:rsidP="00824386">
      <w:pPr>
        <w:spacing w:before="120" w:line="276" w:lineRule="auto"/>
        <w:rPr>
          <w:rFonts w:cs="Open Sans"/>
        </w:rPr>
      </w:pPr>
      <w:r w:rsidRPr="6A0DCB2A">
        <w:rPr>
          <w:rFonts w:cs="Open Sans"/>
        </w:rPr>
        <w:t>Providing a pathway to enforceable remedies in a Human Rights Act would substantially improve access to justice and accountability for government decision making.</w:t>
      </w:r>
    </w:p>
    <w:p w14:paraId="64602B26" w14:textId="52F62FC6" w:rsidR="00824386" w:rsidRDefault="00824386" w:rsidP="00824386">
      <w:pPr>
        <w:spacing w:before="120" w:line="276" w:lineRule="auto"/>
        <w:rPr>
          <w:rFonts w:cs="Open Sans"/>
        </w:rPr>
      </w:pPr>
      <w:r w:rsidRPr="6A0DCB2A">
        <w:rPr>
          <w:rFonts w:cs="Open Sans"/>
        </w:rPr>
        <w:t>As it stands, our</w:t>
      </w:r>
      <w:r>
        <w:rPr>
          <w:rFonts w:cs="Open Sans"/>
        </w:rPr>
        <w:t xml:space="preserve"> Constitution protects some rights, expressly or impliedly, the </w:t>
      </w:r>
      <w:r w:rsidRPr="00E67C56">
        <w:rPr>
          <w:rFonts w:cs="Open Sans"/>
        </w:rPr>
        <w:t>principle of legality</w:t>
      </w:r>
      <w:r>
        <w:rPr>
          <w:rFonts w:cs="Open Sans"/>
        </w:rPr>
        <w:t xml:space="preserve"> acts as a handbrake of a limited kind on encroachment of rights, and the parliamentary scrutiny of legislation plays a role</w:t>
      </w:r>
      <w:r w:rsidRPr="6A0DCB2A">
        <w:rPr>
          <w:rFonts w:cs="Open Sans"/>
        </w:rPr>
        <w:t>.</w:t>
      </w:r>
      <w:r w:rsidRPr="00E67C56">
        <w:rPr>
          <w:rFonts w:cs="Open Sans"/>
        </w:rPr>
        <w:t xml:space="preserve"> </w:t>
      </w:r>
      <w:r>
        <w:rPr>
          <w:rFonts w:cs="Open Sans"/>
        </w:rPr>
        <w:t xml:space="preserve">In this Position Paper, the Commission </w:t>
      </w:r>
      <w:r w:rsidRPr="6A0DCB2A">
        <w:rPr>
          <w:rFonts w:cs="Open Sans"/>
        </w:rPr>
        <w:t>concludes</w:t>
      </w:r>
      <w:r>
        <w:rPr>
          <w:rFonts w:cs="Open Sans"/>
        </w:rPr>
        <w:t xml:space="preserve"> that </w:t>
      </w:r>
      <w:r w:rsidRPr="6A0DCB2A">
        <w:rPr>
          <w:rFonts w:cs="Open Sans"/>
        </w:rPr>
        <w:t>this</w:t>
      </w:r>
      <w:r>
        <w:rPr>
          <w:rFonts w:cs="Open Sans"/>
        </w:rPr>
        <w:t xml:space="preserve"> </w:t>
      </w:r>
      <w:r w:rsidR="37968E64" w:rsidRPr="155AE86C">
        <w:rPr>
          <w:rFonts w:cs="Open Sans"/>
        </w:rPr>
        <w:t>is</w:t>
      </w:r>
      <w:r w:rsidRPr="155AE86C">
        <w:rPr>
          <w:rFonts w:cs="Open Sans"/>
        </w:rPr>
        <w:t xml:space="preserve"> </w:t>
      </w:r>
      <w:r w:rsidR="007964BA">
        <w:rPr>
          <w:rFonts w:cs="Open Sans"/>
        </w:rPr>
        <w:t>insufficient</w:t>
      </w:r>
      <w:r>
        <w:rPr>
          <w:rFonts w:cs="Open Sans"/>
        </w:rPr>
        <w:t xml:space="preserve"> and </w:t>
      </w:r>
      <w:r w:rsidRPr="6A0DCB2A">
        <w:rPr>
          <w:rFonts w:cs="Open Sans"/>
        </w:rPr>
        <w:t>does not provide the human rights protection that all people in Australia are entitled to.</w:t>
      </w:r>
    </w:p>
    <w:p w14:paraId="50B78522" w14:textId="0D474B1A" w:rsidR="00147A71" w:rsidRPr="00C51CB3" w:rsidRDefault="00147A71" w:rsidP="00147A71">
      <w:pPr>
        <w:spacing w:before="120" w:line="276" w:lineRule="auto"/>
      </w:pPr>
      <w:r>
        <w:t xml:space="preserve">The Commission has long supported the introduction of a federal </w:t>
      </w:r>
      <w:r w:rsidRPr="00113DCC">
        <w:t>H</w:t>
      </w:r>
      <w:r>
        <w:t>uman Rights Act as the best way to anchor the promotion and protection of human rights in Australia and this Position Paper offers a viable and actionable set of proposals to achieve this.</w:t>
      </w:r>
    </w:p>
    <w:p w14:paraId="362E7990" w14:textId="0318DCDF" w:rsidR="00A71C26" w:rsidRDefault="00824386" w:rsidP="00A71C26">
      <w:pPr>
        <w:spacing w:before="120" w:line="276" w:lineRule="auto"/>
        <w:rPr>
          <w:rFonts w:cs="Open Sans"/>
        </w:rPr>
      </w:pPr>
      <w:r w:rsidRPr="6A0DCB2A">
        <w:rPr>
          <w:rFonts w:cs="Open Sans"/>
        </w:rPr>
        <w:t>The model for a Human Rights Act put</w:t>
      </w:r>
      <w:r>
        <w:rPr>
          <w:rFonts w:cs="Open Sans"/>
        </w:rPr>
        <w:t xml:space="preserve"> forward </w:t>
      </w:r>
      <w:r w:rsidRPr="6A0DCB2A">
        <w:rPr>
          <w:rFonts w:cs="Open Sans"/>
        </w:rPr>
        <w:t>here builds on the excellent work</w:t>
      </w:r>
      <w:r>
        <w:rPr>
          <w:rFonts w:cs="Open Sans"/>
        </w:rPr>
        <w:t xml:space="preserve"> of the </w:t>
      </w:r>
      <w:r w:rsidR="003B06CA">
        <w:rPr>
          <w:rFonts w:cs="Open Sans"/>
        </w:rPr>
        <w:t xml:space="preserve">National Human Rights Consultation </w:t>
      </w:r>
      <w:r w:rsidR="0098786F">
        <w:rPr>
          <w:rFonts w:cs="Open Sans"/>
        </w:rPr>
        <w:t>Committee, chaired by Fr Frank Brennan SJ, and its r</w:t>
      </w:r>
      <w:r w:rsidR="00236D3A">
        <w:rPr>
          <w:rFonts w:cs="Open Sans"/>
        </w:rPr>
        <w:t>eport</w:t>
      </w:r>
      <w:r w:rsidRPr="6A0DCB2A">
        <w:rPr>
          <w:rFonts w:cs="Open Sans"/>
        </w:rPr>
        <w:t xml:space="preserve"> of 2009, and the research and advocacy of</w:t>
      </w:r>
      <w:r>
        <w:rPr>
          <w:rFonts w:cs="Open Sans"/>
        </w:rPr>
        <w:t xml:space="preserve"> the Human Rights Law Centre, </w:t>
      </w:r>
      <w:r w:rsidRPr="6A0DCB2A">
        <w:rPr>
          <w:rFonts w:cs="Open Sans"/>
        </w:rPr>
        <w:t xml:space="preserve">Law Council of </w:t>
      </w:r>
      <w:proofErr w:type="gramStart"/>
      <w:r w:rsidRPr="6A0DCB2A">
        <w:rPr>
          <w:rFonts w:cs="Open Sans"/>
        </w:rPr>
        <w:t>Australia</w:t>
      </w:r>
      <w:proofErr w:type="gramEnd"/>
      <w:r w:rsidRPr="6A0DCB2A">
        <w:rPr>
          <w:rFonts w:cs="Open Sans"/>
        </w:rPr>
        <w:t xml:space="preserve"> </w:t>
      </w:r>
      <w:r>
        <w:rPr>
          <w:rFonts w:cs="Open Sans"/>
        </w:rPr>
        <w:t xml:space="preserve">and many </w:t>
      </w:r>
      <w:r w:rsidRPr="6A0DCB2A">
        <w:rPr>
          <w:rFonts w:cs="Open Sans"/>
        </w:rPr>
        <w:t>other community partners</w:t>
      </w:r>
      <w:r>
        <w:rPr>
          <w:rFonts w:cs="Open Sans"/>
        </w:rPr>
        <w:t>, for bringing rights home.</w:t>
      </w:r>
      <w:r w:rsidR="00A24603" w:rsidRPr="00A24603">
        <w:rPr>
          <w:rFonts w:cs="Open Sans"/>
          <w:lang w:val="en-US"/>
        </w:rPr>
        <w:t xml:space="preserve"> </w:t>
      </w:r>
      <w:r w:rsidR="00A71C26">
        <w:rPr>
          <w:rFonts w:cs="Open Sans"/>
          <w:lang w:val="en-US"/>
        </w:rPr>
        <w:t>It is a model</w:t>
      </w:r>
      <w:r w:rsidR="00A24603">
        <w:rPr>
          <w:rFonts w:cs="Open Sans"/>
        </w:rPr>
        <w:t xml:space="preserve"> that retains </w:t>
      </w:r>
      <w:r w:rsidR="00764344">
        <w:rPr>
          <w:rFonts w:cs="Open Sans"/>
        </w:rPr>
        <w:t xml:space="preserve">and emphasises </w:t>
      </w:r>
      <w:r w:rsidR="00A24603">
        <w:rPr>
          <w:rFonts w:cs="Open Sans"/>
        </w:rPr>
        <w:t xml:space="preserve">the supremacy of the parliament </w:t>
      </w:r>
      <w:r w:rsidR="00C93A02">
        <w:rPr>
          <w:rFonts w:cs="Open Sans"/>
        </w:rPr>
        <w:t>–</w:t>
      </w:r>
      <w:r w:rsidR="00A71C26">
        <w:rPr>
          <w:rFonts w:cs="Open Sans"/>
        </w:rPr>
        <w:t xml:space="preserve"> a</w:t>
      </w:r>
      <w:r w:rsidR="00A71C26" w:rsidRPr="001A148E">
        <w:rPr>
          <w:rFonts w:cs="Open Sans"/>
        </w:rPr>
        <w:t xml:space="preserve">n entirely different approach to rights </w:t>
      </w:r>
      <w:r w:rsidR="00A71C26">
        <w:rPr>
          <w:rFonts w:cs="Open Sans"/>
        </w:rPr>
        <w:t xml:space="preserve">protection </w:t>
      </w:r>
      <w:r w:rsidR="00661ADE">
        <w:rPr>
          <w:rFonts w:cs="Open Sans"/>
        </w:rPr>
        <w:t>from</w:t>
      </w:r>
      <w:r w:rsidR="00A71C26">
        <w:rPr>
          <w:rFonts w:cs="Open Sans"/>
        </w:rPr>
        <w:t xml:space="preserve"> </w:t>
      </w:r>
      <w:r w:rsidR="7B3E840E" w:rsidRPr="155AE86C">
        <w:rPr>
          <w:rFonts w:cs="Open Sans"/>
        </w:rPr>
        <w:t>jurisdictions such as</w:t>
      </w:r>
      <w:r w:rsidR="006D12E1">
        <w:rPr>
          <w:rFonts w:cs="Open Sans"/>
        </w:rPr>
        <w:t xml:space="preserve"> </w:t>
      </w:r>
      <w:r w:rsidR="00A71C26" w:rsidRPr="001A148E">
        <w:rPr>
          <w:rFonts w:cs="Open Sans"/>
        </w:rPr>
        <w:t>the United States</w:t>
      </w:r>
      <w:r w:rsidR="0F9E19A5" w:rsidRPr="155AE86C">
        <w:rPr>
          <w:rFonts w:cs="Open Sans"/>
        </w:rPr>
        <w:t xml:space="preserve"> of America</w:t>
      </w:r>
      <w:r w:rsidR="00A71C26" w:rsidRPr="001A148E">
        <w:rPr>
          <w:rFonts w:cs="Open Sans"/>
        </w:rPr>
        <w:t>.</w:t>
      </w:r>
    </w:p>
    <w:p w14:paraId="17995889" w14:textId="6BDE01DE" w:rsidR="00824386" w:rsidRDefault="00824386" w:rsidP="00824386">
      <w:pPr>
        <w:spacing w:before="120" w:line="276" w:lineRule="auto"/>
        <w:rPr>
          <w:rFonts w:cs="Open Sans"/>
          <w:lang w:val="en-US"/>
        </w:rPr>
      </w:pPr>
      <w:r>
        <w:rPr>
          <w:rFonts w:cs="Open Sans"/>
          <w:lang w:val="en-US"/>
        </w:rPr>
        <w:lastRenderedPageBreak/>
        <w:t xml:space="preserve">The beauty of a Human Rights Act, and other measures that </w:t>
      </w:r>
      <w:r w:rsidRPr="00861DD3">
        <w:rPr>
          <w:rStyle w:val="Enfasicorsivo"/>
        </w:rPr>
        <w:t>frontload</w:t>
      </w:r>
      <w:r>
        <w:rPr>
          <w:rFonts w:cs="Open Sans"/>
          <w:lang w:val="en-US"/>
        </w:rPr>
        <w:t xml:space="preserve"> rights-mindedness, is that they are expressed in the positive – and they are embedded in decision</w:t>
      </w:r>
      <w:r w:rsidR="001A7CD7">
        <w:rPr>
          <w:rFonts w:cs="Open Sans"/>
          <w:lang w:val="en-US"/>
        </w:rPr>
        <w:t xml:space="preserve"> </w:t>
      </w:r>
      <w:r>
        <w:rPr>
          <w:rFonts w:cs="Open Sans"/>
          <w:lang w:val="en-US"/>
        </w:rPr>
        <w:t>making and</w:t>
      </w:r>
      <w:r w:rsidRPr="00861DD3">
        <w:rPr>
          <w:rStyle w:val="Enfasicorsivo"/>
        </w:rPr>
        <w:t xml:space="preserve"> ahead </w:t>
      </w:r>
      <w:r>
        <w:rPr>
          <w:rFonts w:cs="Open Sans"/>
          <w:lang w:val="en-US"/>
        </w:rPr>
        <w:t>of any dispute.</w:t>
      </w:r>
    </w:p>
    <w:p w14:paraId="70E6459A" w14:textId="0BF447E0" w:rsidR="00824386" w:rsidRDefault="00824386" w:rsidP="00824386">
      <w:pPr>
        <w:spacing w:before="120" w:line="276" w:lineRule="auto"/>
        <w:rPr>
          <w:rFonts w:cs="Open Sans"/>
          <w:lang w:val="en-US"/>
        </w:rPr>
      </w:pPr>
      <w:r>
        <w:rPr>
          <w:rFonts w:cs="Open Sans"/>
          <w:lang w:val="en-US"/>
        </w:rPr>
        <w:t xml:space="preserve">A Human Rights Act </w:t>
      </w:r>
      <w:r w:rsidRPr="00861DD3">
        <w:rPr>
          <w:rStyle w:val="Enfasicorsivo"/>
        </w:rPr>
        <w:t>names</w:t>
      </w:r>
      <w:r>
        <w:rPr>
          <w:rFonts w:cs="Open Sans"/>
          <w:lang w:val="en-US"/>
        </w:rPr>
        <w:t xml:space="preserve"> </w:t>
      </w:r>
      <w:proofErr w:type="gramStart"/>
      <w:r w:rsidR="4091D6AD" w:rsidRPr="155AE86C">
        <w:rPr>
          <w:rFonts w:cs="Open Sans"/>
          <w:lang w:val="en-US"/>
        </w:rPr>
        <w:t>rights</w:t>
      </w:r>
      <w:r>
        <w:rPr>
          <w:rFonts w:cs="Open Sans"/>
          <w:lang w:val="en-US"/>
        </w:rPr>
        <w:t>;</w:t>
      </w:r>
      <w:proofErr w:type="gramEnd"/>
      <w:r>
        <w:rPr>
          <w:rFonts w:cs="Open Sans"/>
          <w:lang w:val="en-US"/>
        </w:rPr>
        <w:t xml:space="preserve"> it provides an obligation to </w:t>
      </w:r>
      <w:r w:rsidRPr="00861DD3">
        <w:rPr>
          <w:rStyle w:val="Enfasicorsivo"/>
        </w:rPr>
        <w:t>consider</w:t>
      </w:r>
      <w:r>
        <w:rPr>
          <w:rFonts w:cs="Open Sans"/>
          <w:lang w:val="en-US"/>
        </w:rPr>
        <w:t xml:space="preserve"> them and a </w:t>
      </w:r>
      <w:r w:rsidRPr="00861DD3">
        <w:rPr>
          <w:rStyle w:val="Enfasicorsivo"/>
        </w:rPr>
        <w:t xml:space="preserve">process </w:t>
      </w:r>
      <w:r>
        <w:rPr>
          <w:rFonts w:cs="Open Sans"/>
          <w:lang w:val="en-US"/>
        </w:rPr>
        <w:t>by which to do it – together supporting a cultural shift towards rights-mindedness, becoming part of the national psyche, not just an afterthought.</w:t>
      </w:r>
    </w:p>
    <w:p w14:paraId="4D0909E0" w14:textId="3EFA9DF5" w:rsidR="00824386" w:rsidRPr="00F75F5F" w:rsidRDefault="00824386" w:rsidP="00824386">
      <w:pPr>
        <w:spacing w:after="200" w:line="276" w:lineRule="auto"/>
        <w:rPr>
          <w:rFonts w:cs="Open Sans"/>
        </w:rPr>
      </w:pPr>
      <w:r w:rsidRPr="00F75F5F">
        <w:rPr>
          <w:rFonts w:cs="Open Sans"/>
        </w:rPr>
        <w:t xml:space="preserve">The purpose of such an Act </w:t>
      </w:r>
      <w:r w:rsidRPr="6A0DCB2A">
        <w:rPr>
          <w:rFonts w:cs="Open Sans"/>
        </w:rPr>
        <w:t>is</w:t>
      </w:r>
      <w:r w:rsidRPr="00F75F5F">
        <w:rPr>
          <w:rFonts w:cs="Open Sans"/>
        </w:rPr>
        <w:t xml:space="preserve"> </w:t>
      </w:r>
      <w:r w:rsidR="000757DD">
        <w:rPr>
          <w:rFonts w:cs="Open Sans"/>
        </w:rPr>
        <w:t>to</w:t>
      </w:r>
      <w:r w:rsidRPr="00F75F5F">
        <w:rPr>
          <w:rFonts w:cs="Open Sans"/>
        </w:rPr>
        <w:t xml:space="preserve"> chang</w:t>
      </w:r>
      <w:r w:rsidR="000757DD">
        <w:rPr>
          <w:rFonts w:cs="Open Sans"/>
        </w:rPr>
        <w:t>e</w:t>
      </w:r>
      <w:r w:rsidRPr="00F75F5F">
        <w:rPr>
          <w:rFonts w:cs="Open Sans"/>
        </w:rPr>
        <w:t xml:space="preserve"> the culture of decision</w:t>
      </w:r>
      <w:r w:rsidR="001A7CD7">
        <w:rPr>
          <w:rFonts w:cs="Open Sans"/>
        </w:rPr>
        <w:t xml:space="preserve"> </w:t>
      </w:r>
      <w:r w:rsidRPr="00F75F5F">
        <w:rPr>
          <w:rFonts w:cs="Open Sans"/>
        </w:rPr>
        <w:t xml:space="preserve">making and embed transparent, human rights-based decisions as part of public culture. </w:t>
      </w:r>
      <w:r>
        <w:rPr>
          <w:rFonts w:cs="Open Sans"/>
        </w:rPr>
        <w:t>The</w:t>
      </w:r>
      <w:r w:rsidRPr="00F75F5F">
        <w:rPr>
          <w:rFonts w:cs="Open Sans"/>
        </w:rPr>
        <w:t xml:space="preserve"> outcome needs to be that </w:t>
      </w:r>
      <w:r w:rsidR="00743CD3">
        <w:rPr>
          <w:rFonts w:cs="Open Sans"/>
        </w:rPr>
        <w:t xml:space="preserve">laws, policies and </w:t>
      </w:r>
      <w:r w:rsidRPr="00F75F5F">
        <w:rPr>
          <w:rFonts w:cs="Open Sans"/>
        </w:rPr>
        <w:t>decisions are made through a human rights lens</w:t>
      </w:r>
      <w:r>
        <w:rPr>
          <w:rFonts w:cs="Open Sans"/>
        </w:rPr>
        <w:t xml:space="preserve"> and it </w:t>
      </w:r>
      <w:r w:rsidRPr="00F75F5F">
        <w:rPr>
          <w:rFonts w:cs="Open Sans"/>
        </w:rPr>
        <w:t>is the upstream aspect that is so crucial to change.</w:t>
      </w:r>
    </w:p>
    <w:p w14:paraId="6ECCA3A0" w14:textId="77777777" w:rsidR="00824386" w:rsidRPr="00E67C56" w:rsidRDefault="00824386" w:rsidP="00824386">
      <w:pPr>
        <w:spacing w:before="120" w:line="276" w:lineRule="auto"/>
        <w:rPr>
          <w:rFonts w:cs="Open Sans"/>
        </w:rPr>
      </w:pPr>
      <w:r>
        <w:rPr>
          <w:rFonts w:cs="Open Sans"/>
          <w:lang w:val="en-US"/>
        </w:rPr>
        <w:t>In</w:t>
      </w:r>
      <w:r w:rsidRPr="00E67C56">
        <w:rPr>
          <w:rFonts w:cs="Open Sans"/>
          <w:lang w:val="en-US"/>
        </w:rPr>
        <w:t xml:space="preserve"> leading </w:t>
      </w:r>
      <w:r>
        <w:rPr>
          <w:rFonts w:cs="Open Sans"/>
          <w:lang w:val="en-US"/>
        </w:rPr>
        <w:t xml:space="preserve">this </w:t>
      </w:r>
      <w:r w:rsidRPr="00861DD3">
        <w:rPr>
          <w:rStyle w:val="Enfasicorsivo"/>
        </w:rPr>
        <w:t>Australian</w:t>
      </w:r>
      <w:r w:rsidRPr="00E67C56">
        <w:rPr>
          <w:rFonts w:cs="Open Sans"/>
          <w:lang w:val="en-US"/>
        </w:rPr>
        <w:t xml:space="preserve"> </w:t>
      </w:r>
      <w:r>
        <w:rPr>
          <w:rFonts w:cs="Open Sans"/>
          <w:lang w:val="en-US"/>
        </w:rPr>
        <w:t>C</w:t>
      </w:r>
      <w:r w:rsidRPr="00E67C56">
        <w:rPr>
          <w:rFonts w:cs="Open Sans"/>
          <w:lang w:val="en-US"/>
        </w:rPr>
        <w:t>onversation</w:t>
      </w:r>
      <w:r>
        <w:rPr>
          <w:rFonts w:cs="Open Sans"/>
          <w:lang w:val="en-US"/>
        </w:rPr>
        <w:t xml:space="preserve"> on Human Rights</w:t>
      </w:r>
      <w:r w:rsidRPr="00E67C56">
        <w:rPr>
          <w:rFonts w:cs="Open Sans"/>
          <w:lang w:val="en-US"/>
        </w:rPr>
        <w:t>, the Commission, as Australia’s National Human Rights Institution</w:t>
      </w:r>
      <w:r w:rsidRPr="6A0DCB2A">
        <w:rPr>
          <w:rFonts w:cs="Open Sans"/>
          <w:lang w:val="en-US"/>
        </w:rPr>
        <w:t>,</w:t>
      </w:r>
      <w:r w:rsidRPr="00E67C56">
        <w:rPr>
          <w:rFonts w:cs="Open Sans"/>
          <w:lang w:val="en-US"/>
        </w:rPr>
        <w:t xml:space="preserve"> is taking seriously</w:t>
      </w:r>
      <w:r>
        <w:rPr>
          <w:rFonts w:cs="Open Sans"/>
          <w:lang w:val="en-US"/>
        </w:rPr>
        <w:t xml:space="preserve"> – </w:t>
      </w:r>
      <w:r w:rsidRPr="00E67C56">
        <w:rPr>
          <w:rFonts w:cs="Open Sans"/>
          <w:lang w:val="en-US"/>
        </w:rPr>
        <w:t>and aspirationally</w:t>
      </w:r>
      <w:r>
        <w:rPr>
          <w:rFonts w:cs="Open Sans"/>
          <w:lang w:val="en-US"/>
        </w:rPr>
        <w:t xml:space="preserve"> – </w:t>
      </w:r>
      <w:r w:rsidRPr="00E67C56">
        <w:rPr>
          <w:rFonts w:cs="Open Sans"/>
          <w:lang w:val="en-US"/>
        </w:rPr>
        <w:t>the statutory mandate given to us by parliaments since 1981.</w:t>
      </w:r>
    </w:p>
    <w:p w14:paraId="3BAE1561" w14:textId="4C8B7327" w:rsidR="00824386" w:rsidRDefault="00824386" w:rsidP="00824386">
      <w:pPr>
        <w:spacing w:before="120" w:line="276" w:lineRule="auto"/>
        <w:rPr>
          <w:rFonts w:cs="Open Sans"/>
        </w:rPr>
      </w:pPr>
      <w:r>
        <w:rPr>
          <w:rFonts w:cs="Open Sans"/>
        </w:rPr>
        <w:t>I commend the proposals in this Position Paper as the second major contribution in this conversation</w:t>
      </w:r>
      <w:r w:rsidR="006624EC">
        <w:rPr>
          <w:rFonts w:cs="Open Sans"/>
        </w:rPr>
        <w:t xml:space="preserve"> and look forward to an open and rigorous discussion </w:t>
      </w:r>
      <w:r w:rsidR="00246644">
        <w:rPr>
          <w:rFonts w:cs="Open Sans"/>
        </w:rPr>
        <w:t>of its merits</w:t>
      </w:r>
      <w:r>
        <w:rPr>
          <w:rFonts w:cs="Open Sans"/>
        </w:rPr>
        <w:t>.</w:t>
      </w:r>
    </w:p>
    <w:p w14:paraId="20770594" w14:textId="77777777" w:rsidR="00824386" w:rsidRPr="0017094D" w:rsidRDefault="00824386" w:rsidP="00824386">
      <w:pPr>
        <w:spacing w:before="120" w:line="276" w:lineRule="auto"/>
      </w:pPr>
      <w:r>
        <w:rPr>
          <w:noProof/>
        </w:rPr>
        <w:drawing>
          <wp:inline distT="0" distB="0" distL="0" distR="0" wp14:anchorId="03C8BDE4" wp14:editId="5879A160">
            <wp:extent cx="2541722" cy="629600"/>
            <wp:effectExtent l="0" t="0" r="0" b="5715"/>
            <wp:docPr id="4" name="Picture 4"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hanger&#10;&#10;Description automatically generated"/>
                    <pic:cNvPicPr/>
                  </pic:nvPicPr>
                  <pic:blipFill>
                    <a:blip r:embed="rId21"/>
                    <a:stretch>
                      <a:fillRect/>
                    </a:stretch>
                  </pic:blipFill>
                  <pic:spPr>
                    <a:xfrm>
                      <a:off x="0" y="0"/>
                      <a:ext cx="2660971" cy="659139"/>
                    </a:xfrm>
                    <a:prstGeom prst="rect">
                      <a:avLst/>
                    </a:prstGeom>
                  </pic:spPr>
                </pic:pic>
              </a:graphicData>
            </a:graphic>
          </wp:inline>
        </w:drawing>
      </w:r>
    </w:p>
    <w:p w14:paraId="4C486854" w14:textId="77777777" w:rsidR="009500F7" w:rsidRPr="0017094D" w:rsidRDefault="00824386" w:rsidP="00677156">
      <w:pPr>
        <w:spacing w:before="120" w:line="276" w:lineRule="auto"/>
      </w:pPr>
      <w:r w:rsidRPr="009500F7">
        <w:rPr>
          <w:rFonts w:cs="Open Sans"/>
        </w:rPr>
        <w:t>Emeritus Professor Rosalind Croucher AM FAAL</w:t>
      </w:r>
      <w:r w:rsidRPr="0017094D">
        <w:br/>
      </w:r>
      <w:r w:rsidRPr="009500F7">
        <w:rPr>
          <w:rStyle w:val="Enfasigrassetto"/>
        </w:rPr>
        <w:t>President</w:t>
      </w:r>
    </w:p>
    <w:p w14:paraId="3DB5CA64" w14:textId="05B6AE46" w:rsidR="00824386" w:rsidRDefault="00824386" w:rsidP="00677156">
      <w:pPr>
        <w:spacing w:before="120" w:line="276" w:lineRule="auto"/>
        <w:rPr>
          <w:rFonts w:cs="Open Sans"/>
          <w:b/>
          <w:bCs/>
        </w:rPr>
      </w:pPr>
      <w:r>
        <w:rPr>
          <w:rFonts w:cs="Open Sans"/>
          <w:b/>
          <w:bCs/>
        </w:rPr>
        <w:br w:type="page"/>
      </w:r>
    </w:p>
    <w:p w14:paraId="67B904D0" w14:textId="52590241" w:rsidR="00824386" w:rsidRPr="00B73B97" w:rsidRDefault="00E10E98" w:rsidP="00705803">
      <w:pPr>
        <w:pStyle w:val="Titolo1"/>
      </w:pPr>
      <w:bookmarkStart w:id="4" w:name="_Toc121381271"/>
      <w:r>
        <w:lastRenderedPageBreak/>
        <w:t>S</w:t>
      </w:r>
      <w:r w:rsidR="00824386" w:rsidRPr="00B73B97">
        <w:t>ummary</w:t>
      </w:r>
      <w:r>
        <w:t xml:space="preserve"> report</w:t>
      </w:r>
      <w:bookmarkEnd w:id="4"/>
    </w:p>
    <w:p w14:paraId="42131DDD" w14:textId="0287E1DB" w:rsidR="00E15756" w:rsidRDefault="00E15756" w:rsidP="00705803">
      <w:pPr>
        <w:pStyle w:val="Titolo2"/>
      </w:pPr>
      <w:bookmarkStart w:id="5" w:name="_Toc121381272"/>
      <w:r w:rsidRPr="00E15756">
        <w:t xml:space="preserve">Overview of the Position </w:t>
      </w:r>
      <w:r w:rsidR="00E10E98">
        <w:t>P</w:t>
      </w:r>
      <w:r w:rsidRPr="00E15756">
        <w:t>aper</w:t>
      </w:r>
      <w:bookmarkEnd w:id="5"/>
    </w:p>
    <w:p w14:paraId="68D9E830" w14:textId="58257BE9" w:rsidR="00DE5D9A" w:rsidRDefault="00DE5D9A" w:rsidP="00DE5D9A">
      <w:r>
        <w:t>The full Human Rights Act Position Paper, as summarised here:</w:t>
      </w:r>
    </w:p>
    <w:p w14:paraId="0AAD55AE" w14:textId="77777777" w:rsidR="00DE5D9A" w:rsidRPr="00DE5D9A" w:rsidRDefault="00DE5D9A" w:rsidP="00DE5D9A">
      <w:pPr>
        <w:pStyle w:val="Puntoelenco2"/>
      </w:pPr>
      <w:r w:rsidRPr="00DE5D9A">
        <w:t>identifies the gaps in Australia’s current framework and makes the case for a federal Human Rights Act (Chapters 2 and 3)</w:t>
      </w:r>
    </w:p>
    <w:p w14:paraId="36BC9854" w14:textId="77777777" w:rsidR="00DE5D9A" w:rsidRPr="00DE5D9A" w:rsidRDefault="00DE5D9A" w:rsidP="00DE5D9A">
      <w:pPr>
        <w:pStyle w:val="Puntoelenco2"/>
      </w:pPr>
      <w:r w:rsidRPr="00DE5D9A">
        <w:t>outlines the Commission’s proposed model for a Human Rights Act (Chapters 4 to 12)</w:t>
      </w:r>
    </w:p>
    <w:p w14:paraId="7C2C971E" w14:textId="77777777" w:rsidR="00DE5D9A" w:rsidRPr="00DE5D9A" w:rsidRDefault="00DE5D9A" w:rsidP="00DE5D9A">
      <w:pPr>
        <w:pStyle w:val="Puntoelenco2"/>
      </w:pPr>
      <w:r w:rsidRPr="00DE5D9A">
        <w:t>considers existing parliamentary scrutiny mechanisms and improvements that can be made with the introduction of a Human Rights Act (in Chapter 13)</w:t>
      </w:r>
    </w:p>
    <w:p w14:paraId="1C1D4B0A" w14:textId="55AE5A79" w:rsidR="008C16F5" w:rsidRPr="00DE5D9A" w:rsidRDefault="00DE5D9A" w:rsidP="00DE5D9A">
      <w:pPr>
        <w:pStyle w:val="Puntoelenco2"/>
      </w:pPr>
      <w:r w:rsidRPr="00DE5D9A">
        <w:t>focuses on the role</w:t>
      </w:r>
      <w:r>
        <w:t xml:space="preserve"> of Commission and the enhanced contributions the Commission can make to promoting and protecting human rights in the light of a federal Human Rights Act (Chapter 14)</w:t>
      </w:r>
    </w:p>
    <w:p w14:paraId="372034F6" w14:textId="33F7B7C1" w:rsidR="3B0F5FD6" w:rsidRPr="004E17BB" w:rsidRDefault="3B0F5FD6" w:rsidP="00705803">
      <w:pPr>
        <w:pStyle w:val="Titolo3"/>
      </w:pPr>
      <w:bookmarkStart w:id="6" w:name="_Toc121381273"/>
      <w:r w:rsidRPr="004E17BB">
        <w:t>Why Australia needs a Human Rights Act</w:t>
      </w:r>
      <w:bookmarkEnd w:id="6"/>
    </w:p>
    <w:p w14:paraId="5DBCD019" w14:textId="38545822" w:rsidR="47E496AD" w:rsidRPr="00FC3E87" w:rsidRDefault="47E496AD" w:rsidP="00705803">
      <w:pPr>
        <w:pStyle w:val="Titolo4"/>
      </w:pPr>
      <w:r w:rsidRPr="00FC3E87">
        <w:t>Australia does not adequately protect human rights at the present time</w:t>
      </w:r>
    </w:p>
    <w:p w14:paraId="6BE04A94" w14:textId="6F356329" w:rsidR="00BE1900" w:rsidRDefault="00BE1900" w:rsidP="00BE1900">
      <w:pPr>
        <w:widowControl w:val="0"/>
        <w:suppressAutoHyphens/>
        <w:spacing w:after="200"/>
      </w:pPr>
      <w:r w:rsidRPr="00941671">
        <w:rPr>
          <w:rFonts w:cs="Open Sans"/>
        </w:rPr>
        <w:t xml:space="preserve">Australia has </w:t>
      </w:r>
      <w:r>
        <w:rPr>
          <w:rFonts w:cs="Open Sans"/>
        </w:rPr>
        <w:t xml:space="preserve">a </w:t>
      </w:r>
      <w:r w:rsidRPr="00941671">
        <w:rPr>
          <w:rFonts w:cs="Open Sans"/>
        </w:rPr>
        <w:t xml:space="preserve">patchwork </w:t>
      </w:r>
      <w:r>
        <w:rPr>
          <w:rFonts w:cs="Open Sans"/>
        </w:rPr>
        <w:t xml:space="preserve">legal framework </w:t>
      </w:r>
      <w:r w:rsidRPr="00941671">
        <w:rPr>
          <w:rFonts w:cs="Open Sans"/>
        </w:rPr>
        <w:t xml:space="preserve">of human rights protection. </w:t>
      </w:r>
      <w:r w:rsidRPr="00736E6C">
        <w:t xml:space="preserve">The rights that are protected </w:t>
      </w:r>
      <w:proofErr w:type="gramStart"/>
      <w:r w:rsidRPr="00736E6C">
        <w:t>are located in</w:t>
      </w:r>
      <w:proofErr w:type="gramEnd"/>
      <w:r w:rsidRPr="00736E6C">
        <w:t xml:space="preserve"> </w:t>
      </w:r>
      <w:r>
        <w:t>scattered</w:t>
      </w:r>
      <w:r w:rsidRPr="00736E6C">
        <w:t xml:space="preserve"> pieces of legislation, the Constitution and the common law</w:t>
      </w:r>
      <w:r>
        <w:t>. It is incomplete and piecemeal.</w:t>
      </w:r>
    </w:p>
    <w:p w14:paraId="67A13207" w14:textId="1D1C3B91" w:rsidR="00EC1DCE" w:rsidRPr="00A00854" w:rsidRDefault="00EC1DCE" w:rsidP="007A2A4F">
      <w:r w:rsidRPr="006A47B1">
        <w:t>The Australian Constitution offers only limited protection for a small number of discrete human rights.</w:t>
      </w:r>
      <w:r>
        <w:t xml:space="preserve"> This includes </w:t>
      </w:r>
      <w:r w:rsidRPr="00EF1656">
        <w:t>the implied right to freedom of political communication</w:t>
      </w:r>
      <w:r>
        <w:t>;</w:t>
      </w:r>
      <w:r w:rsidRPr="00EF1656">
        <w:t xml:space="preserve"> </w:t>
      </w:r>
      <w:r>
        <w:t xml:space="preserve">and a </w:t>
      </w:r>
      <w:r w:rsidRPr="00A00854">
        <w:t xml:space="preserve">prohibition on making federal laws that establish a religion, impose a religious </w:t>
      </w:r>
      <w:proofErr w:type="gramStart"/>
      <w:r w:rsidRPr="00A00854">
        <w:t>observance</w:t>
      </w:r>
      <w:proofErr w:type="gramEnd"/>
      <w:r w:rsidRPr="00A00854">
        <w:t xml:space="preserve"> or prohibit the free exercise of any religion</w:t>
      </w:r>
      <w:r>
        <w:t>.</w:t>
      </w:r>
      <w:r w:rsidRPr="00BD2050">
        <w:t xml:space="preserve"> The High Court has rejected suggestions that other basic rights, like the right to equality, are implied by the text of the Constitution.</w:t>
      </w:r>
    </w:p>
    <w:p w14:paraId="2E091FAB" w14:textId="30F93B85" w:rsidR="00EC1DCE" w:rsidRPr="00EF1656" w:rsidRDefault="00EC1DCE" w:rsidP="007A2A4F">
      <w:r w:rsidRPr="00C66152">
        <w:t xml:space="preserve">The common law recognises </w:t>
      </w:r>
      <w:proofErr w:type="gramStart"/>
      <w:r w:rsidRPr="00C66152">
        <w:t>a number of</w:t>
      </w:r>
      <w:proofErr w:type="gramEnd"/>
      <w:r w:rsidRPr="00C66152">
        <w:t xml:space="preserve"> rights and freedoms.</w:t>
      </w:r>
      <w:r w:rsidRPr="00D047CE">
        <w:t xml:space="preserve"> </w:t>
      </w:r>
      <w:r w:rsidRPr="002238A4">
        <w:t xml:space="preserve">The common law protects human rights indirectly through </w:t>
      </w:r>
      <w:r>
        <w:t xml:space="preserve">statutory interpretation principles such as </w:t>
      </w:r>
      <w:r w:rsidRPr="002238A4">
        <w:t>t</w:t>
      </w:r>
      <w:r>
        <w:t>he</w:t>
      </w:r>
      <w:r w:rsidRPr="002238A4">
        <w:t xml:space="preserve"> ‘principle of legality’</w:t>
      </w:r>
      <w:r>
        <w:t>,</w:t>
      </w:r>
      <w:r w:rsidRPr="002238A4">
        <w:t xml:space="preserve"> </w:t>
      </w:r>
      <w:r>
        <w:t xml:space="preserve">which </w:t>
      </w:r>
      <w:r w:rsidRPr="002238A4">
        <w:t xml:space="preserve">presumes that Parliament ‘does not intend to interfere with common law rights and freedoms except by clear and unequivocal language’. </w:t>
      </w:r>
      <w:r>
        <w:t>However, c</w:t>
      </w:r>
      <w:r w:rsidRPr="00D047CE">
        <w:t>ommon law protections are fragile, as Parliament can pass a law that overrides them at any time.</w:t>
      </w:r>
    </w:p>
    <w:p w14:paraId="2F10B6E4" w14:textId="3FE89AA3" w:rsidR="00EC1DCE" w:rsidRDefault="00EC1DCE" w:rsidP="007A2A4F">
      <w:r>
        <w:t>While Parliamentary scrutiny measures enable some consideration of human rights during the law-making process, these measures alone have not resulted in an embedded human rights culture within Parliament. Parliament routinely passes laws that are not human rights compliant.</w:t>
      </w:r>
    </w:p>
    <w:p w14:paraId="2F452584" w14:textId="6E2A07CA" w:rsidR="00EC1DCE" w:rsidRDefault="00EC1DCE" w:rsidP="007A2A4F">
      <w:r>
        <w:t>While discrimination laws implement key aspects of the international treaties Australia has ratified, they are only a partial</w:t>
      </w:r>
      <w:r w:rsidRPr="00861DD3">
        <w:rPr>
          <w:rStyle w:val="Enfasicorsivo"/>
        </w:rPr>
        <w:t xml:space="preserve"> </w:t>
      </w:r>
      <w:r>
        <w:t>implementation of them, with many key international rights finding no corresponding federal protections.</w:t>
      </w:r>
    </w:p>
    <w:p w14:paraId="0ABD06E2" w14:textId="0138A274" w:rsidR="00EC1DCE" w:rsidRDefault="00EC1DCE" w:rsidP="007A2A4F">
      <w:r w:rsidRPr="00693B5E">
        <w:lastRenderedPageBreak/>
        <w:t>H</w:t>
      </w:r>
      <w:r>
        <w:t>uman Rights Acts</w:t>
      </w:r>
      <w:r w:rsidRPr="00693B5E">
        <w:t xml:space="preserve"> have been passed in Victoria, the Australian Capital Territory and</w:t>
      </w:r>
      <w:r>
        <w:t>,</w:t>
      </w:r>
      <w:r w:rsidRPr="00693B5E">
        <w:t xml:space="preserve"> most recently</w:t>
      </w:r>
      <w:r>
        <w:t>,</w:t>
      </w:r>
      <w:r w:rsidRPr="00693B5E">
        <w:t xml:space="preserve"> Queensland.</w:t>
      </w:r>
      <w:r w:rsidR="00C96AF2">
        <w:rPr>
          <w:rFonts w:cs="Open Sans"/>
        </w:rPr>
        <w:t xml:space="preserve"> </w:t>
      </w:r>
      <w:r>
        <w:rPr>
          <w:rFonts w:cs="Open Sans"/>
        </w:rPr>
        <w:t>T</w:t>
      </w:r>
      <w:r w:rsidRPr="00600DC3">
        <w:t>he lack of an overarching federal instrument means that a person’s access to rights</w:t>
      </w:r>
      <w:r>
        <w:t xml:space="preserve"> </w:t>
      </w:r>
      <w:r w:rsidRPr="00600DC3">
        <w:t>protections is wholly contingent on where they live.</w:t>
      </w:r>
    </w:p>
    <w:p w14:paraId="3EF8AEA6" w14:textId="75E42B5A" w:rsidR="00EC1DCE" w:rsidRPr="00EC1DCE" w:rsidRDefault="00EC1DCE" w:rsidP="007A2A4F">
      <w:pPr>
        <w:rPr>
          <w:rFonts w:cs="Open Sans"/>
        </w:rPr>
      </w:pPr>
      <w:r>
        <w:t>The Commission’s ability to resolve human rights complaints can be very limited. Unlike complaints alleging unlawful discrimination, if the Commission cannot conciliate a human rights complaint, the person cannot then bring court proceedings, nor obtain any enforceable remedies.</w:t>
      </w:r>
    </w:p>
    <w:p w14:paraId="6A916A20" w14:textId="7B8D25DE" w:rsidR="00EC1DCE" w:rsidRPr="00EC1DCE" w:rsidRDefault="00EC1DCE" w:rsidP="007A2A4F">
      <w:pPr>
        <w:rPr>
          <w:rFonts w:cs="Open Sans"/>
        </w:rPr>
      </w:pPr>
      <w:r w:rsidRPr="155AE86C">
        <w:rPr>
          <w:rFonts w:cs="Open Sans"/>
        </w:rPr>
        <w:t>UN Treaty bodies have repeatedly concluded that core treaties have not been adequately incorporated into Australia’s legal system. Many of Australia’s commitments to human rights are confined to rhetoric without corresponding domestic protections.</w:t>
      </w:r>
    </w:p>
    <w:p w14:paraId="250158E4" w14:textId="01612372" w:rsidR="377329FB" w:rsidRDefault="377329FB" w:rsidP="007A2A4F">
      <w:pPr>
        <w:rPr>
          <w:rFonts w:cs="Open Sans"/>
        </w:rPr>
      </w:pPr>
      <w:r w:rsidRPr="0A47D3D2">
        <w:rPr>
          <w:rFonts w:cs="Open Sans"/>
        </w:rPr>
        <w:t xml:space="preserve">The need for a Human Rights Act can be summed up in one simple statement: people’s human rights matter </w:t>
      </w:r>
      <w:proofErr w:type="gramStart"/>
      <w:r w:rsidRPr="0A47D3D2">
        <w:rPr>
          <w:rFonts w:cs="Open Sans"/>
        </w:rPr>
        <w:t>all of</w:t>
      </w:r>
      <w:proofErr w:type="gramEnd"/>
      <w:r w:rsidRPr="0A47D3D2">
        <w:rPr>
          <w:rFonts w:cs="Open Sans"/>
        </w:rPr>
        <w:t xml:space="preserve"> the time. Government that is here to serve the people, should consider their impact on people whenever they make decisions.</w:t>
      </w:r>
    </w:p>
    <w:p w14:paraId="26EBD406" w14:textId="034061A6" w:rsidR="00E03A72" w:rsidRPr="00F27822" w:rsidRDefault="00E03A72" w:rsidP="00705803">
      <w:pPr>
        <w:pStyle w:val="Titolo4"/>
      </w:pPr>
      <w:r w:rsidRPr="00F27822">
        <w:t>Th</w:t>
      </w:r>
      <w:r w:rsidR="00B30BC8" w:rsidRPr="00F27822">
        <w:t>e current rights framework</w:t>
      </w:r>
      <w:r w:rsidRPr="00F27822">
        <w:t xml:space="preserve"> </w:t>
      </w:r>
      <w:r w:rsidR="300161BF" w:rsidRPr="00F27822">
        <w:t>in Australia is</w:t>
      </w:r>
      <w:r w:rsidRPr="00F27822">
        <w:t xml:space="preserve"> not easily explainable, or readily comprehensible, to</w:t>
      </w:r>
      <w:r w:rsidR="009821F8">
        <w:t> </w:t>
      </w:r>
      <w:r w:rsidRPr="00F27822">
        <w:t>all people in Australia.</w:t>
      </w:r>
    </w:p>
    <w:p w14:paraId="7EFB169C" w14:textId="264CF619" w:rsidR="00E03A72" w:rsidRPr="00B30BC8" w:rsidRDefault="07C7AADD" w:rsidP="00F463CF">
      <w:r>
        <w:t>The above patchwork of rights is difficult to explain to everyday Australians, whose rights are meant to be protected.</w:t>
      </w:r>
    </w:p>
    <w:p w14:paraId="06613CF7" w14:textId="0ABFFF6D" w:rsidR="00E03A72" w:rsidRPr="00B30BC8" w:rsidRDefault="00E03A72" w:rsidP="00F463CF">
      <w:r w:rsidRPr="00E03A72">
        <w:t>Not only should the law afford appropriate protection to the people of Australia, but it should be capable of being understood by all.</w:t>
      </w:r>
    </w:p>
    <w:p w14:paraId="01A94F29" w14:textId="54353942" w:rsidR="5C70D283" w:rsidRDefault="5C70D283" w:rsidP="00705803">
      <w:pPr>
        <w:pStyle w:val="Titolo4"/>
      </w:pPr>
      <w:r w:rsidRPr="0A47D3D2">
        <w:t>A Human Rights Act for Australia is an evolution not a revolution</w:t>
      </w:r>
    </w:p>
    <w:p w14:paraId="669D1DC3" w14:textId="4EAB7675" w:rsidR="5C70D283" w:rsidRDefault="5C70D283" w:rsidP="0A47D3D2">
      <w:r>
        <w:t xml:space="preserve">Human Rights Acts have been passed in </w:t>
      </w:r>
      <w:r w:rsidR="00063EA7">
        <w:t>three</w:t>
      </w:r>
      <w:r>
        <w:t xml:space="preserve"> states and territories in Australia and been in operation since 2004. </w:t>
      </w:r>
      <w:r w:rsidR="61A681DD">
        <w:t>Throughout this paper there are references to case studies of how a Human Rights Act has made a positive difference to the protection of human rights in these jurisdictions, as well as in the multiple countries that have introduced such legislation over the past 20 years.</w:t>
      </w:r>
    </w:p>
    <w:p w14:paraId="09B3CA1B" w14:textId="65ED2333" w:rsidR="61A681DD" w:rsidRDefault="61A681DD" w:rsidP="0A47D3D2">
      <w:r>
        <w:t>The proposed model for a federal Human Rights Act builds on the success and lessons from these existing models, while also tailoring a H</w:t>
      </w:r>
      <w:r w:rsidR="007A5E1D">
        <w:t>uman Rights Act</w:t>
      </w:r>
      <w:r>
        <w:t xml:space="preserve"> to the specific constitutional requirements of Australia.</w:t>
      </w:r>
    </w:p>
    <w:p w14:paraId="7ED0120F" w14:textId="5EDCFA7C" w:rsidR="62997CA9" w:rsidRDefault="62997CA9" w:rsidP="0A47D3D2">
      <w:r>
        <w:t xml:space="preserve">The proposed model for a Human Rights Act set out in this paper also seeks to build on the lessons from the Australian Human Rights Commission having administered a human rights and ILO </w:t>
      </w:r>
      <w:r w:rsidR="00805A6C">
        <w:t xml:space="preserve">111 </w:t>
      </w:r>
      <w:r>
        <w:t xml:space="preserve">complaints handling stream under the </w:t>
      </w:r>
      <w:r w:rsidRPr="00861DD3">
        <w:rPr>
          <w:rStyle w:val="Enfasicorsivo"/>
        </w:rPr>
        <w:t xml:space="preserve">Australian Human Rights Commission </w:t>
      </w:r>
      <w:r w:rsidR="002D6414" w:rsidRPr="00861DD3">
        <w:rPr>
          <w:rStyle w:val="Enfasicorsivo"/>
        </w:rPr>
        <w:t xml:space="preserve">Act </w:t>
      </w:r>
      <w:r w:rsidRPr="00861DD3">
        <w:rPr>
          <w:rStyle w:val="Enfasicorsivo"/>
        </w:rPr>
        <w:t>1986</w:t>
      </w:r>
      <w:r>
        <w:t xml:space="preserve"> </w:t>
      </w:r>
      <w:r w:rsidR="002D6414">
        <w:t xml:space="preserve">(Cth) (AHRC Act) </w:t>
      </w:r>
      <w:r>
        <w:t xml:space="preserve">since 1986. There are deficiencies to </w:t>
      </w:r>
      <w:r w:rsidR="16667332">
        <w:t xml:space="preserve">how </w:t>
      </w:r>
      <w:r>
        <w:t>these complaint processes</w:t>
      </w:r>
      <w:r w:rsidR="343CCAAC">
        <w:t xml:space="preserve"> operate, which limit their effectiveness. In the Commission’s model for a Human Rights Act, these existing human rights complaint streams would be replaced with a much clearer set of rights in the H</w:t>
      </w:r>
      <w:r w:rsidR="00D563EC">
        <w:t>uman Rights Act</w:t>
      </w:r>
      <w:r w:rsidR="343CCAAC">
        <w:t>.</w:t>
      </w:r>
    </w:p>
    <w:p w14:paraId="5A2D8017" w14:textId="36D79A55" w:rsidR="343CCAAC" w:rsidRDefault="343CCAAC" w:rsidP="0A47D3D2">
      <w:r>
        <w:lastRenderedPageBreak/>
        <w:t xml:space="preserve">By learning from the lessons of other </w:t>
      </w:r>
      <w:proofErr w:type="gramStart"/>
      <w:r>
        <w:t>models, and</w:t>
      </w:r>
      <w:proofErr w:type="gramEnd"/>
      <w:r>
        <w:t xml:space="preserve"> building on the legacy of the AHRC Act processes that have been in domestic law for 36 years, the Commission’s proposal for a Human Rights Act is an evolution not a revolution.</w:t>
      </w:r>
    </w:p>
    <w:p w14:paraId="084882F4" w14:textId="60D47679" w:rsidR="00007446" w:rsidRDefault="00007446">
      <w:pPr>
        <w:keepLines w:val="0"/>
        <w:spacing w:after="0" w:line="240" w:lineRule="auto"/>
      </w:pPr>
      <w:r>
        <w:br w:type="page"/>
      </w:r>
    </w:p>
    <w:p w14:paraId="64F12EF0" w14:textId="364EE249" w:rsidR="7BA27A6A" w:rsidRPr="00237D52" w:rsidRDefault="7BA27A6A" w:rsidP="00237D52">
      <w:pPr>
        <w:pStyle w:val="Titolo5"/>
      </w:pPr>
      <w:r w:rsidRPr="0A47D3D2">
        <w:lastRenderedPageBreak/>
        <w:t>Infographic: Why we need a Human Rights Act for Australia</w:t>
      </w:r>
    </w:p>
    <w:p w14:paraId="008731EE" w14:textId="07484FC9" w:rsidR="009821F8" w:rsidRDefault="009D244A" w:rsidP="0A47D3D2">
      <w:pPr>
        <w:rPr>
          <w:highlight w:val="yellow"/>
        </w:rPr>
      </w:pPr>
      <w:r>
        <w:rPr>
          <w:noProof/>
        </w:rPr>
        <w:drawing>
          <wp:inline distT="0" distB="0" distL="0" distR="0" wp14:anchorId="7C29887D" wp14:editId="3BA644A9">
            <wp:extent cx="5759450" cy="7100570"/>
            <wp:effectExtent l="0" t="0" r="6350" b="0"/>
            <wp:docPr id="5" name="Immagine 5" descr="In upper third, title text saying ‘People’s rights matter all of the time’ followed by three dot points. &#10;First dot point: The impact of laws, policy and practice on people’s human rights should always be considered &#10;Second dot point: Parliament, governments and public officials should be held to account for how they consider human rights impacts in their decision-making&#10;Third dot point: This reflects: our commitment to democratic principles, and ‘Australian values’ that respect civil liberties, rights and fundamental freedoms. &#10;In the centre third, a graphic with three intersecting squares, and overarching text saying ‘It means that’. &#10;First square: Laws should respect human rights&#10;Second square: Where decisions are made, the human rights impacts should be considered&#10;Third square: Remedies should be available where human rights have not been considered or have been breached without justification.&#10;In the bottom third, text stating ‘The legal framework should: protect human rights, prevent violations of human rights, provide effective relief for breaches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n upper third, title text saying ‘People’s rights matter all of the time’ followed by three dot points. &#10;First dot point: The impact of laws, policy and practice on people’s human rights should always be considered &#10;Second dot point: Parliament, governments and public officials should be held to account for how they consider human rights impacts in their decision-making&#10;Third dot point: This reflects: our commitment to democratic principles, and ‘Australian values’ that respect civil liberties, rights and fundamental freedoms. &#10;In the centre third, a graphic with three intersecting squares, and overarching text saying ‘It means that’. &#10;First square: Laws should respect human rights&#10;Second square: Where decisions are made, the human rights impacts should be considered&#10;Third square: Remedies should be available where human rights have not been considered or have been breached without justification.&#10;In the bottom third, text stating ‘The legal framework should: protect human rights, prevent violations of human rights, provide effective relief for breaches of human righ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7100570"/>
                    </a:xfrm>
                    <a:prstGeom prst="rect">
                      <a:avLst/>
                    </a:prstGeom>
                  </pic:spPr>
                </pic:pic>
              </a:graphicData>
            </a:graphic>
          </wp:inline>
        </w:drawing>
      </w:r>
    </w:p>
    <w:p w14:paraId="75C45A49" w14:textId="08C89DA1" w:rsidR="00237D52" w:rsidRDefault="00237D52">
      <w:pPr>
        <w:keepLines w:val="0"/>
        <w:spacing w:after="0" w:line="240" w:lineRule="auto"/>
        <w:rPr>
          <w:highlight w:val="yellow"/>
        </w:rPr>
      </w:pPr>
      <w:r>
        <w:rPr>
          <w:highlight w:val="yellow"/>
        </w:rPr>
        <w:br w:type="page"/>
      </w:r>
    </w:p>
    <w:p w14:paraId="22BA42E1" w14:textId="39B3635B" w:rsidR="0054082F" w:rsidRPr="0054082F" w:rsidRDefault="6E050D9D" w:rsidP="00705803">
      <w:pPr>
        <w:pStyle w:val="Titolo4"/>
      </w:pPr>
      <w:r w:rsidRPr="0A47D3D2">
        <w:lastRenderedPageBreak/>
        <w:t>Principles</w:t>
      </w:r>
      <w:r w:rsidR="616D1EB3" w:rsidRPr="0A47D3D2">
        <w:t xml:space="preserve"> to guide human rights protection in Australia</w:t>
      </w:r>
    </w:p>
    <w:p w14:paraId="236AEFE0" w14:textId="551C3D31" w:rsidR="00806B27" w:rsidRDefault="23CB2D0B" w:rsidP="00806B27">
      <w:r>
        <w:t xml:space="preserve">The </w:t>
      </w:r>
      <w:r w:rsidR="5649453B">
        <w:t xml:space="preserve">following principles have guided the </w:t>
      </w:r>
      <w:r>
        <w:t>Commissio</w:t>
      </w:r>
      <w:r w:rsidR="09E4363C">
        <w:t>n in designing its model for a Human Rights Act.</w:t>
      </w:r>
    </w:p>
    <w:p w14:paraId="58811AC6" w14:textId="77777777" w:rsidR="00806B27" w:rsidRDefault="00806B27" w:rsidP="00D63953">
      <w:pPr>
        <w:pStyle w:val="Numeroelenco5"/>
      </w:pPr>
      <w:r w:rsidRPr="008B251C">
        <w:rPr>
          <w:rStyle w:val="Enfasigrassetto"/>
        </w:rPr>
        <w:t>Australian:</w:t>
      </w:r>
      <w:r w:rsidRPr="008B251C">
        <w:t xml:space="preserve"> </w:t>
      </w:r>
      <w:r w:rsidRPr="00337F98">
        <w:t>We need a Human Rights Act that reflects our shared values and embeds</w:t>
      </w:r>
      <w:r w:rsidRPr="008B251C">
        <w:t xml:space="preserve"> </w:t>
      </w:r>
      <w:r w:rsidRPr="000F7743">
        <w:t>rights into our own domestic system</w:t>
      </w:r>
      <w:r>
        <w:t>.</w:t>
      </w:r>
    </w:p>
    <w:p w14:paraId="6BECF2D2" w14:textId="77777777" w:rsidR="00806B27" w:rsidRPr="00702F5B" w:rsidRDefault="00806B27" w:rsidP="00D63953">
      <w:pPr>
        <w:pStyle w:val="Numeroelenco5"/>
      </w:pPr>
      <w:r w:rsidRPr="008B251C">
        <w:rPr>
          <w:rStyle w:val="Enfasigrassetto"/>
        </w:rPr>
        <w:t>Democratic:</w:t>
      </w:r>
      <w:r w:rsidRPr="008B251C">
        <w:t xml:space="preserve"> </w:t>
      </w:r>
      <w:r w:rsidRPr="00337F98">
        <w:rPr>
          <w:bCs/>
        </w:rPr>
        <w:t xml:space="preserve">We need a Human Rights Act to strengthen existing democratic and rule of law principles. The model should be parliamentary, accountable, </w:t>
      </w:r>
      <w:proofErr w:type="gramStart"/>
      <w:r w:rsidRPr="00337F98">
        <w:rPr>
          <w:bCs/>
        </w:rPr>
        <w:t>participatory</w:t>
      </w:r>
      <w:proofErr w:type="gramEnd"/>
      <w:r w:rsidRPr="00337F98">
        <w:rPr>
          <w:bCs/>
        </w:rPr>
        <w:t xml:space="preserve"> and balanced.</w:t>
      </w:r>
    </w:p>
    <w:p w14:paraId="7C2C5AC5" w14:textId="77777777" w:rsidR="00806B27" w:rsidRPr="008B251C" w:rsidRDefault="00806B27" w:rsidP="00D63953">
      <w:pPr>
        <w:pStyle w:val="Puntoelenco4"/>
      </w:pPr>
      <w:r w:rsidRPr="008B251C">
        <w:rPr>
          <w:rStyle w:val="Enfasigrassetto"/>
        </w:rPr>
        <w:t>Parliamentary</w:t>
      </w:r>
      <w:r w:rsidRPr="008B251C">
        <w:t xml:space="preserve"> </w:t>
      </w:r>
      <w:r>
        <w:t>– by preserving parliamentary sovereignty in a model based on dialogue.</w:t>
      </w:r>
    </w:p>
    <w:p w14:paraId="4CA33AC4" w14:textId="10B698C3" w:rsidR="00806B27" w:rsidRPr="008B251C" w:rsidRDefault="00806B27" w:rsidP="00D63953">
      <w:pPr>
        <w:pStyle w:val="Puntoelenco4"/>
      </w:pPr>
      <w:r w:rsidRPr="008B251C">
        <w:rPr>
          <w:rStyle w:val="Enfasigrassetto"/>
        </w:rPr>
        <w:t>Accountable</w:t>
      </w:r>
      <w:r w:rsidRPr="008B251C">
        <w:t xml:space="preserve"> </w:t>
      </w:r>
      <w:r>
        <w:t>–</w:t>
      </w:r>
      <w:r w:rsidRPr="008B251C">
        <w:t xml:space="preserve"> </w:t>
      </w:r>
      <w:r w:rsidRPr="000F7743">
        <w:t>by enhancing the</w:t>
      </w:r>
      <w:r w:rsidRPr="008B251C">
        <w:t xml:space="preserve"> </w:t>
      </w:r>
      <w:r w:rsidRPr="000F7743">
        <w:t>rule of law and providing a check on executive power.</w:t>
      </w:r>
    </w:p>
    <w:p w14:paraId="2D124D24" w14:textId="77777777" w:rsidR="00806B27" w:rsidRPr="008B251C" w:rsidRDefault="00806B27" w:rsidP="00D63953">
      <w:pPr>
        <w:pStyle w:val="Puntoelenco4"/>
      </w:pPr>
      <w:r w:rsidRPr="008B251C">
        <w:rPr>
          <w:rStyle w:val="Enfasigrassetto"/>
        </w:rPr>
        <w:t>Participatory</w:t>
      </w:r>
      <w:r w:rsidRPr="008B251C">
        <w:t xml:space="preserve"> </w:t>
      </w:r>
      <w:r>
        <w:t>–</w:t>
      </w:r>
      <w:r w:rsidRPr="008B251C">
        <w:t xml:space="preserve"> </w:t>
      </w:r>
      <w:r w:rsidRPr="000F7743">
        <w:t>by</w:t>
      </w:r>
      <w:r w:rsidRPr="008B251C">
        <w:t xml:space="preserve"> </w:t>
      </w:r>
      <w:r w:rsidRPr="000F7743">
        <w:t>improving the quality of public debate and enabling minority and vulnerable groups to have a voice</w:t>
      </w:r>
      <w:r>
        <w:t xml:space="preserve"> in decisions that affect them</w:t>
      </w:r>
      <w:r w:rsidRPr="000F7743">
        <w:t>.</w:t>
      </w:r>
    </w:p>
    <w:p w14:paraId="3226330C" w14:textId="77777777" w:rsidR="00806B27" w:rsidRPr="008B251C" w:rsidRDefault="00806B27" w:rsidP="00D63953">
      <w:pPr>
        <w:pStyle w:val="Puntoelenco4"/>
      </w:pPr>
      <w:r w:rsidRPr="008B251C">
        <w:rPr>
          <w:rStyle w:val="Enfasigrassetto"/>
        </w:rPr>
        <w:t>Balanced</w:t>
      </w:r>
      <w:r w:rsidRPr="008B251C">
        <w:t xml:space="preserve"> </w:t>
      </w:r>
      <w:r w:rsidRPr="004A647B">
        <w:t>–</w:t>
      </w:r>
      <w:r w:rsidRPr="000F7743">
        <w:t xml:space="preserve"> by</w:t>
      </w:r>
      <w:r w:rsidRPr="008B251C">
        <w:t xml:space="preserve"> </w:t>
      </w:r>
      <w:r w:rsidRPr="000F7743">
        <w:t xml:space="preserve">setting out a framework for </w:t>
      </w:r>
      <w:r>
        <w:t xml:space="preserve">navigating the intersection of </w:t>
      </w:r>
      <w:r w:rsidRPr="000F7743">
        <w:t>varied public interests and rights</w:t>
      </w:r>
      <w:r>
        <w:t>.</w:t>
      </w:r>
    </w:p>
    <w:p w14:paraId="7E812C72" w14:textId="018DD0A4" w:rsidR="00806B27" w:rsidRPr="008B251C" w:rsidRDefault="00806B27" w:rsidP="00D63953">
      <w:pPr>
        <w:pStyle w:val="Numeroelenco5"/>
      </w:pPr>
      <w:r w:rsidRPr="008B251C">
        <w:rPr>
          <w:rStyle w:val="Enfasigrassetto"/>
        </w:rPr>
        <w:t>Preventative:</w:t>
      </w:r>
      <w:r w:rsidRPr="008B251C">
        <w:t xml:space="preserve"> </w:t>
      </w:r>
      <w:r>
        <w:t xml:space="preserve">We need </w:t>
      </w:r>
      <w:r w:rsidRPr="000F7743">
        <w:t>proactive measures to prevent</w:t>
      </w:r>
      <w:r>
        <w:t xml:space="preserve"> human rights</w:t>
      </w:r>
      <w:r w:rsidRPr="000F7743">
        <w:t xml:space="preserve"> abuses, through</w:t>
      </w:r>
      <w:r>
        <w:t xml:space="preserve"> a Human Rights Act that embeds procedural measures </w:t>
      </w:r>
      <w:r w:rsidR="00812ED1">
        <w:t>to</w:t>
      </w:r>
      <w:r>
        <w:t xml:space="preserve"> enable early consideration of human </w:t>
      </w:r>
      <w:proofErr w:type="gramStart"/>
      <w:r>
        <w:t>rights, and</w:t>
      </w:r>
      <w:proofErr w:type="gramEnd"/>
      <w:r>
        <w:t xml:space="preserve"> foster</w:t>
      </w:r>
      <w:r w:rsidR="00B82D3A">
        <w:t xml:space="preserve">s </w:t>
      </w:r>
      <w:r>
        <w:t>a culture of respect for human rights throughout the whole of government.</w:t>
      </w:r>
      <w:r w:rsidRPr="00AF1038">
        <w:t xml:space="preserve"> </w:t>
      </w:r>
    </w:p>
    <w:p w14:paraId="34809310" w14:textId="433BDE04" w:rsidR="00806B27" w:rsidRPr="008B251C" w:rsidRDefault="00806B27" w:rsidP="00D63953">
      <w:pPr>
        <w:pStyle w:val="Numeroelenco5"/>
      </w:pPr>
      <w:r w:rsidRPr="008B251C">
        <w:rPr>
          <w:rStyle w:val="Enfasigrassetto"/>
        </w:rPr>
        <w:t>Protective:</w:t>
      </w:r>
      <w:r w:rsidRPr="008B251C">
        <w:t xml:space="preserve"> </w:t>
      </w:r>
      <w:r>
        <w:t xml:space="preserve">We need </w:t>
      </w:r>
      <w:r w:rsidRPr="000F7743">
        <w:t xml:space="preserve">safeguards against human rights abuses, </w:t>
      </w:r>
      <w:r>
        <w:t xml:space="preserve">through a Human Rights Act </w:t>
      </w:r>
      <w:r w:rsidRPr="000F7743">
        <w:t>with pathways for individuals to access justice and redress through courts.</w:t>
      </w:r>
    </w:p>
    <w:p w14:paraId="6FAE9A1E" w14:textId="4C711929" w:rsidR="00806B27" w:rsidRPr="0077118F" w:rsidRDefault="00806B27" w:rsidP="00D63953">
      <w:pPr>
        <w:pStyle w:val="Numeroelenco5"/>
      </w:pPr>
      <w:r w:rsidRPr="008B251C">
        <w:rPr>
          <w:rStyle w:val="Enfasigrassetto"/>
        </w:rPr>
        <w:t>Effective:</w:t>
      </w:r>
      <w:r w:rsidRPr="008B251C">
        <w:t xml:space="preserve"> </w:t>
      </w:r>
      <w:r>
        <w:t>We need a Human Rights Act that facilitates better decision making based on human rights standards, and equality of access to effective interventions to protect human rights.</w:t>
      </w:r>
    </w:p>
    <w:p w14:paraId="29B2A739" w14:textId="0E916521" w:rsidR="00817545" w:rsidRPr="00AF3CBD" w:rsidRDefault="00817545" w:rsidP="00D63953">
      <w:pPr>
        <w:pStyle w:val="Titolo4"/>
      </w:pPr>
      <w:r>
        <w:t>Australian</w:t>
      </w:r>
    </w:p>
    <w:p w14:paraId="45C6031C" w14:textId="7AE16D17" w:rsidR="00817545" w:rsidRPr="001847A1" w:rsidRDefault="00817545" w:rsidP="001847A1">
      <w:r w:rsidRPr="001847A1">
        <w:t xml:space="preserve">Australian values align with human rights. Many Australians assume that human rights are already protected in Australian law. </w:t>
      </w:r>
      <w:r w:rsidR="00C923A7" w:rsidRPr="001847A1">
        <w:t>D</w:t>
      </w:r>
      <w:r w:rsidR="002F2E31" w:rsidRPr="001847A1">
        <w:t>espite community expectations</w:t>
      </w:r>
      <w:r w:rsidR="00010387" w:rsidRPr="001847A1">
        <w:t>,</w:t>
      </w:r>
      <w:r w:rsidR="009A3770" w:rsidRPr="001847A1">
        <w:t xml:space="preserve"> k</w:t>
      </w:r>
      <w:r w:rsidRPr="001847A1">
        <w:t xml:space="preserve">ey </w:t>
      </w:r>
      <w:r w:rsidR="00BE3C76" w:rsidRPr="001847A1">
        <w:t xml:space="preserve">civil and political </w:t>
      </w:r>
      <w:r w:rsidRPr="001847A1">
        <w:t>rights like freedom of speech and protections against arbitrary detention are not fully protected in Australia</w:t>
      </w:r>
      <w:r w:rsidR="002F2E31" w:rsidRPr="001847A1">
        <w:t xml:space="preserve">. </w:t>
      </w:r>
      <w:r w:rsidR="00BE3C76" w:rsidRPr="001847A1">
        <w:t xml:space="preserve">Social, </w:t>
      </w:r>
      <w:proofErr w:type="gramStart"/>
      <w:r w:rsidR="00BE3C76" w:rsidRPr="001847A1">
        <w:t>economic</w:t>
      </w:r>
      <w:proofErr w:type="gramEnd"/>
      <w:r w:rsidR="00BE3C76" w:rsidRPr="001847A1">
        <w:t xml:space="preserve"> and cultural rights such as rights to health and education</w:t>
      </w:r>
      <w:r w:rsidRPr="001847A1">
        <w:t xml:space="preserve"> also reflect important Australian values, yet these are only reflected in laws to a limited extent, and related services can be withdrawn at any time.</w:t>
      </w:r>
    </w:p>
    <w:p w14:paraId="58721500" w14:textId="043C812A" w:rsidR="00817545" w:rsidRPr="001847A1" w:rsidRDefault="00817545" w:rsidP="001847A1">
      <w:r w:rsidRPr="001847A1">
        <w:lastRenderedPageBreak/>
        <w:t>A Human Rights Act would enable us to articulate and embrace our values through an Australian instrument. This w</w:t>
      </w:r>
      <w:r w:rsidR="001F668E" w:rsidRPr="001847A1">
        <w:t>ould</w:t>
      </w:r>
      <w:r w:rsidRPr="001847A1">
        <w:t xml:space="preserve"> recognise the rights and freedoms that Australians already support, providing clarity and certainty. It w</w:t>
      </w:r>
      <w:r w:rsidR="001F668E" w:rsidRPr="001847A1">
        <w:t>ould</w:t>
      </w:r>
      <w:r w:rsidRPr="001847A1">
        <w:t xml:space="preserve"> mean that Australians will have a shared understanding of what constitutes our rights, clear expectations of government and grounds for holding government accountable to these expectations.</w:t>
      </w:r>
    </w:p>
    <w:p w14:paraId="2B9C73F2" w14:textId="0D091CC3" w:rsidR="00817545" w:rsidRPr="001847A1" w:rsidRDefault="00817545" w:rsidP="001847A1">
      <w:r w:rsidRPr="001847A1">
        <w:t xml:space="preserve">The systems set up by the Human Rights Act would ensure that the rights of all people in Australia are respected in everyday life. All of us deal with government agencies that make decisions that affect our lives. For example, when attending school, accessing healthcare or aged care, obtaining an </w:t>
      </w:r>
      <w:proofErr w:type="gramStart"/>
      <w:r w:rsidRPr="001847A1">
        <w:t>ID</w:t>
      </w:r>
      <w:proofErr w:type="gramEnd"/>
      <w:r w:rsidRPr="001847A1">
        <w:t xml:space="preserve"> or interacting with the police. A Human Rights Act will apply to </w:t>
      </w:r>
      <w:proofErr w:type="gramStart"/>
      <w:r w:rsidRPr="001847A1">
        <w:t>all of</w:t>
      </w:r>
      <w:proofErr w:type="gramEnd"/>
      <w:r w:rsidRPr="001847A1">
        <w:t xml:space="preserve"> these areas. It would support decision makers to consider human rights in a way that is more appropriate to individual circumstances and protect against arbitrary or unfair decision making.</w:t>
      </w:r>
    </w:p>
    <w:p w14:paraId="1795AE34" w14:textId="53DCB3BF" w:rsidR="00237D52" w:rsidRPr="00237D52" w:rsidRDefault="00817545" w:rsidP="00237D52">
      <w:pPr>
        <w:pStyle w:val="Titolo4"/>
      </w:pPr>
      <w:r w:rsidRPr="00D63953">
        <w:t>Democratic</w:t>
      </w:r>
    </w:p>
    <w:p w14:paraId="527CACBE" w14:textId="7FFD52EA" w:rsidR="00817545" w:rsidRPr="001847A1" w:rsidRDefault="00817545" w:rsidP="001847A1">
      <w:r w:rsidRPr="001847A1">
        <w:t>Without a Human Rights Act in place, laws can be passed, and executive decisions can be made, without consideration for human rights. This has negative implications for democratic principles and the rule of law.</w:t>
      </w:r>
    </w:p>
    <w:p w14:paraId="13FBC726" w14:textId="7755C81B" w:rsidR="00817545" w:rsidRPr="001847A1" w:rsidRDefault="00817545" w:rsidP="001847A1">
      <w:r w:rsidRPr="001847A1">
        <w:t xml:space="preserve">There are relatively few parliamentary or judicial safeguards on the exercise of discretionary executive power in Australia. Parliament routinely passes laws that expand upon executive power, which lessens accountability over decision-making. Examples include counter-terrorism laws that have affected rights to free speech and the right to a fair trial, and delegated decision-making under legislation such as the </w:t>
      </w:r>
      <w:r w:rsidRPr="008B251C">
        <w:rPr>
          <w:rStyle w:val="Enfasicorsivo"/>
        </w:rPr>
        <w:t>Biosecurity Act 2015</w:t>
      </w:r>
      <w:r w:rsidRPr="008B251C">
        <w:t xml:space="preserve"> </w:t>
      </w:r>
      <w:r w:rsidR="00E408C1">
        <w:t>(Cth)</w:t>
      </w:r>
      <w:r w:rsidRPr="001847A1">
        <w:t xml:space="preserve"> during COVID-19.</w:t>
      </w:r>
    </w:p>
    <w:p w14:paraId="3D13B347" w14:textId="6AC8E3B3" w:rsidR="00817545" w:rsidRPr="001847A1" w:rsidRDefault="00817545" w:rsidP="001847A1">
      <w:r w:rsidRPr="001847A1">
        <w:t>In</w:t>
      </w:r>
      <w:r w:rsidR="001B0FAE" w:rsidRPr="001847A1">
        <w:t xml:space="preserve"> parliament and within government, p</w:t>
      </w:r>
      <w:r w:rsidRPr="001847A1">
        <w:t>olitical or economic justifications can easily override human rights, without being tested. Recent public discussions about how far government and private action should be able to limit freedom of speech, freedom of religion, the right to equality and a person’s privacy, are examples of areas where there is an inadequate legal framework to resolve complex interactions between fundamental rights and freedoms.</w:t>
      </w:r>
    </w:p>
    <w:p w14:paraId="37D186A8" w14:textId="4F18FD05" w:rsidR="00817545" w:rsidRPr="001847A1" w:rsidRDefault="00817545" w:rsidP="001847A1">
      <w:r w:rsidRPr="001847A1">
        <w:t xml:space="preserve">A Human Rights Act would strengthen existing democratic principles, with an emphasis on the role of Parliament in a dialogue model. It would provide accountability for executive decision-making through judicial pathways, without infringing on parliamentary sovereignty. A Human Rights Act would also ensure that laws, </w:t>
      </w:r>
      <w:proofErr w:type="gramStart"/>
      <w:r w:rsidRPr="001847A1">
        <w:t>policies</w:t>
      </w:r>
      <w:proofErr w:type="gramEnd"/>
      <w:r w:rsidRPr="001847A1">
        <w:t xml:space="preserve"> and decisions affecting human rights are publicly justified and subject to scrutiny and debate. It would provide a coherent framework for managing intersecting rights and freedoms, by requiring parliamentarians and decision-makers to rationally justify limitations on human rights.</w:t>
      </w:r>
    </w:p>
    <w:p w14:paraId="7C27A907" w14:textId="54E896A1" w:rsidR="00817545" w:rsidRDefault="00817545" w:rsidP="001847A1">
      <w:r w:rsidRPr="001847A1">
        <w:t>Through these mechanisms, a Human Rights Act would increase public participation in decision-making and ensure that transparency and openness are built into government processes.  It would help to increase public trust in government and how it operates, at a time when trust in democratic institutions has declined.</w:t>
      </w:r>
    </w:p>
    <w:p w14:paraId="79E77C12" w14:textId="408FB9B9" w:rsidR="00237D52" w:rsidRDefault="00237D52">
      <w:pPr>
        <w:keepLines w:val="0"/>
        <w:spacing w:after="0" w:line="240" w:lineRule="auto"/>
      </w:pPr>
      <w:r>
        <w:br w:type="page"/>
      </w:r>
    </w:p>
    <w:p w14:paraId="188C751F" w14:textId="446AD63F" w:rsidR="00817545" w:rsidRDefault="00817545" w:rsidP="00D63953">
      <w:pPr>
        <w:pStyle w:val="Titolo4"/>
      </w:pPr>
      <w:r>
        <w:lastRenderedPageBreak/>
        <w:t>Preventative</w:t>
      </w:r>
    </w:p>
    <w:p w14:paraId="5F75D83D" w14:textId="51AA06B4" w:rsidR="00817545" w:rsidRPr="001847A1" w:rsidRDefault="00817545" w:rsidP="001847A1">
      <w:r w:rsidRPr="001847A1">
        <w:t xml:space="preserve">Without a </w:t>
      </w:r>
      <w:r w:rsidR="00C12B50" w:rsidRPr="001847A1">
        <w:t>duty</w:t>
      </w:r>
      <w:r w:rsidRPr="001847A1">
        <w:t xml:space="preserve"> on government to consider and act in accordance with human rights in the early stages of decision-making, human rights breaches may only be apparent after extensive damage has already occurred, resulting in significant human and financial costs. Recent Royal Commissions have highlighted the systemic violations that can occur when human rights are ignored at all levels of government.</w:t>
      </w:r>
    </w:p>
    <w:p w14:paraId="46F57BEB" w14:textId="53E5646E" w:rsidR="00817545" w:rsidRPr="001847A1" w:rsidRDefault="00817545" w:rsidP="001847A1">
      <w:r w:rsidRPr="001847A1">
        <w:t xml:space="preserve">A Human Rights Act would ensure that systematic steps are taken to prevent breaches of human rights from occurring in the first place. It would lead to procedures being put in place to ensure that government considers human rights at an early stage in law, </w:t>
      </w:r>
      <w:proofErr w:type="gramStart"/>
      <w:r w:rsidRPr="001847A1">
        <w:t>policy</w:t>
      </w:r>
      <w:proofErr w:type="gramEnd"/>
      <w:r w:rsidRPr="001847A1">
        <w:t xml:space="preserve"> and administrative processes, which will also filter into operational decision making.</w:t>
      </w:r>
    </w:p>
    <w:p w14:paraId="529FC574" w14:textId="02CFFCBD" w:rsidR="00817545" w:rsidRPr="001847A1" w:rsidRDefault="00817545" w:rsidP="001847A1">
      <w:r w:rsidRPr="001847A1">
        <w:t xml:space="preserve">Parliamentary scrutiny would be conducted through the lens of Australian human rights law, with statements of compatibility prepared for Ministers by departments referring to human rights obligations under Australian law, rather than international law. Through such shifts, there would be a greater upstream embedding of human rights principles in laws, </w:t>
      </w:r>
      <w:proofErr w:type="gramStart"/>
      <w:r w:rsidRPr="001847A1">
        <w:t>policies</w:t>
      </w:r>
      <w:proofErr w:type="gramEnd"/>
      <w:r w:rsidRPr="001847A1">
        <w:t xml:space="preserve"> and practices.</w:t>
      </w:r>
    </w:p>
    <w:p w14:paraId="5666E03C" w14:textId="001F8DDF" w:rsidR="00817545" w:rsidRPr="001847A1" w:rsidRDefault="00817545" w:rsidP="001847A1">
      <w:r w:rsidRPr="001847A1">
        <w:t>A Human Rights Act would also spread awareness and understanding of human rights throughout government and the public at large, building a human-rights culture that would embed principles of fairness and respect into the fabric of public life in Australia.</w:t>
      </w:r>
    </w:p>
    <w:p w14:paraId="43B5499E" w14:textId="559241C2" w:rsidR="00817545" w:rsidRPr="00796372" w:rsidRDefault="00817545" w:rsidP="00D63953">
      <w:pPr>
        <w:pStyle w:val="Titolo4"/>
      </w:pPr>
      <w:r>
        <w:t>Protective</w:t>
      </w:r>
    </w:p>
    <w:p w14:paraId="1CD61ADA" w14:textId="66F1A495" w:rsidR="00817545" w:rsidRPr="001847A1" w:rsidRDefault="00817545" w:rsidP="001847A1">
      <w:r w:rsidRPr="001847A1">
        <w:t>The consequences of Australia’s lack of legal human rights protections acutely affect people who experience disadvantage and marginalis</w:t>
      </w:r>
      <w:r w:rsidR="00A71AF6" w:rsidRPr="001847A1">
        <w:t>ation</w:t>
      </w:r>
      <w:r w:rsidRPr="001847A1">
        <w:t>. It is the most vulnerable people who can fall through the cracks in the existing frameworks.</w:t>
      </w:r>
    </w:p>
    <w:p w14:paraId="5CD0D89D" w14:textId="5392A55B" w:rsidR="00817545" w:rsidRPr="001847A1" w:rsidRDefault="00817545" w:rsidP="001847A1">
      <w:r w:rsidRPr="001847A1">
        <w:t>While the capacity to vote politicians out of power is a fundamental aspect of Australia’s democracy, the majority view is not always aware of, or sympathetic to, the human rights of vulnerable and marginalised groups. Sometimes public pressure will result in parliament making changes to laws that better protect these groups, but these changes often occur belatedly.</w:t>
      </w:r>
    </w:p>
    <w:p w14:paraId="5312DA72" w14:textId="1EDE5C96" w:rsidR="00817545" w:rsidRPr="001847A1" w:rsidRDefault="00817545" w:rsidP="001847A1">
      <w:r w:rsidRPr="001847A1">
        <w:t>Vulnerable and marginalised people and groups may also be subject to unfair administrative decision making by public bodies. Human rights considerations in government decision-making can mean the difference between being</w:t>
      </w:r>
      <w:r w:rsidR="00D31AE9" w:rsidRPr="001847A1">
        <w:t xml:space="preserve"> homeless</w:t>
      </w:r>
      <w:r w:rsidRPr="001847A1">
        <w:t xml:space="preserve"> and being </w:t>
      </w:r>
      <w:r w:rsidR="00D31AE9" w:rsidRPr="001847A1">
        <w:t>housed</w:t>
      </w:r>
      <w:r w:rsidRPr="001847A1">
        <w:t xml:space="preserve">; being destitute and being able to afford </w:t>
      </w:r>
      <w:proofErr w:type="gramStart"/>
      <w:r w:rsidRPr="001847A1">
        <w:t>basic necessities</w:t>
      </w:r>
      <w:proofErr w:type="gramEnd"/>
      <w:r w:rsidRPr="001847A1">
        <w:t>; being locked up and being free; being shut away</w:t>
      </w:r>
      <w:r w:rsidR="00D31AE9" w:rsidRPr="001847A1">
        <w:t xml:space="preserve"> </w:t>
      </w:r>
      <w:r w:rsidR="00AE769C" w:rsidRPr="001847A1">
        <w:t xml:space="preserve">from society </w:t>
      </w:r>
      <w:r w:rsidR="00D31AE9" w:rsidRPr="001847A1">
        <w:t>and being provided with supports to engage in life</w:t>
      </w:r>
      <w:r w:rsidRPr="001847A1">
        <w:t xml:space="preserve">; being </w:t>
      </w:r>
      <w:r w:rsidR="008B22C3" w:rsidRPr="001847A1">
        <w:t>removed from home</w:t>
      </w:r>
      <w:r w:rsidRPr="001847A1">
        <w:t xml:space="preserve"> </w:t>
      </w:r>
      <w:r w:rsidR="00D31AE9" w:rsidRPr="001847A1">
        <w:t>and living with family</w:t>
      </w:r>
      <w:r w:rsidRPr="001847A1">
        <w:t>.</w:t>
      </w:r>
    </w:p>
    <w:p w14:paraId="73652D23" w14:textId="476B7C27" w:rsidR="00AE2B3B" w:rsidRPr="001847A1" w:rsidRDefault="00AE2B3B" w:rsidP="001847A1">
      <w:r w:rsidRPr="001847A1">
        <w:t>A lack of care for human rights can escalate to human rights violations occurring at a systemic level, affecting innumerable vulnerable people.</w:t>
      </w:r>
    </w:p>
    <w:p w14:paraId="15533855" w14:textId="4FD7DF61" w:rsidR="00817545" w:rsidRDefault="008B51EC" w:rsidP="001847A1">
      <w:r w:rsidRPr="001847A1">
        <w:t>A Human Rights Act would mean that</w:t>
      </w:r>
      <w:r w:rsidR="00E842F2" w:rsidRPr="001847A1">
        <w:t xml:space="preserve"> if </w:t>
      </w:r>
      <w:r w:rsidRPr="001847A1">
        <w:t xml:space="preserve">a </w:t>
      </w:r>
      <w:r w:rsidR="00817545" w:rsidRPr="001847A1">
        <w:t xml:space="preserve">person’s human rights </w:t>
      </w:r>
      <w:r w:rsidR="00D572C9" w:rsidRPr="001847A1">
        <w:t xml:space="preserve">were </w:t>
      </w:r>
      <w:r w:rsidR="00817545" w:rsidRPr="001847A1">
        <w:t xml:space="preserve">breached or disregarded, there </w:t>
      </w:r>
      <w:r w:rsidRPr="001847A1">
        <w:t xml:space="preserve">would be </w:t>
      </w:r>
      <w:r w:rsidR="00817545" w:rsidRPr="001847A1">
        <w:t>pathways to enable them to seek and receive justice. Currently, there are very limited options for people to gain redress for human rights abuses, both formally and informally.</w:t>
      </w:r>
    </w:p>
    <w:p w14:paraId="27A167BA" w14:textId="76151C17" w:rsidR="00237D52" w:rsidRDefault="00237D52">
      <w:pPr>
        <w:keepLines w:val="0"/>
        <w:spacing w:after="0" w:line="240" w:lineRule="auto"/>
      </w:pPr>
      <w:r>
        <w:br w:type="page"/>
      </w:r>
    </w:p>
    <w:p w14:paraId="34A4E474" w14:textId="10616DF2" w:rsidR="00817545" w:rsidRPr="00691822" w:rsidRDefault="00817545" w:rsidP="001847A1">
      <w:pPr>
        <w:pStyle w:val="Titolo4"/>
      </w:pPr>
      <w:r>
        <w:lastRenderedPageBreak/>
        <w:t>Effective</w:t>
      </w:r>
    </w:p>
    <w:p w14:paraId="53730024" w14:textId="2074AB0B" w:rsidR="00110D2A" w:rsidRDefault="00CE46CC" w:rsidP="0044489C">
      <w:r>
        <w:t>A Human Rights Act could reduce social and other costs, providing economic benefits</w:t>
      </w:r>
      <w:r w:rsidRPr="00861DD3">
        <w:rPr>
          <w:rStyle w:val="Enfasicorsivo"/>
        </w:rPr>
        <w:t xml:space="preserve"> </w:t>
      </w:r>
      <w:r>
        <w:t>for Australians.</w:t>
      </w:r>
      <w:r w:rsidR="00E66204">
        <w:t xml:space="preserve"> It </w:t>
      </w:r>
      <w:r w:rsidR="00817545">
        <w:t>would be designed to be effective through the prevention of costly breaches</w:t>
      </w:r>
      <w:r w:rsidR="001925A4">
        <w:t xml:space="preserve">. It would lead to </w:t>
      </w:r>
      <w:r w:rsidR="00817545">
        <w:t>improvements in the quality and accessibility of service delivery through a more considered and flexible approach to service provision.</w:t>
      </w:r>
      <w:r w:rsidR="00E33FE4">
        <w:t xml:space="preserve"> </w:t>
      </w:r>
      <w:r w:rsidR="001925A4">
        <w:t>There may be initial upfront costs, but long-term savings to individuals, to government and to the court system</w:t>
      </w:r>
      <w:r w:rsidR="4763B15D">
        <w:t>.</w:t>
      </w:r>
    </w:p>
    <w:p w14:paraId="77BFD399" w14:textId="3684F290" w:rsidR="7402C214" w:rsidRPr="00FA0CA2" w:rsidRDefault="7402C214" w:rsidP="00F053ED">
      <w:pPr>
        <w:pStyle w:val="Titolo3"/>
      </w:pPr>
      <w:bookmarkStart w:id="7" w:name="_Toc121381274"/>
      <w:r w:rsidRPr="00FA0CA2">
        <w:t>A Human Rights Act based on dialogue</w:t>
      </w:r>
      <w:bookmarkEnd w:id="7"/>
    </w:p>
    <w:p w14:paraId="5D308AF8" w14:textId="3BDE7D1C" w:rsidR="001C1F11" w:rsidRPr="001847A1" w:rsidRDefault="001C1F11" w:rsidP="001847A1">
      <w:r w:rsidRPr="001847A1">
        <w:t xml:space="preserve">The Commission proposes </w:t>
      </w:r>
      <w:r w:rsidR="004C6C0F" w:rsidRPr="001847A1">
        <w:t>a Human Rights Act</w:t>
      </w:r>
      <w:r w:rsidRPr="001847A1">
        <w:t xml:space="preserve"> built on the legislative dialogue model. Dialogue </w:t>
      </w:r>
      <w:r w:rsidR="004C6C0F" w:rsidRPr="001847A1">
        <w:t>Human Rights Act</w:t>
      </w:r>
      <w:r w:rsidRPr="001847A1">
        <w:t xml:space="preserve"> models incorporate a formal ‘dialogue’ between the executive, </w:t>
      </w:r>
      <w:proofErr w:type="gramStart"/>
      <w:r w:rsidRPr="001847A1">
        <w:t>legislature</w:t>
      </w:r>
      <w:proofErr w:type="gramEnd"/>
      <w:r w:rsidRPr="001847A1">
        <w:t xml:space="preserve"> and judiciary, with each branch of government sharing responsibility for respecting and protecting human rights. Dialogue models also strongly focus on the ‘upstream’ arena of decision making and policy development.</w:t>
      </w:r>
    </w:p>
    <w:p w14:paraId="12B937C0" w14:textId="617267F9" w:rsidR="001C1F11" w:rsidRPr="001847A1" w:rsidRDefault="001C1F11" w:rsidP="001847A1">
      <w:r w:rsidRPr="001847A1">
        <w:t xml:space="preserve">In accordance with this </w:t>
      </w:r>
      <w:r w:rsidR="0DF400C3" w:rsidRPr="001847A1">
        <w:t>mode</w:t>
      </w:r>
      <w:r w:rsidR="69B84333" w:rsidRPr="001847A1">
        <w:t>l</w:t>
      </w:r>
      <w:r w:rsidRPr="001847A1">
        <w:t xml:space="preserve">, there would be a specific ‘positive duty’ on the executive to act compatibly with human </w:t>
      </w:r>
      <w:proofErr w:type="gramStart"/>
      <w:r w:rsidRPr="001847A1">
        <w:t>rights, and</w:t>
      </w:r>
      <w:proofErr w:type="gramEnd"/>
      <w:r w:rsidRPr="001847A1">
        <w:t xml:space="preserve"> give proper consideration to human rights when making decisions. Government entities, known as ‘public authorities’ would be bound by this duty.</w:t>
      </w:r>
    </w:p>
    <w:p w14:paraId="1E3A53C1" w14:textId="2F9F95A7" w:rsidR="001C1F11" w:rsidRPr="001847A1" w:rsidRDefault="001C1F11" w:rsidP="001847A1">
      <w:r w:rsidRPr="001847A1">
        <w:t xml:space="preserve">Parliament would be required to consider human rights when making and debating laws, through existing parliamentary scrutiny measures. The judiciary would be required to interpret laws in a way that is compatible with the </w:t>
      </w:r>
      <w:r w:rsidR="004C6C0F" w:rsidRPr="001847A1">
        <w:t xml:space="preserve">Human Rights Act </w:t>
      </w:r>
      <w:r w:rsidRPr="001847A1">
        <w:t xml:space="preserve">where it is reasonably possible to do </w:t>
      </w:r>
      <w:proofErr w:type="gramStart"/>
      <w:r w:rsidRPr="001847A1">
        <w:t>in light of</w:t>
      </w:r>
      <w:proofErr w:type="gramEnd"/>
      <w:r w:rsidRPr="001847A1">
        <w:t xml:space="preserve"> Parliament’s intention. The judiciary would also review the executive’s compliance with the positive duty in relation to </w:t>
      </w:r>
      <w:proofErr w:type="gramStart"/>
      <w:r w:rsidRPr="001847A1">
        <w:t>particular decisions</w:t>
      </w:r>
      <w:proofErr w:type="gramEnd"/>
      <w:r w:rsidRPr="001847A1">
        <w:t xml:space="preserve"> and issue remedies for breaches of the H</w:t>
      </w:r>
      <w:r w:rsidR="004C6C0F" w:rsidRPr="001847A1">
        <w:t>uman Rights Act</w:t>
      </w:r>
      <w:r w:rsidRPr="001847A1">
        <w:t xml:space="preserve">. </w:t>
      </w:r>
    </w:p>
    <w:p w14:paraId="2A5020FD" w14:textId="31F76C1B" w:rsidR="001C1F11" w:rsidRDefault="001C1F11" w:rsidP="001847A1">
      <w:r w:rsidRPr="001847A1">
        <w:t>Unlike the state and territory models, and the UK model, the Commission's model does not include provision for a formal ‘declaration of incompatibility’ by a federal court, given some uncertainty about the constitutionality of such a provision.</w:t>
      </w:r>
    </w:p>
    <w:p w14:paraId="05150C5E" w14:textId="32B47760" w:rsidR="53A9BC8F" w:rsidRPr="0047510C" w:rsidRDefault="53A9BC8F" w:rsidP="00F053ED">
      <w:pPr>
        <w:pStyle w:val="Titolo3"/>
      </w:pPr>
      <w:bookmarkStart w:id="8" w:name="_Toc121381275"/>
      <w:r w:rsidRPr="0047510C">
        <w:t>What rights should be included in a Human Rights Act?</w:t>
      </w:r>
      <w:bookmarkEnd w:id="8"/>
    </w:p>
    <w:p w14:paraId="44ED7BBE" w14:textId="738CCC29" w:rsidR="001C1F11" w:rsidRPr="001847A1" w:rsidRDefault="001C1F11" w:rsidP="001847A1">
      <w:r w:rsidRPr="001847A1">
        <w:t xml:space="preserve">The key function of the </w:t>
      </w:r>
      <w:r w:rsidR="004C6C0F" w:rsidRPr="001847A1">
        <w:t>Human Rights Act</w:t>
      </w:r>
      <w:r w:rsidRPr="001847A1">
        <w:t xml:space="preserve"> will be to coherently implement Australia’s international obligations domestically, and to reflect and codify fundamental common law rights. It would provide the ‘bedrock of rights’ in Australian law.</w:t>
      </w:r>
    </w:p>
    <w:p w14:paraId="65B103E2" w14:textId="77777777" w:rsidR="001C1F11" w:rsidRPr="001847A1" w:rsidRDefault="001C1F11" w:rsidP="001847A1">
      <w:r w:rsidRPr="001847A1">
        <w:t xml:space="preserve">The Commission’s recommended model primarily incorporates rights derived from the International Covenant on Civil and Political Rights (ICCPR) and the International Covenant on Economic, Social and Cultural Rights (ICESCR). When formulating the wording of these rights, the Commission has </w:t>
      </w:r>
      <w:proofErr w:type="gramStart"/>
      <w:r w:rsidRPr="001847A1">
        <w:t>taken into account</w:t>
      </w:r>
      <w:proofErr w:type="gramEnd"/>
      <w:r w:rsidRPr="001847A1">
        <w:t xml:space="preserve"> state and territory human rights instruments, and Australia’s specific constitutional and federal structure. </w:t>
      </w:r>
    </w:p>
    <w:p w14:paraId="327F5771" w14:textId="246A88D1" w:rsidR="001C1F11" w:rsidRPr="001847A1" w:rsidRDefault="001C1F11" w:rsidP="001847A1">
      <w:r w:rsidRPr="001847A1">
        <w:lastRenderedPageBreak/>
        <w:t xml:space="preserve">The Commission has also reflected Australia’s obligations arising from ‘thematic’ treaties beyond ICESCR and the ICCPR, relating to particular subsections of the population, such as children (Convention on the Rights of the Child (CRC)) and </w:t>
      </w:r>
      <w:r w:rsidR="001E1003" w:rsidRPr="001847A1">
        <w:t>persons</w:t>
      </w:r>
      <w:r w:rsidRPr="001847A1">
        <w:t xml:space="preserve"> with disability (Convention on the Rights of Persons with Disabilities (CRPD)); as well as rights and principles from the United Nations Declaration on the Rights of Indigenous Peoples (UNDRIP), noting Australia’s particular obligations to First Nations </w:t>
      </w:r>
      <w:r w:rsidR="00044BE9" w:rsidRPr="001847A1">
        <w:t>p</w:t>
      </w:r>
      <w:r w:rsidRPr="001847A1">
        <w:t>eoples. The Commission has proposed embedding key overarching principles from these instruments through the inclusion of a ‘participation duty’ and a related ‘equal access to justice duty’ in relation to the Executive.</w:t>
      </w:r>
    </w:p>
    <w:p w14:paraId="5A4A6264" w14:textId="006E5975" w:rsidR="001C1F11" w:rsidRPr="001847A1" w:rsidRDefault="001C1F11" w:rsidP="001847A1">
      <w:r w:rsidRPr="001847A1">
        <w:t xml:space="preserve">The Commission also proposes that the thematic instruments are reflected through the inclusion of a clause that requires the </w:t>
      </w:r>
      <w:r w:rsidR="004C6C0F" w:rsidRPr="001847A1">
        <w:t>Human Rights Act</w:t>
      </w:r>
      <w:r w:rsidRPr="001847A1">
        <w:t xml:space="preserve"> to be interpreted </w:t>
      </w:r>
      <w:proofErr w:type="gramStart"/>
      <w:r w:rsidRPr="001847A1">
        <w:t>in light of</w:t>
      </w:r>
      <w:proofErr w:type="gramEnd"/>
      <w:r w:rsidRPr="001847A1">
        <w:t xml:space="preserve"> international human rights instruments</w:t>
      </w:r>
      <w:r w:rsidR="3F4F49A0" w:rsidRPr="001847A1">
        <w:t>.</w:t>
      </w:r>
      <w:r w:rsidRPr="001847A1">
        <w:t xml:space="preserve"> </w:t>
      </w:r>
      <w:r w:rsidR="24DBCF9A" w:rsidRPr="001847A1">
        <w:t>T</w:t>
      </w:r>
      <w:r w:rsidRPr="001847A1">
        <w:t xml:space="preserve">his clause </w:t>
      </w:r>
      <w:r w:rsidR="1B5F54DC" w:rsidRPr="001847A1">
        <w:t>w</w:t>
      </w:r>
      <w:r w:rsidRPr="001847A1">
        <w:t xml:space="preserve">ould reference the seven core treaties that Australia has ratified, and UNDRIP. This will encourage courts (as well as Parliament and the Executive) to </w:t>
      </w:r>
      <w:proofErr w:type="gramStart"/>
      <w:r w:rsidRPr="001847A1">
        <w:t>take into account</w:t>
      </w:r>
      <w:proofErr w:type="gramEnd"/>
      <w:r w:rsidRPr="001847A1">
        <w:t xml:space="preserve"> these instruments when interpreting the rights within the </w:t>
      </w:r>
      <w:r w:rsidR="004C6C0F" w:rsidRPr="001847A1">
        <w:t>Human Rights Act</w:t>
      </w:r>
      <w:r w:rsidRPr="001847A1">
        <w:t xml:space="preserve">, and considering how the rights in the </w:t>
      </w:r>
      <w:r w:rsidR="004C6C0F" w:rsidRPr="001847A1">
        <w:t>Human Rights Act</w:t>
      </w:r>
      <w:r w:rsidRPr="001847A1">
        <w:t xml:space="preserve"> may apply to federal legislation that raises human rights considerations.</w:t>
      </w:r>
    </w:p>
    <w:p w14:paraId="67E21D30" w14:textId="77777777" w:rsidR="00F1296C" w:rsidRDefault="00F1296C">
      <w:pPr>
        <w:keepLines w:val="0"/>
        <w:spacing w:after="0" w:line="240" w:lineRule="auto"/>
      </w:pPr>
      <w:r>
        <w:br w:type="page"/>
      </w:r>
    </w:p>
    <w:p w14:paraId="45DC31A9" w14:textId="4B35BEB6" w:rsidR="00D4208B" w:rsidRDefault="001C1F11" w:rsidP="001847A1">
      <w:r w:rsidRPr="001847A1">
        <w:lastRenderedPageBreak/>
        <w:t>The Commission’s proposed Human Rights Act includes the following rights:</w:t>
      </w:r>
    </w:p>
    <w:p w14:paraId="12313ECC" w14:textId="0A81FC2D" w:rsidR="00DC27C6" w:rsidRDefault="00F1296C" w:rsidP="001847A1">
      <w:r>
        <w:rPr>
          <w:noProof/>
        </w:rPr>
        <w:drawing>
          <wp:inline distT="0" distB="0" distL="0" distR="0" wp14:anchorId="32C47C44" wp14:editId="3B76E2CC">
            <wp:extent cx="5759450" cy="7595870"/>
            <wp:effectExtent l="0" t="0" r="6350" b="0"/>
            <wp:docPr id="2" name="Immagine 2" descr="HUMAN RIGHTS ICONS&#10;&#10;• Recognition and equality before the law; and freedom from discrimination&#10;• Right to life&#10;• Protection from torture and cruel, inhuman or degrading treatment&#10;• Protection of children&#10;• Protection of families&#10;• Privacy and reputation&#10;• Freedom of movement&#10;• Freedom of thought, conscience, religion and belief&#10;• Peaceful assembly and freedom of association&#10;• Freedom of expression&#10;• Taking part in public life&#10;• Right to liberty and security of person&#10;• Humane treatment when deprived of liberty&#10;• Children in the criminal process&#10;• Fair hearing&#10;• Rights in criminal proceedings&#10;• Compensation for wrongful conviction&#10;• Right not to be tried or punished more than once&#10;• Retrospective criminal laws&#10;• Freedom from forced work&#10;• Cultural rights &#10;• Cultural rights – First Nations peoples &#10;• Right to education&#10;• Right to health&#10;• Right to an adequate standard of living&#10;• Right to a healthy environment&#10;• Right to work and other work-related rights&#10;• Right to soci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HUMAN RIGHTS ICONS&#10;&#10;• Recognition and equality before the law; and freedom from discrimination&#10;• Right to life&#10;• Protection from torture and cruel, inhuman or degrading treatment&#10;• Protection of children&#10;• Protection of families&#10;• Privacy and reputation&#10;• Freedom of movement&#10;• Freedom of thought, conscience, religion and belief&#10;• Peaceful assembly and freedom of association&#10;• Freedom of expression&#10;• Taking part in public life&#10;• Right to liberty and security of person&#10;• Humane treatment when deprived of liberty&#10;• Children in the criminal process&#10;• Fair hearing&#10;• Rights in criminal proceedings&#10;• Compensation for wrongful conviction&#10;• Right not to be tried or punished more than once&#10;• Retrospective criminal laws&#10;• Freedom from forced work&#10;• Cultural rights &#10;• Cultural rights – First Nations peoples &#10;• Right to education&#10;• Right to health&#10;• Right to an adequate standard of living&#10;• Right to a healthy environment&#10;• Right to work and other work-related rights&#10;• Right to social securit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7595870"/>
                    </a:xfrm>
                    <a:prstGeom prst="rect">
                      <a:avLst/>
                    </a:prstGeom>
                  </pic:spPr>
                </pic:pic>
              </a:graphicData>
            </a:graphic>
          </wp:inline>
        </w:drawing>
      </w:r>
    </w:p>
    <w:p w14:paraId="37B3FC53" w14:textId="0EE3DBEA" w:rsidR="00F1296C" w:rsidRDefault="00F1296C" w:rsidP="001847A1"/>
    <w:p w14:paraId="567858BA" w14:textId="6886A8CE" w:rsidR="00F1296C" w:rsidRDefault="00F1296C">
      <w:pPr>
        <w:keepLines w:val="0"/>
        <w:spacing w:after="0" w:line="240" w:lineRule="auto"/>
      </w:pPr>
      <w:r>
        <w:br w:type="page"/>
      </w:r>
    </w:p>
    <w:p w14:paraId="234CB514" w14:textId="3979EC21" w:rsidR="001C1F11" w:rsidRPr="001847A1" w:rsidRDefault="001C1F11" w:rsidP="001847A1">
      <w:r w:rsidRPr="001847A1">
        <w:lastRenderedPageBreak/>
        <w:t xml:space="preserve">The Commission’s proposal also includes the following cross-cutting </w:t>
      </w:r>
      <w:r w:rsidR="003177C1" w:rsidRPr="001847A1">
        <w:t>procedural</w:t>
      </w:r>
      <w:r w:rsidRPr="001847A1">
        <w:t xml:space="preserve"> duties:</w:t>
      </w:r>
    </w:p>
    <w:p w14:paraId="50CB9682" w14:textId="77777777" w:rsidR="001C1F11" w:rsidRPr="00113DCC" w:rsidRDefault="001C1F11" w:rsidP="001847A1">
      <w:pPr>
        <w:pStyle w:val="Puntoelenco2"/>
      </w:pPr>
      <w:r w:rsidRPr="00113DCC">
        <w:t>Participation duty</w:t>
      </w:r>
    </w:p>
    <w:p w14:paraId="2D59D5B1" w14:textId="3B3AE0DD" w:rsidR="001C1F11" w:rsidRPr="00113DCC" w:rsidRDefault="001C1F11" w:rsidP="001847A1">
      <w:pPr>
        <w:pStyle w:val="Puntoelenco3"/>
      </w:pPr>
      <w:r w:rsidRPr="00113DCC">
        <w:t xml:space="preserve">First Nations </w:t>
      </w:r>
      <w:r w:rsidR="00044BE9">
        <w:t>p</w:t>
      </w:r>
      <w:r w:rsidRPr="00113DCC">
        <w:t>eoples (embedding UNDRIP principles)</w:t>
      </w:r>
    </w:p>
    <w:p w14:paraId="6A67A052" w14:textId="7C5A9CB6" w:rsidR="001C1F11" w:rsidRPr="00113DCC" w:rsidRDefault="001C1F11" w:rsidP="001847A1">
      <w:pPr>
        <w:pStyle w:val="Puntoelenco3"/>
      </w:pPr>
      <w:r w:rsidRPr="00113DCC">
        <w:t>Children (embedding CRC principles)</w:t>
      </w:r>
    </w:p>
    <w:p w14:paraId="247E4C66" w14:textId="1F362C9F" w:rsidR="001C1F11" w:rsidRPr="00113DCC" w:rsidRDefault="000D51E5" w:rsidP="001847A1">
      <w:pPr>
        <w:pStyle w:val="Puntoelenco3"/>
      </w:pPr>
      <w:r>
        <w:t>Persons</w:t>
      </w:r>
      <w:r w:rsidR="001C1F11" w:rsidRPr="00113DCC">
        <w:t xml:space="preserve"> with disability (embedding CRPD principles)</w:t>
      </w:r>
    </w:p>
    <w:p w14:paraId="1C459A08" w14:textId="6F2CA801" w:rsidR="001C1F11" w:rsidRPr="00113DCC" w:rsidRDefault="001C1F11" w:rsidP="001847A1">
      <w:pPr>
        <w:pStyle w:val="Puntoelenco2"/>
      </w:pPr>
      <w:r w:rsidRPr="00113DCC">
        <w:t>Equal access to justice duty</w:t>
      </w:r>
      <w:r>
        <w:t>.</w:t>
      </w:r>
    </w:p>
    <w:p w14:paraId="3532E87E" w14:textId="77777777" w:rsidR="001C1F11" w:rsidRPr="00950C03" w:rsidRDefault="001C1F11" w:rsidP="00034290">
      <w:pPr>
        <w:pStyle w:val="Titolo4"/>
      </w:pPr>
      <w:r w:rsidRPr="00950C03">
        <w:t>Approach to ICESCR rights</w:t>
      </w:r>
    </w:p>
    <w:p w14:paraId="7D0DFD77" w14:textId="6E4D1212" w:rsidR="001C1F11" w:rsidRPr="00113DCC" w:rsidRDefault="001C1F11" w:rsidP="001C1F11">
      <w:proofErr w:type="gramStart"/>
      <w:r w:rsidRPr="00113DCC">
        <w:t>In order to</w:t>
      </w:r>
      <w:proofErr w:type="gramEnd"/>
      <w:r w:rsidRPr="00113DCC">
        <w:t xml:space="preserve"> ensure that ICESCR rights are justiciable and </w:t>
      </w:r>
      <w:r>
        <w:t>c</w:t>
      </w:r>
      <w:r w:rsidRPr="00113DCC">
        <w:t xml:space="preserve">onstitutionally compliant, the Commission proposes articulations of ICESCR rights that are somewhat narrower than the full expression of those rights contained in ICESCR. The Commission has focused on including the essential, core and/or immediately realisable aspects of these rights. Importantly, the proposed articulation of ICESCR rights is designed to accord with the Commission’s proposal for including a direct cause of action for unlawfulness under the </w:t>
      </w:r>
      <w:r w:rsidR="004C6C0F" w:rsidRPr="00113DCC">
        <w:t>H</w:t>
      </w:r>
      <w:r w:rsidR="004C6C0F">
        <w:t>uman Rights Act</w:t>
      </w:r>
      <w:r w:rsidRPr="00113DCC">
        <w:t>. All ICESCR rights are implemented through the Commission’s proposals, to varying degrees</w:t>
      </w:r>
      <w:r>
        <w:t xml:space="preserve"> and in a range of ways</w:t>
      </w:r>
      <w:r w:rsidRPr="00113DCC">
        <w:t>.</w:t>
      </w:r>
    </w:p>
    <w:p w14:paraId="1CC1BA50" w14:textId="32F95811" w:rsidR="001C1F11" w:rsidRDefault="001C1F11" w:rsidP="001C1F11">
      <w:r w:rsidRPr="00113DCC">
        <w:t xml:space="preserve">The Commission recognises that ICESCR implementation, particularly </w:t>
      </w:r>
      <w:proofErr w:type="gramStart"/>
      <w:r w:rsidRPr="00113DCC">
        <w:t>with regard to</w:t>
      </w:r>
      <w:proofErr w:type="gramEnd"/>
      <w:r w:rsidRPr="00113DCC">
        <w:t xml:space="preserve"> the principle of progressive realisation, occurs primarily outside</w:t>
      </w:r>
      <w:r w:rsidRPr="00861DD3">
        <w:rPr>
          <w:rStyle w:val="Enfasicorsivo"/>
        </w:rPr>
        <w:t xml:space="preserve"> </w:t>
      </w:r>
      <w:r w:rsidRPr="00113DCC">
        <w:t xml:space="preserve">of the realm of the courts. Progressive realisation is most relevant to ‘upstream’ decision making about policy and resourcing. Parliamentary scrutiny and Commission reporting would provide opportunities to address the broader aspects of ICESCR rights that extend beyond the narrower articulation of rights in the </w:t>
      </w:r>
      <w:r w:rsidR="004C6C0F" w:rsidRPr="00113DCC">
        <w:t>H</w:t>
      </w:r>
      <w:r w:rsidR="004C6C0F">
        <w:t>uman Rights Act</w:t>
      </w:r>
      <w:r w:rsidRPr="00113DCC">
        <w:t xml:space="preserve"> to be applied by courts. The Commission also envisions that legal foundations in </w:t>
      </w:r>
      <w:r w:rsidR="004C6C0F">
        <w:t>a Human Rights Act</w:t>
      </w:r>
      <w:r w:rsidRPr="00113DCC">
        <w:t xml:space="preserve"> would be complemented by overarching national targets and measurable indicators assessing human rights implementation, enabling the progressive realisation of rights over time.</w:t>
      </w:r>
    </w:p>
    <w:p w14:paraId="4F15611C" w14:textId="77777777" w:rsidR="001C1F11" w:rsidRPr="00950C03" w:rsidRDefault="001C1F11" w:rsidP="00034290">
      <w:pPr>
        <w:pStyle w:val="Titolo4"/>
      </w:pPr>
      <w:r w:rsidRPr="00950C03">
        <w:t xml:space="preserve">Approach to First Nations rights </w:t>
      </w:r>
    </w:p>
    <w:p w14:paraId="023B450B" w14:textId="264AAA03" w:rsidR="001C1F11" w:rsidRPr="00113DCC" w:rsidRDefault="001C1F11" w:rsidP="001C1F11">
      <w:r w:rsidRPr="00113DCC">
        <w:t xml:space="preserve">The Commission considers that, in combination with </w:t>
      </w:r>
      <w:r w:rsidR="004C6C0F">
        <w:t>a Human Rights Act</w:t>
      </w:r>
      <w:r w:rsidRPr="00113DCC">
        <w:t xml:space="preserve">, a range of steps should be undertaken </w:t>
      </w:r>
      <w:r w:rsidR="2D50F6FC">
        <w:t>to implement the rights of First Nations peoples</w:t>
      </w:r>
      <w:r>
        <w:t>,</w:t>
      </w:r>
      <w:r w:rsidR="6BC411DD">
        <w:t xml:space="preserve"> particularly as set out in </w:t>
      </w:r>
      <w:r w:rsidR="002B6437">
        <w:t xml:space="preserve">UNDRIP. </w:t>
      </w:r>
      <w:r w:rsidR="6BC411DD">
        <w:t>This includes through</w:t>
      </w:r>
      <w:r>
        <w:t xml:space="preserve"> in</w:t>
      </w:r>
      <w:r w:rsidR="33AB59A6">
        <w:t>troduction of</w:t>
      </w:r>
      <w:r w:rsidRPr="00113DCC">
        <w:t xml:space="preserve"> a National Plan to implement UNDRIP, and a </w:t>
      </w:r>
      <w:r>
        <w:t>c</w:t>
      </w:r>
      <w:r w:rsidRPr="00113DCC">
        <w:t xml:space="preserve">onstitutional Voice to Parliament as the first step towards the full realisation of the Uluru Statement from the Heart. </w:t>
      </w:r>
    </w:p>
    <w:p w14:paraId="5202D976" w14:textId="77777777" w:rsidR="00237D52" w:rsidRDefault="00237D52">
      <w:pPr>
        <w:keepLines w:val="0"/>
        <w:spacing w:after="0" w:line="240" w:lineRule="auto"/>
      </w:pPr>
      <w:r>
        <w:br w:type="page"/>
      </w:r>
    </w:p>
    <w:p w14:paraId="36D4709E" w14:textId="4764C749" w:rsidR="001C1F11" w:rsidRPr="00113DCC" w:rsidRDefault="001C1F11" w:rsidP="001C1F11">
      <w:r w:rsidRPr="00113DCC">
        <w:lastRenderedPageBreak/>
        <w:t xml:space="preserve">Within the </w:t>
      </w:r>
      <w:r w:rsidR="004C6C0F" w:rsidRPr="00113DCC">
        <w:t>H</w:t>
      </w:r>
      <w:r w:rsidR="004C6C0F">
        <w:t>uman Rights Act</w:t>
      </w:r>
      <w:r w:rsidRPr="00113DCC">
        <w:t xml:space="preserve"> model itself, the Commission proposes that UNDRIP be reflected in the following manner, subject to further consultations with First Nations</w:t>
      </w:r>
      <w:r w:rsidR="00343E6E">
        <w:t xml:space="preserve"> peoples</w:t>
      </w:r>
      <w:r w:rsidRPr="00113DCC">
        <w:t>:</w:t>
      </w:r>
    </w:p>
    <w:p w14:paraId="0EF12B08" w14:textId="7C9DA8E1" w:rsidR="001C1F11" w:rsidRPr="00113DCC" w:rsidRDefault="001C1F11">
      <w:pPr>
        <w:numPr>
          <w:ilvl w:val="0"/>
          <w:numId w:val="24"/>
        </w:numPr>
      </w:pPr>
      <w:r w:rsidRPr="00113DCC">
        <w:t>A ‘participation duty’ applicable to the executive, to reflect principles of self-determination through practical measures by public authorities, to complement a Voice to Parliament mechanism.</w:t>
      </w:r>
    </w:p>
    <w:p w14:paraId="550C7CEA" w14:textId="525D5F0E" w:rsidR="001C1F11" w:rsidRPr="00113DCC" w:rsidRDefault="001C1F11">
      <w:pPr>
        <w:numPr>
          <w:ilvl w:val="0"/>
          <w:numId w:val="24"/>
        </w:numPr>
      </w:pPr>
      <w:r w:rsidRPr="00113DCC">
        <w:t>The inclusion of cultural rights, non-discrimination rights and ICESCR rights</w:t>
      </w:r>
      <w:r>
        <w:t>,</w:t>
      </w:r>
      <w:r w:rsidRPr="00113DCC">
        <w:t xml:space="preserve"> alongside the participation duty</w:t>
      </w:r>
      <w:r>
        <w:t>,</w:t>
      </w:r>
      <w:r w:rsidRPr="00113DCC">
        <w:t xml:space="preserve"> to incorporate key UNDRIP rights within </w:t>
      </w:r>
      <w:r w:rsidR="004C6C0F">
        <w:t>a Human Rights Act</w:t>
      </w:r>
      <w:r w:rsidRPr="00113DCC">
        <w:t>. These would be included with a standalone cause of action, and representative standing to enable organisations to bring claims on behalf of communities – recognising the collective aspect of these rights.</w:t>
      </w:r>
    </w:p>
    <w:p w14:paraId="5B2100E3" w14:textId="25139A64" w:rsidR="001C1F11" w:rsidRPr="00B9407C" w:rsidRDefault="001C1F11">
      <w:pPr>
        <w:numPr>
          <w:ilvl w:val="0"/>
          <w:numId w:val="24"/>
        </w:numPr>
      </w:pPr>
      <w:r>
        <w:t xml:space="preserve">First Nations participation reflected in parliamentary scrutiny processes through the requirement to list in Statements of Compatibility steps taken to ensure that participation of First Nations </w:t>
      </w:r>
      <w:r w:rsidR="00044BE9">
        <w:t>p</w:t>
      </w:r>
      <w:r>
        <w:t>eoples has occurred, where relevant, which would also be subject to assessment by the Parliamentary Joint Committee on Human Rights.</w:t>
      </w:r>
    </w:p>
    <w:p w14:paraId="1C2BE32D" w14:textId="23503305" w:rsidR="001C1F11" w:rsidRPr="00113DCC" w:rsidRDefault="001C1F11">
      <w:pPr>
        <w:numPr>
          <w:ilvl w:val="0"/>
          <w:numId w:val="24"/>
        </w:numPr>
      </w:pPr>
      <w:r>
        <w:t xml:space="preserve">A clause enabling </w:t>
      </w:r>
      <w:r w:rsidRPr="00113DCC">
        <w:t xml:space="preserve">human rights in the </w:t>
      </w:r>
      <w:r w:rsidR="004C6C0F" w:rsidRPr="00113DCC">
        <w:t>H</w:t>
      </w:r>
      <w:r w:rsidR="004C6C0F">
        <w:t>uman Rights Act</w:t>
      </w:r>
      <w:r w:rsidRPr="00113DCC">
        <w:t xml:space="preserve"> </w:t>
      </w:r>
      <w:r>
        <w:t>to be</w:t>
      </w:r>
      <w:r w:rsidRPr="00113DCC">
        <w:t xml:space="preserve"> interpreted </w:t>
      </w:r>
      <w:proofErr w:type="gramStart"/>
      <w:r w:rsidRPr="00113DCC">
        <w:t>in light of</w:t>
      </w:r>
      <w:proofErr w:type="gramEnd"/>
      <w:r w:rsidRPr="00113DCC">
        <w:t xml:space="preserve"> UNDRIP</w:t>
      </w:r>
      <w:r>
        <w:t xml:space="preserve"> </w:t>
      </w:r>
      <w:r w:rsidRPr="00113DCC">
        <w:t xml:space="preserve">in cases where the rights of First Nations </w:t>
      </w:r>
      <w:r w:rsidR="00044BE9">
        <w:t>p</w:t>
      </w:r>
      <w:r w:rsidRPr="00113DCC">
        <w:t>eoples have been affected.</w:t>
      </w:r>
    </w:p>
    <w:p w14:paraId="5AB6FF9A" w14:textId="59EA7AD3" w:rsidR="001C1F11" w:rsidRPr="00113DCC" w:rsidRDefault="001C1F11">
      <w:pPr>
        <w:numPr>
          <w:ilvl w:val="0"/>
          <w:numId w:val="24"/>
        </w:numPr>
      </w:pPr>
      <w:r w:rsidRPr="00113DCC">
        <w:t xml:space="preserve">The right to self-determination articulated in a preamble to the </w:t>
      </w:r>
      <w:r w:rsidR="004C6C0F" w:rsidRPr="00113DCC">
        <w:t>H</w:t>
      </w:r>
      <w:r w:rsidR="004C6C0F">
        <w:t>uman Rights Act</w:t>
      </w:r>
      <w:r w:rsidRPr="00113DCC">
        <w:t xml:space="preserve"> as </w:t>
      </w:r>
      <w:r>
        <w:t>a</w:t>
      </w:r>
      <w:r w:rsidRPr="00113DCC">
        <w:t>n overarching principle of the instrument.</w:t>
      </w:r>
    </w:p>
    <w:p w14:paraId="33074FB2" w14:textId="4D9E46F5" w:rsidR="00767B46" w:rsidRPr="009C4B57" w:rsidRDefault="00767B46" w:rsidP="00034290">
      <w:pPr>
        <w:pStyle w:val="Titolo3"/>
      </w:pPr>
      <w:bookmarkStart w:id="9" w:name="_Toc121381276"/>
      <w:r w:rsidRPr="009C4B57">
        <w:t>Positive duty on public authorities</w:t>
      </w:r>
      <w:bookmarkEnd w:id="9"/>
    </w:p>
    <w:p w14:paraId="3A894052" w14:textId="63147819" w:rsidR="00767B46" w:rsidRPr="00950C03" w:rsidRDefault="00767B46" w:rsidP="00034290">
      <w:pPr>
        <w:pStyle w:val="Titolo4"/>
      </w:pPr>
      <w:r w:rsidRPr="00950C03">
        <w:t>Nature of the duty</w:t>
      </w:r>
    </w:p>
    <w:p w14:paraId="3E756FC4" w14:textId="21F1E239" w:rsidR="00767B46" w:rsidRPr="00113DCC" w:rsidRDefault="00767B46" w:rsidP="00767B46">
      <w:r>
        <w:t>A Human Rights Act</w:t>
      </w:r>
      <w:r w:rsidRPr="00113DCC">
        <w:t xml:space="preserve"> would create a legislative obligation for public authorities to act compatibly with the human rights expressed in the H</w:t>
      </w:r>
      <w:r>
        <w:t>uman Rights Act</w:t>
      </w:r>
      <w:r w:rsidRPr="00113DCC">
        <w:t xml:space="preserve"> and to </w:t>
      </w:r>
      <w:proofErr w:type="gramStart"/>
      <w:r>
        <w:t xml:space="preserve">give proper </w:t>
      </w:r>
      <w:r w:rsidRPr="00113DCC">
        <w:t>consider</w:t>
      </w:r>
      <w:r>
        <w:t>ation to</w:t>
      </w:r>
      <w:proofErr w:type="gramEnd"/>
      <w:r w:rsidRPr="00113DCC">
        <w:t xml:space="preserve"> human rights when making decisions. This is also known as a ‘positive duty’ applying to public authorities. The requirement to give ‘proper consideration’ to human rights applies to making decisions and implementing legislation and policy – it is a procedural obligation. The requirement to ‘act compatibly</w:t>
      </w:r>
      <w:r>
        <w:t>’</w:t>
      </w:r>
      <w:r w:rsidRPr="00113DCC">
        <w:t xml:space="preserve"> with human rights is a substantive obligation on public authorities.</w:t>
      </w:r>
    </w:p>
    <w:p w14:paraId="3A4D9436" w14:textId="4E54B007" w:rsidR="00767B46" w:rsidRPr="00113DCC" w:rsidRDefault="00767B46" w:rsidP="00767B46">
      <w:r w:rsidRPr="00113DCC">
        <w:t xml:space="preserve">Public authorities would also be required to engage in participation processes where the </w:t>
      </w:r>
      <w:r>
        <w:t>‘</w:t>
      </w:r>
      <w:r w:rsidRPr="00113DCC">
        <w:t>participation duty</w:t>
      </w:r>
      <w:r>
        <w:t>’</w:t>
      </w:r>
      <w:r w:rsidRPr="00113DCC">
        <w:t xml:space="preserve"> is relevant, as part of the ‘proper consideration’ limb.</w:t>
      </w:r>
    </w:p>
    <w:p w14:paraId="4D3BA592" w14:textId="57806AD7" w:rsidR="00767B46" w:rsidRPr="00113DCC" w:rsidRDefault="00767B46" w:rsidP="00767B46">
      <w:r w:rsidRPr="00113DCC">
        <w:t xml:space="preserve">Compliance with the positive duty would be reviewable by courts </w:t>
      </w:r>
      <w:r>
        <w:t>(</w:t>
      </w:r>
      <w:r w:rsidRPr="00113DCC">
        <w:t xml:space="preserve">and </w:t>
      </w:r>
      <w:r>
        <w:t xml:space="preserve">possibly by </w:t>
      </w:r>
      <w:r w:rsidRPr="00113DCC">
        <w:t>tribunals</w:t>
      </w:r>
      <w:r>
        <w:t xml:space="preserve"> as discussed below in relation to administrative law remedies)</w:t>
      </w:r>
      <w:r w:rsidRPr="00113DCC">
        <w:t>.</w:t>
      </w:r>
    </w:p>
    <w:p w14:paraId="044BB699" w14:textId="0F1EBE88" w:rsidR="00767B46" w:rsidRDefault="00767B46" w:rsidP="00767B46">
      <w:r w:rsidRPr="00113DCC">
        <w:t xml:space="preserve">The positive duty would require </w:t>
      </w:r>
      <w:r>
        <w:t>decision maker</w:t>
      </w:r>
      <w:r w:rsidRPr="00113DCC">
        <w:t xml:space="preserve">s to consider human rights at an early stage, helping to prevent breaches </w:t>
      </w:r>
      <w:r>
        <w:t>from occurring</w:t>
      </w:r>
      <w:r w:rsidRPr="00113DCC">
        <w:t>.</w:t>
      </w:r>
    </w:p>
    <w:p w14:paraId="29801304" w14:textId="31664F5B" w:rsidR="00237D52" w:rsidRDefault="00237D52">
      <w:pPr>
        <w:keepLines w:val="0"/>
        <w:spacing w:after="0" w:line="240" w:lineRule="auto"/>
      </w:pPr>
      <w:r>
        <w:br w:type="page"/>
      </w:r>
    </w:p>
    <w:p w14:paraId="67A8B5EA" w14:textId="003E05A1" w:rsidR="00767B46" w:rsidRPr="00950C03" w:rsidRDefault="00767B46" w:rsidP="00034290">
      <w:pPr>
        <w:pStyle w:val="Titolo4"/>
      </w:pPr>
      <w:r w:rsidRPr="00950C03">
        <w:lastRenderedPageBreak/>
        <w:t>Scope of public authorities</w:t>
      </w:r>
    </w:p>
    <w:p w14:paraId="4E57C3E6" w14:textId="7DCC64B9" w:rsidR="00767B46" w:rsidRPr="00113DCC" w:rsidRDefault="00767B46" w:rsidP="00767B46">
      <w:r w:rsidRPr="00113DCC">
        <w:t xml:space="preserve">The scope of public authorities with obligations to comply with the positive duty includes ‘core’ executive bodies, such as government departments, agencies </w:t>
      </w:r>
      <w:r>
        <w:t xml:space="preserve">and </w:t>
      </w:r>
      <w:r w:rsidRPr="00113DCC">
        <w:t>offices</w:t>
      </w:r>
      <w:r>
        <w:t>,</w:t>
      </w:r>
      <w:r w:rsidRPr="00113DCC">
        <w:t xml:space="preserve"> and </w:t>
      </w:r>
      <w:r>
        <w:t xml:space="preserve">the </w:t>
      </w:r>
      <w:r w:rsidRPr="00113DCC">
        <w:t xml:space="preserve">police. It also includes ‘functional’ public authorities, which are private businesses, non-government organisations and contractors that have functions of a public nature and are exercising those functions on behalf of government. Private entities only </w:t>
      </w:r>
      <w:proofErr w:type="gramStart"/>
      <w:r w:rsidRPr="00113DCC">
        <w:t>have to</w:t>
      </w:r>
      <w:proofErr w:type="gramEnd"/>
      <w:r w:rsidRPr="00113DCC">
        <w:t xml:space="preserve"> comply with the H</w:t>
      </w:r>
      <w:r>
        <w:t>uman Rights Act</w:t>
      </w:r>
      <w:r w:rsidRPr="00113DCC">
        <w:t xml:space="preserve"> when they carry out public functions.</w:t>
      </w:r>
    </w:p>
    <w:p w14:paraId="18032BFE" w14:textId="77777777" w:rsidR="00767B46" w:rsidRPr="00113DCC" w:rsidRDefault="00767B46" w:rsidP="00767B46">
      <w:r w:rsidRPr="00113DCC">
        <w:t>The Commission has proposed adapting state and territory definitions of ‘public authorities’ to suit the federal context, in a manner that is flexible enough to accommodate changes to governance arrangements and clear enough to provide certainty as to who must comply with the H</w:t>
      </w:r>
      <w:r>
        <w:t>uman Rights Act</w:t>
      </w:r>
      <w:r w:rsidRPr="00113DCC">
        <w:t xml:space="preserve">. There </w:t>
      </w:r>
      <w:r>
        <w:t>is</w:t>
      </w:r>
      <w:r w:rsidRPr="00113DCC">
        <w:t xml:space="preserve"> a range of factors included in the definition that indicate </w:t>
      </w:r>
      <w:proofErr w:type="gramStart"/>
      <w:r w:rsidRPr="00113DCC">
        <w:t>whether or not</w:t>
      </w:r>
      <w:proofErr w:type="gramEnd"/>
      <w:r w:rsidRPr="00113DCC">
        <w:t xml:space="preserve"> an entity is a functional public authority (for example, whether the function is conferred on the entity under a statutory provision, and whether the entity is publicly funded). The definition also includes examples of functions that are definitively of a public nature. Examples of functional public authorities at the federal level would include a private company operating a federal prison; and a private service provider delivering services through the NDIS.</w:t>
      </w:r>
    </w:p>
    <w:p w14:paraId="4CBB7628" w14:textId="77777777" w:rsidR="00767B46" w:rsidRPr="00113DCC" w:rsidRDefault="00767B46" w:rsidP="00767B46">
      <w:r w:rsidRPr="00113DCC">
        <w:t>Not included in the scope of public authorities are the Parliament of Australia, except when acting in an administrative capacity; the courts, except when acting in an administrative capacity and where the H</w:t>
      </w:r>
      <w:r>
        <w:t>uman Rights Act</w:t>
      </w:r>
      <w:r w:rsidRPr="00113DCC">
        <w:t xml:space="preserve"> applies to the court’s own procedures; and entities declared by H</w:t>
      </w:r>
      <w:r>
        <w:t>uman Rights Act</w:t>
      </w:r>
      <w:r w:rsidRPr="00113DCC">
        <w:t xml:space="preserve"> regulations not to be a public authority.</w:t>
      </w:r>
    </w:p>
    <w:p w14:paraId="4EB0AFED" w14:textId="77777777" w:rsidR="00767B46" w:rsidRPr="00113DCC" w:rsidRDefault="00767B46" w:rsidP="00767B46">
      <w:r w:rsidRPr="00113DCC">
        <w:t>The Commission also proposes including an ‘opt-in’ clause for businesses and organisations to voluntarily accept responsibility to comply with the H</w:t>
      </w:r>
      <w:r>
        <w:t>uman Rights Act</w:t>
      </w:r>
      <w:r w:rsidRPr="00113DCC">
        <w:t>.</w:t>
      </w:r>
    </w:p>
    <w:p w14:paraId="6B59F74E" w14:textId="77777777" w:rsidR="00767B46" w:rsidRPr="00950C03" w:rsidRDefault="00767B46" w:rsidP="00034290">
      <w:pPr>
        <w:pStyle w:val="Titolo4"/>
      </w:pPr>
      <w:r w:rsidRPr="00950C03">
        <w:t>Implementing the duty</w:t>
      </w:r>
    </w:p>
    <w:p w14:paraId="75714DDD" w14:textId="2453A42E" w:rsidR="00767B46" w:rsidRPr="00113DCC" w:rsidRDefault="00767B46" w:rsidP="00767B46">
      <w:r w:rsidRPr="00113DCC">
        <w:t xml:space="preserve">A positive duty must be accompanied by intensive measures to ensure cultural change and the adoption of a preventative approach to human rights </w:t>
      </w:r>
      <w:r>
        <w:t xml:space="preserve">protection </w:t>
      </w:r>
      <w:r w:rsidRPr="00113DCC">
        <w:t>within public authorities. There should be a transition period pre-introduction (1</w:t>
      </w:r>
      <w:r w:rsidR="00CA74E6">
        <w:t xml:space="preserve"> </w:t>
      </w:r>
      <w:r w:rsidRPr="00113DCC">
        <w:t xml:space="preserve">year) to develop </w:t>
      </w:r>
      <w:r>
        <w:t>proficiency</w:t>
      </w:r>
      <w:r w:rsidRPr="00113DCC">
        <w:t xml:space="preserve"> within the public service. H</w:t>
      </w:r>
      <w:r>
        <w:t>uman Rights Act</w:t>
      </w:r>
      <w:r w:rsidRPr="00113DCC">
        <w:t xml:space="preserve"> implementation should include an initial whole-of-government education program, followed by permanent routine educational requirements at all levels of government to maintain fluency with the H</w:t>
      </w:r>
      <w:r>
        <w:t>uman Rights Act</w:t>
      </w:r>
      <w:r w:rsidRPr="00113DCC">
        <w:t>.</w:t>
      </w:r>
    </w:p>
    <w:p w14:paraId="16C51218" w14:textId="77777777" w:rsidR="00767B46" w:rsidRPr="00113DCC" w:rsidRDefault="00767B46" w:rsidP="00767B46">
      <w:r w:rsidRPr="00113DCC">
        <w:t xml:space="preserve">There should also be permanent, dedicated internal </w:t>
      </w:r>
      <w:r>
        <w:t>d</w:t>
      </w:r>
      <w:r w:rsidRPr="00113DCC">
        <w:t>epartmental teams with human rights expertise and responsibility for consultation and education on H</w:t>
      </w:r>
      <w:r>
        <w:t>uman Rights Act</w:t>
      </w:r>
      <w:r w:rsidRPr="00113DCC">
        <w:t xml:space="preserve"> matters; the development and implementation of human rights action plans by federal departments and agencies; the development of tailored guidelines, checklists and resources to enable staff within public authorities to make human rights</w:t>
      </w:r>
      <w:r>
        <w:t>-</w:t>
      </w:r>
      <w:r w:rsidRPr="00113DCC">
        <w:t>compliant decisions within their area</w:t>
      </w:r>
      <w:r>
        <w:t>s</w:t>
      </w:r>
      <w:r w:rsidRPr="00113DCC">
        <w:t xml:space="preserve"> of competence; and respect for human rights included within public sector codes of conduct.</w:t>
      </w:r>
    </w:p>
    <w:p w14:paraId="2153F178" w14:textId="3349767F" w:rsidR="00767B46" w:rsidRPr="00113DCC" w:rsidRDefault="00767B46" w:rsidP="00767B46">
      <w:r w:rsidRPr="00113DCC">
        <w:t>The Commission considers that it would have a central role in providing tailored and general education about the H</w:t>
      </w:r>
      <w:r>
        <w:t>uman Rights Act</w:t>
      </w:r>
      <w:r w:rsidRPr="00113DCC">
        <w:t xml:space="preserve"> for public </w:t>
      </w:r>
      <w:proofErr w:type="gramStart"/>
      <w:r w:rsidRPr="00113DCC">
        <w:t>authorities, and</w:t>
      </w:r>
      <w:proofErr w:type="gramEnd"/>
      <w:r w:rsidRPr="00113DCC">
        <w:t xml:space="preserve"> would require dedicated ongoing resourcing to do so.</w:t>
      </w:r>
    </w:p>
    <w:p w14:paraId="39789103" w14:textId="43427B8D" w:rsidR="001C1F11" w:rsidRPr="00414698" w:rsidRDefault="001C1F11" w:rsidP="0092496E">
      <w:pPr>
        <w:pStyle w:val="Titolo3"/>
      </w:pPr>
      <w:bookmarkStart w:id="10" w:name="_Toc121381277"/>
      <w:r w:rsidRPr="00414698">
        <w:lastRenderedPageBreak/>
        <w:t>Procedural duties</w:t>
      </w:r>
      <w:bookmarkEnd w:id="10"/>
    </w:p>
    <w:p w14:paraId="615FE04D" w14:textId="2FFA6034" w:rsidR="001C1F11" w:rsidRPr="00950C03" w:rsidRDefault="001C1F11" w:rsidP="00034290">
      <w:pPr>
        <w:pStyle w:val="Titolo4"/>
      </w:pPr>
      <w:r w:rsidRPr="00950C03">
        <w:t>Participation duty</w:t>
      </w:r>
    </w:p>
    <w:p w14:paraId="409A7E97" w14:textId="77777777" w:rsidR="002448DB" w:rsidRPr="00611FA0" w:rsidRDefault="009876C0" w:rsidP="001C1F11">
      <w:r>
        <w:t xml:space="preserve">In addition to the positive duty on public authorities to consider and act in accordance with human rights, the </w:t>
      </w:r>
      <w:r w:rsidR="001C1F11" w:rsidRPr="00113DCC">
        <w:t xml:space="preserve">Commission proposes that an overarching </w:t>
      </w:r>
      <w:r>
        <w:t xml:space="preserve">‘participation duty’ </w:t>
      </w:r>
      <w:r w:rsidR="001C1F11" w:rsidRPr="00113DCC">
        <w:t xml:space="preserve">be introduced into </w:t>
      </w:r>
      <w:r w:rsidR="004C6C0F">
        <w:t>a Human Rights Act</w:t>
      </w:r>
      <w:r>
        <w:t xml:space="preserve">. </w:t>
      </w:r>
      <w:r w:rsidR="002336A5">
        <w:t>The participation duty would primarily operate as a</w:t>
      </w:r>
      <w:r w:rsidR="005B05C9">
        <w:t>n aspect of the</w:t>
      </w:r>
      <w:r w:rsidR="002336A5">
        <w:t xml:space="preserve"> binding</w:t>
      </w:r>
      <w:r w:rsidR="005B05C9">
        <w:t xml:space="preserve"> positive</w:t>
      </w:r>
      <w:r w:rsidR="002336A5">
        <w:t xml:space="preserve"> duty on public authorities.</w:t>
      </w:r>
    </w:p>
    <w:p w14:paraId="57F36498" w14:textId="32C7A464" w:rsidR="009876C0" w:rsidRPr="00611FA0" w:rsidRDefault="005B05C9" w:rsidP="001C1F11">
      <w:r>
        <w:t>The participation duty</w:t>
      </w:r>
      <w:r w:rsidR="002336A5">
        <w:t xml:space="preserve"> would also apply to proponents of legislation in a non-binding respect</w:t>
      </w:r>
      <w:r w:rsidR="00225439">
        <w:t>,</w:t>
      </w:r>
      <w:r w:rsidR="005D4136">
        <w:t xml:space="preserve"> </w:t>
      </w:r>
      <w:r w:rsidR="00225439">
        <w:t xml:space="preserve">reflected in Statements of Compatibility </w:t>
      </w:r>
      <w:r w:rsidR="005D4136">
        <w:t>and assessed by the Parliamentary Joint Committee on Human Rights (PJCHR).</w:t>
      </w:r>
    </w:p>
    <w:p w14:paraId="68236461" w14:textId="24C8D7E8" w:rsidR="00611FA0" w:rsidRPr="00611FA0" w:rsidRDefault="00611FA0" w:rsidP="00007446">
      <w:pPr>
        <w:pStyle w:val="Titolo5"/>
      </w:pPr>
      <w:r w:rsidRPr="0A47D3D2">
        <w:t>Participation duty on public authorities</w:t>
      </w:r>
    </w:p>
    <w:p w14:paraId="362CDD5D" w14:textId="12E9973F" w:rsidR="001C1F11" w:rsidRPr="00113DCC" w:rsidRDefault="005C5B6E" w:rsidP="001C1F11">
      <w:r>
        <w:t>The participation duty would</w:t>
      </w:r>
      <w:r w:rsidR="001C1F11" w:rsidRPr="00113DCC" w:rsidDel="009E4E57">
        <w:t xml:space="preserve"> </w:t>
      </w:r>
      <w:r w:rsidR="001C1F11" w:rsidRPr="00113DCC">
        <w:t>requir</w:t>
      </w:r>
      <w:r>
        <w:t>e</w:t>
      </w:r>
      <w:r w:rsidR="001C1F11" w:rsidRPr="00113DCC">
        <w:t xml:space="preserve"> public authorities to ensure the participation of certain groups and individuals in relation to</w:t>
      </w:r>
      <w:r w:rsidR="005A4867">
        <w:t xml:space="preserve"> policies and</w:t>
      </w:r>
      <w:r w:rsidR="001C1F11" w:rsidRPr="00113DCC">
        <w:t xml:space="preserve"> decisions that directly or disproportionately affect their rights. The </w:t>
      </w:r>
      <w:r w:rsidR="001C1F11">
        <w:t>‘</w:t>
      </w:r>
      <w:r w:rsidR="001C1F11" w:rsidRPr="00113DCC">
        <w:t>participation duty</w:t>
      </w:r>
      <w:r w:rsidR="001C1F11">
        <w:t>’</w:t>
      </w:r>
      <w:r w:rsidR="001C1F11" w:rsidRPr="00113DCC">
        <w:t xml:space="preserve"> addresses a fundamental problem in the development of federal policies and decisions</w:t>
      </w:r>
      <w:r w:rsidR="001C1F11">
        <w:t xml:space="preserve"> – </w:t>
      </w:r>
      <w:r w:rsidR="001C1F11" w:rsidRPr="00113DCC">
        <w:t xml:space="preserve">inadequate engagement with the very people to whom those decisions </w:t>
      </w:r>
      <w:r w:rsidR="001C1F11">
        <w:t xml:space="preserve">directly </w:t>
      </w:r>
      <w:r w:rsidR="001C1F11" w:rsidRPr="00113DCC">
        <w:t>apply.</w:t>
      </w:r>
    </w:p>
    <w:p w14:paraId="72350822" w14:textId="77777777" w:rsidR="001C1F11" w:rsidRPr="00113DCC" w:rsidRDefault="001C1F11" w:rsidP="001C1F11">
      <w:r w:rsidRPr="00113DCC">
        <w:t xml:space="preserve">The Commission’s proposal for a participation duty draws on international human rights law standards and common law procedural fairness principles. It would synthesise procedures </w:t>
      </w:r>
      <w:r>
        <w:t>concerning</w:t>
      </w:r>
      <w:r w:rsidRPr="00113DCC">
        <w:t xml:space="preserve"> consultations and set clear standards, fleshing out what participation means in relation to certain groups that are often overlooked in decision-making processes.</w:t>
      </w:r>
    </w:p>
    <w:p w14:paraId="7785E7E6" w14:textId="666A9740" w:rsidR="001C1F11" w:rsidRPr="00113DCC" w:rsidRDefault="001C1F11" w:rsidP="001C1F11">
      <w:r w:rsidRPr="00113DCC">
        <w:t xml:space="preserve">International law requires specific participation measures to be undertaken regarding decisions affecting the rights of First Nations </w:t>
      </w:r>
      <w:r w:rsidR="00044BE9">
        <w:t>p</w:t>
      </w:r>
      <w:r w:rsidRPr="00113DCC">
        <w:t xml:space="preserve">eoples, </w:t>
      </w:r>
      <w:proofErr w:type="gramStart"/>
      <w:r w:rsidRPr="00113DCC">
        <w:t>children</w:t>
      </w:r>
      <w:proofErr w:type="gramEnd"/>
      <w:r w:rsidRPr="00113DCC">
        <w:t xml:space="preserve"> and </w:t>
      </w:r>
      <w:r w:rsidR="001E1003">
        <w:t>persons</w:t>
      </w:r>
      <w:r w:rsidRPr="00113DCC">
        <w:t xml:space="preserve"> with disability. The participation duty would be a means of realising key procedural elements of the existing rights in the </w:t>
      </w:r>
      <w:r w:rsidR="004C6C0F" w:rsidRPr="00113DCC">
        <w:t>H</w:t>
      </w:r>
      <w:r w:rsidR="004C6C0F">
        <w:t>uman Rights Act</w:t>
      </w:r>
      <w:r w:rsidRPr="00113DCC">
        <w:t>, in relation to these three groups.</w:t>
      </w:r>
    </w:p>
    <w:p w14:paraId="671E63F4" w14:textId="01748068" w:rsidR="001C1F11" w:rsidRPr="00113DCC" w:rsidRDefault="001C1F11" w:rsidP="001C1F11">
      <w:r w:rsidRPr="00113DCC">
        <w:t>The duty will apply differently to each of these groups, as defined by the relevant international instruments. However, the same underlying requirement applies — when decisions will affect the rights of members of these groups, public authorities have a duty to ensure their participation in those decisions.</w:t>
      </w:r>
    </w:p>
    <w:p w14:paraId="13ED7C28" w14:textId="03A00E56" w:rsidR="001C1F11" w:rsidRPr="00113DCC" w:rsidRDefault="001C1F11">
      <w:pPr>
        <w:numPr>
          <w:ilvl w:val="0"/>
          <w:numId w:val="26"/>
        </w:numPr>
      </w:pPr>
      <w:r w:rsidRPr="00113DCC">
        <w:t>Where decisions of public authorities will affect the rights of First Nations peoples and communities, participation processes should be facilitated in line with UNDRIP principles and standards relevant to consultation and participation.</w:t>
      </w:r>
    </w:p>
    <w:p w14:paraId="18C0CF51" w14:textId="77777777" w:rsidR="001C1F11" w:rsidRPr="00113DCC" w:rsidRDefault="001C1F11">
      <w:pPr>
        <w:numPr>
          <w:ilvl w:val="0"/>
          <w:numId w:val="25"/>
        </w:numPr>
      </w:pPr>
      <w:r w:rsidRPr="00113DCC">
        <w:t>When individual children are affected by a decision, the ‘best interest</w:t>
      </w:r>
      <w:r>
        <w:t>s</w:t>
      </w:r>
      <w:r w:rsidRPr="00113DCC">
        <w:t>’ principle should be applied, and the child should be heard, with their views given due weight in accordance with their age and maturity. When children as a group are affected by proposed policies or laws, the best interests of children should be proactively considered, and children should be consulted as part of the development process.</w:t>
      </w:r>
    </w:p>
    <w:p w14:paraId="37DE2686" w14:textId="5194C11C" w:rsidR="001C1F11" w:rsidRPr="00113DCC" w:rsidRDefault="001C1F11">
      <w:pPr>
        <w:numPr>
          <w:ilvl w:val="0"/>
          <w:numId w:val="25"/>
        </w:numPr>
      </w:pPr>
      <w:r w:rsidRPr="00113DCC">
        <w:lastRenderedPageBreak/>
        <w:t xml:space="preserve">Individual </w:t>
      </w:r>
      <w:r w:rsidR="000D51E5">
        <w:t>persons</w:t>
      </w:r>
      <w:r w:rsidRPr="00113DCC">
        <w:t xml:space="preserve"> with disability should be supported to make their own decisions in all aspects of their lives, and public authorities should have processes in place to facilitate supported decision making. When decisions have an impact upon people with disabilities as a group, </w:t>
      </w:r>
      <w:r w:rsidR="000D51E5">
        <w:t>persons</w:t>
      </w:r>
      <w:r w:rsidRPr="00113DCC">
        <w:t xml:space="preserve"> with disability</w:t>
      </w:r>
      <w:r>
        <w:t>, including</w:t>
      </w:r>
      <w:r w:rsidRPr="00113DCC">
        <w:t xml:space="preserve"> through their representative organisations</w:t>
      </w:r>
      <w:r>
        <w:t>,</w:t>
      </w:r>
      <w:r w:rsidRPr="00113DCC">
        <w:t xml:space="preserve"> should be consulted as part of the process.</w:t>
      </w:r>
    </w:p>
    <w:p w14:paraId="6078C330" w14:textId="186BB055" w:rsidR="001C1F11" w:rsidRPr="00113DCC" w:rsidRDefault="001C1F11" w:rsidP="001C1F11">
      <w:r w:rsidRPr="00113DCC">
        <w:t xml:space="preserve">The participation duty </w:t>
      </w:r>
      <w:r>
        <w:t>would</w:t>
      </w:r>
      <w:r w:rsidRPr="00113DCC">
        <w:t xml:space="preserve"> arise when public authorities are developing policies, or making decisions, that affect the rights of these three groups. </w:t>
      </w:r>
      <w:r>
        <w:t>The duty would arise when decisions are being made that directly concern these groups</w:t>
      </w:r>
      <w:r w:rsidRPr="00113DCC">
        <w:t xml:space="preserve">, or </w:t>
      </w:r>
      <w:r>
        <w:t xml:space="preserve">where the decision is likely to have a </w:t>
      </w:r>
      <w:r w:rsidRPr="00113DCC">
        <w:t xml:space="preserve">disproportionate </w:t>
      </w:r>
      <w:r>
        <w:t xml:space="preserve">impact </w:t>
      </w:r>
      <w:r w:rsidRPr="00113DCC">
        <w:t>on the group in question. For example, changes to planning policies may have a disproportionate impact on people with disabilities if they affect accessibility.</w:t>
      </w:r>
    </w:p>
    <w:p w14:paraId="13E4E07B" w14:textId="1799C703" w:rsidR="001C1F11" w:rsidRPr="00113DCC" w:rsidRDefault="001C1F11" w:rsidP="001C1F11">
      <w:r w:rsidRPr="00113DCC">
        <w:t xml:space="preserve">Where decisions are made that affect groups of people, the </w:t>
      </w:r>
      <w:r w:rsidR="009263BE">
        <w:t>decision maker</w:t>
      </w:r>
      <w:r w:rsidRPr="00113DCC">
        <w:t xml:space="preserve"> need only show that there was sufficiently fair and representative consultation, not that participation occurred comprehensively with all relevant bodies or individuals.</w:t>
      </w:r>
    </w:p>
    <w:p w14:paraId="4E849291" w14:textId="6AB407BD" w:rsidR="001C1F11" w:rsidRPr="00113DCC" w:rsidRDefault="001C1F11" w:rsidP="001C1F11">
      <w:r w:rsidRPr="00113DCC">
        <w:t xml:space="preserve">The Commission has developed a set of </w:t>
      </w:r>
      <w:r w:rsidR="007F7609">
        <w:t>guidelines</w:t>
      </w:r>
      <w:r w:rsidRPr="00113DCC">
        <w:t xml:space="preserve"> that encompass key considerations for determining the quality of a general participation process</w:t>
      </w:r>
      <w:r w:rsidR="007F7609">
        <w:t>.</w:t>
      </w:r>
      <w:r w:rsidRPr="00113DCC">
        <w:t xml:space="preserve"> These include, for example, that consultations should occur at a formative stage; and </w:t>
      </w:r>
      <w:r>
        <w:t xml:space="preserve">that </w:t>
      </w:r>
      <w:r w:rsidRPr="00113DCC">
        <w:t xml:space="preserve">the </w:t>
      </w:r>
      <w:r>
        <w:t xml:space="preserve">results of the </w:t>
      </w:r>
      <w:r w:rsidRPr="00113DCC">
        <w:t xml:space="preserve">consultation should be conscientiously </w:t>
      </w:r>
      <w:proofErr w:type="gramStart"/>
      <w:r w:rsidRPr="00113DCC">
        <w:t>taken into account</w:t>
      </w:r>
      <w:proofErr w:type="gramEnd"/>
      <w:r w:rsidRPr="00113DCC">
        <w:t>.</w:t>
      </w:r>
    </w:p>
    <w:p w14:paraId="4EF7B43E" w14:textId="5E89E21B" w:rsidR="001C1F11" w:rsidRPr="00113DCC" w:rsidRDefault="001C1F11" w:rsidP="001C1F11">
      <w:r w:rsidRPr="00113DCC">
        <w:t xml:space="preserve">Such objective criteria can be applied by the courts when determining whether the </w:t>
      </w:r>
      <w:r w:rsidR="004C6C0F" w:rsidRPr="00113DCC">
        <w:t>H</w:t>
      </w:r>
      <w:r w:rsidR="004C6C0F">
        <w:t>uman Rights Act</w:t>
      </w:r>
      <w:r w:rsidRPr="00113DCC">
        <w:t xml:space="preserve"> was breached due to failure to consult in relation to </w:t>
      </w:r>
      <w:proofErr w:type="gramStart"/>
      <w:r w:rsidRPr="00113DCC">
        <w:t>particular right(s)</w:t>
      </w:r>
      <w:proofErr w:type="gramEnd"/>
      <w:r w:rsidRPr="00113DCC">
        <w:t xml:space="preserve">. Where public authorities can show that they enabled affected person(s) to genuinely participate in a decision made about them, this will </w:t>
      </w:r>
      <w:r>
        <w:t>fulfil the participation duty, and point to the fulfilment of the substantive right under consideration by a court</w:t>
      </w:r>
      <w:r w:rsidRPr="00113DCC">
        <w:t xml:space="preserve">. As with substantive rights in the </w:t>
      </w:r>
      <w:r w:rsidR="004C6C0F" w:rsidRPr="00113DCC">
        <w:t>H</w:t>
      </w:r>
      <w:r w:rsidR="004C6C0F">
        <w:t>uman Rights Act</w:t>
      </w:r>
      <w:r w:rsidRPr="00113DCC">
        <w:t>, the participation duty could be justifiably limited through the application of the limitations clause.</w:t>
      </w:r>
    </w:p>
    <w:p w14:paraId="06B73F19" w14:textId="2E52ABAC" w:rsidR="002448DB" w:rsidRPr="00611FA0" w:rsidRDefault="00611FA0" w:rsidP="00007446">
      <w:pPr>
        <w:pStyle w:val="Titolo5"/>
      </w:pPr>
      <w:r w:rsidRPr="00611FA0">
        <w:t>Participation duty on proponents of legislation</w:t>
      </w:r>
    </w:p>
    <w:p w14:paraId="49B918AD" w14:textId="56C21BC9" w:rsidR="00D13E74" w:rsidRDefault="00D13E74" w:rsidP="00D13E74">
      <w:r w:rsidRPr="00D13E74">
        <w:t xml:space="preserve">The participation duty would </w:t>
      </w:r>
      <w:r>
        <w:t>also apply</w:t>
      </w:r>
      <w:r w:rsidRPr="00D13E74">
        <w:t xml:space="preserve"> </w:t>
      </w:r>
      <w:r>
        <w:t>as a</w:t>
      </w:r>
      <w:r w:rsidRPr="00D13E74">
        <w:t xml:space="preserve"> non-binding </w:t>
      </w:r>
      <w:r>
        <w:t>duty</w:t>
      </w:r>
      <w:r w:rsidRPr="00D13E74">
        <w:t xml:space="preserve"> for proponents of legislation to facilitate participation during the law-making process and to reflect what participation measures were undertaken in </w:t>
      </w:r>
      <w:r w:rsidR="005B29A3">
        <w:t>S</w:t>
      </w:r>
      <w:r w:rsidRPr="00D13E74">
        <w:t xml:space="preserve">tatements of </w:t>
      </w:r>
      <w:r w:rsidR="005B29A3">
        <w:t>C</w:t>
      </w:r>
      <w:r w:rsidRPr="00D13E74">
        <w:t>ompatibility. This would also be subject to scrutiny by the</w:t>
      </w:r>
      <w:r w:rsidR="005B29A3">
        <w:t xml:space="preserve"> PJCHR</w:t>
      </w:r>
      <w:r w:rsidRPr="00D13E74">
        <w:t>. Failure to engage in or report on participation to Parliament would not affect the validity of the instrument in question.</w:t>
      </w:r>
    </w:p>
    <w:p w14:paraId="6FB0C71B" w14:textId="6BD355E2" w:rsidR="00237D52" w:rsidRDefault="00237D52">
      <w:pPr>
        <w:keepLines w:val="0"/>
        <w:spacing w:after="0" w:line="240" w:lineRule="auto"/>
      </w:pPr>
      <w:r>
        <w:br w:type="page"/>
      </w:r>
    </w:p>
    <w:p w14:paraId="6A876ACE" w14:textId="2089F58E" w:rsidR="001C1F11" w:rsidRPr="00950C03" w:rsidRDefault="001C1F11" w:rsidP="00034290">
      <w:pPr>
        <w:pStyle w:val="Titolo4"/>
      </w:pPr>
      <w:r w:rsidRPr="00950C03">
        <w:lastRenderedPageBreak/>
        <w:t>Equal access to justice duty</w:t>
      </w:r>
    </w:p>
    <w:p w14:paraId="68194EFA" w14:textId="77777777" w:rsidR="001C1F11" w:rsidRPr="00113DCC" w:rsidRDefault="001C1F11" w:rsidP="001C1F11">
      <w:r w:rsidRPr="00113DCC">
        <w:t xml:space="preserve">In addition to an overarching </w:t>
      </w:r>
      <w:r>
        <w:t>p</w:t>
      </w:r>
      <w:r w:rsidRPr="00113DCC">
        <w:t xml:space="preserve">articipation </w:t>
      </w:r>
      <w:r>
        <w:t>d</w:t>
      </w:r>
      <w:r w:rsidRPr="00113DCC">
        <w:t>uty, the Commission proposes a complementary ‘</w:t>
      </w:r>
      <w:r>
        <w:t>e</w:t>
      </w:r>
      <w:r w:rsidRPr="00113DCC">
        <w:t xml:space="preserve">qual </w:t>
      </w:r>
      <w:r>
        <w:t>a</w:t>
      </w:r>
      <w:r w:rsidRPr="00113DCC">
        <w:t xml:space="preserve">ccess to </w:t>
      </w:r>
      <w:r>
        <w:t>j</w:t>
      </w:r>
      <w:r w:rsidRPr="00113DCC">
        <w:t xml:space="preserve">ustice </w:t>
      </w:r>
      <w:r>
        <w:t>d</w:t>
      </w:r>
      <w:r w:rsidRPr="00113DCC">
        <w:t>uty’ for public authorities.</w:t>
      </w:r>
    </w:p>
    <w:p w14:paraId="2DF7CD79" w14:textId="425DBE20" w:rsidR="001C1F11" w:rsidRPr="00113DCC" w:rsidRDefault="001C1F11" w:rsidP="001C1F11">
      <w:r w:rsidRPr="00113DCC">
        <w:t xml:space="preserve">This duty would mean that public authorities have a positive duty to realise access to justice principles </w:t>
      </w:r>
      <w:r w:rsidR="005362AD">
        <w:t>–</w:t>
      </w:r>
      <w:r w:rsidRPr="00113DCC">
        <w:t xml:space="preserve"> and would require active steps by public authorities to ensure the provision of key elements of a functioning justice system. Specifically, it would be the role of public authorities to provide sufficient access </w:t>
      </w:r>
      <w:r>
        <w:t xml:space="preserve">to </w:t>
      </w:r>
      <w:r w:rsidRPr="00113DCC">
        <w:t>legal assistance, interpreters and disability support to individuals navigating the justice system.</w:t>
      </w:r>
    </w:p>
    <w:p w14:paraId="16927014" w14:textId="2153A266" w:rsidR="001C1F11" w:rsidRPr="00113DCC" w:rsidRDefault="001C1F11" w:rsidP="001C1F11">
      <w:r w:rsidRPr="00113DCC">
        <w:t xml:space="preserve">This duty would create an obligation to meet minimum requirements associated with the right to a fair </w:t>
      </w:r>
      <w:r>
        <w:t>hearing</w:t>
      </w:r>
      <w:r w:rsidRPr="00113DCC">
        <w:t xml:space="preserve">, overlayed by non-discrimination principles that require the provision of certain key supports and services within the justice system to protect equality before the law. This is a principle of </w:t>
      </w:r>
      <w:r w:rsidRPr="00861DD3">
        <w:rPr>
          <w:rStyle w:val="Enfasicorsivo"/>
        </w:rPr>
        <w:t>equal</w:t>
      </w:r>
      <w:r w:rsidRPr="00113DCC">
        <w:t xml:space="preserve"> access</w:t>
      </w:r>
      <w:r w:rsidRPr="00861DD3">
        <w:rPr>
          <w:rStyle w:val="Enfasicorsivo"/>
        </w:rPr>
        <w:t xml:space="preserve">, </w:t>
      </w:r>
      <w:proofErr w:type="gramStart"/>
      <w:r>
        <w:rPr>
          <w:iCs/>
        </w:rPr>
        <w:t>in order to</w:t>
      </w:r>
      <w:proofErr w:type="gramEnd"/>
      <w:r>
        <w:rPr>
          <w:iCs/>
        </w:rPr>
        <w:t xml:space="preserve"> overcome current barriers to access faced by particular groups</w:t>
      </w:r>
      <w:r w:rsidRPr="00113DCC">
        <w:t>.</w:t>
      </w:r>
    </w:p>
    <w:p w14:paraId="0AE26FEF" w14:textId="23C322DB" w:rsidR="001C1F11" w:rsidRPr="00113DCC" w:rsidRDefault="001C1F11" w:rsidP="001C1F11">
      <w:r w:rsidRPr="00113DCC">
        <w:t xml:space="preserve">The purpose of this duty is not only to codify, but to strengthen and support key principles established by common law courts by linking them to positive human rights obligations as defined by international law. The duty would embed non-discrimination principles into planning and policy by public authorities associated with the justice system. The duty may arise as part of a consideration of whether related </w:t>
      </w:r>
      <w:r w:rsidR="004C6C0F" w:rsidRPr="00113DCC">
        <w:t>H</w:t>
      </w:r>
      <w:r w:rsidR="004C6C0F">
        <w:t>uman Rights Act</w:t>
      </w:r>
      <w:r w:rsidRPr="00113DCC">
        <w:t xml:space="preserve"> rights were breached by public authorities due to a failure to implement minimum justice guarantees.</w:t>
      </w:r>
    </w:p>
    <w:p w14:paraId="2BECCDEF" w14:textId="013FD759" w:rsidR="001C1F11" w:rsidRPr="00950C03" w:rsidRDefault="001C1F11" w:rsidP="00034290">
      <w:pPr>
        <w:pStyle w:val="Titolo4"/>
      </w:pPr>
      <w:r w:rsidRPr="00950C03">
        <w:t>Technology and decision making</w:t>
      </w:r>
    </w:p>
    <w:p w14:paraId="36A526D0" w14:textId="679DFB89" w:rsidR="001C1F11" w:rsidRPr="00113DCC" w:rsidRDefault="001C1F11" w:rsidP="001C1F11">
      <w:r w:rsidRPr="00113DCC">
        <w:t xml:space="preserve">Increasingly, public authorities are utilising technology, such as artificial intelligence (AI), when making decisions, including decisions that directly affect people’s rights. It is important that the same procedural fairness principles and rights consideration apply to </w:t>
      </w:r>
      <w:r w:rsidRPr="00861DD3">
        <w:rPr>
          <w:rStyle w:val="Enfasicorsivo"/>
        </w:rPr>
        <w:t xml:space="preserve">all </w:t>
      </w:r>
      <w:r w:rsidRPr="00113DCC">
        <w:t xml:space="preserve">decisions made by public authorities, </w:t>
      </w:r>
      <w:r w:rsidRPr="00861DD3">
        <w:rPr>
          <w:rStyle w:val="Enfasicorsivo"/>
        </w:rPr>
        <w:t>regardless of how the decision is made</w:t>
      </w:r>
      <w:r w:rsidRPr="00113DCC">
        <w:t xml:space="preserve">. This should be explicitly clarified in the </w:t>
      </w:r>
      <w:r w:rsidR="004C6C0F" w:rsidRPr="00113DCC">
        <w:t>H</w:t>
      </w:r>
      <w:r w:rsidR="004C6C0F">
        <w:t>uman Rights Act</w:t>
      </w:r>
      <w:r w:rsidRPr="00113DCC">
        <w:t>.</w:t>
      </w:r>
    </w:p>
    <w:p w14:paraId="78CEBCFF" w14:textId="09353466" w:rsidR="001C1F11" w:rsidRPr="009F20B4" w:rsidRDefault="001C1F11" w:rsidP="0092496E">
      <w:pPr>
        <w:pStyle w:val="Titolo3"/>
      </w:pPr>
      <w:bookmarkStart w:id="11" w:name="_Toc121381278"/>
      <w:r w:rsidRPr="009F20B4">
        <w:t>Jurisdiction and scope</w:t>
      </w:r>
      <w:bookmarkEnd w:id="11"/>
    </w:p>
    <w:p w14:paraId="2E356EC2" w14:textId="3B289F6F" w:rsidR="001C1F11" w:rsidRPr="00113DCC" w:rsidRDefault="004C6C0F" w:rsidP="001C1F11">
      <w:r>
        <w:t>A Human Rights Act</w:t>
      </w:r>
      <w:r w:rsidR="001C1F11" w:rsidRPr="00113DCC">
        <w:t xml:space="preserve"> should protect all people within Australia’s territory and all people subject to Australia’s jurisdiction without discrimination. This reflects the fundamental principle that human rights are universal and apply equally to all human beings.</w:t>
      </w:r>
    </w:p>
    <w:p w14:paraId="52E6E683" w14:textId="68088DF4" w:rsidR="001C1F11" w:rsidRPr="00113DCC" w:rsidRDefault="004C6C0F" w:rsidP="001C1F11">
      <w:r>
        <w:t>A Human Rights Act</w:t>
      </w:r>
      <w:r w:rsidR="001C1F11" w:rsidRPr="00113DCC">
        <w:t xml:space="preserve"> should include individuals under Australia’s ‘effective control’ overseas </w:t>
      </w:r>
      <w:proofErr w:type="gramStart"/>
      <w:r w:rsidR="001C1F11" w:rsidRPr="00113DCC">
        <w:t>in order to</w:t>
      </w:r>
      <w:proofErr w:type="gramEnd"/>
      <w:r w:rsidR="001C1F11" w:rsidRPr="00113DCC">
        <w:t xml:space="preserve"> fully implement Australia’s international obligations.</w:t>
      </w:r>
    </w:p>
    <w:p w14:paraId="7F2607DA" w14:textId="5927CFF9" w:rsidR="001C1F11" w:rsidRDefault="001C1F11" w:rsidP="001C1F11">
      <w:proofErr w:type="gramStart"/>
      <w:r w:rsidRPr="00113DCC">
        <w:lastRenderedPageBreak/>
        <w:t>In light of</w:t>
      </w:r>
      <w:proofErr w:type="gramEnd"/>
      <w:r w:rsidRPr="00113DCC">
        <w:t xml:space="preserve"> Australia’s </w:t>
      </w:r>
      <w:r>
        <w:t>c</w:t>
      </w:r>
      <w:r w:rsidRPr="00113DCC">
        <w:t xml:space="preserve">onstitutional structure and the existing </w:t>
      </w:r>
      <w:r w:rsidR="004C6C0F" w:rsidRPr="00113DCC">
        <w:t>H</w:t>
      </w:r>
      <w:r w:rsidR="004C6C0F">
        <w:t>uman Rights Act</w:t>
      </w:r>
      <w:r w:rsidRPr="00113DCC">
        <w:t xml:space="preserve"> instruments in states and territories, the Commission proposes that a </w:t>
      </w:r>
      <w:r>
        <w:t>f</w:t>
      </w:r>
      <w:r w:rsidRPr="00113DCC">
        <w:t xml:space="preserve">ederal </w:t>
      </w:r>
      <w:r w:rsidR="004C6C0F" w:rsidRPr="00113DCC">
        <w:t>H</w:t>
      </w:r>
      <w:r w:rsidR="004C6C0F">
        <w:t>uman Rights Act</w:t>
      </w:r>
      <w:r w:rsidRPr="00113DCC">
        <w:t xml:space="preserve"> should be restricted to federal laws and federal public authorities. The </w:t>
      </w:r>
      <w:r w:rsidR="004C6C0F" w:rsidRPr="00113DCC">
        <w:t>H</w:t>
      </w:r>
      <w:r w:rsidR="004C6C0F">
        <w:t>uman Rights Act</w:t>
      </w:r>
      <w:r w:rsidRPr="00113DCC">
        <w:t xml:space="preserve"> instruments in place in Victoria, Queensland and the ACT should not be affected by a </w:t>
      </w:r>
      <w:r>
        <w:t>f</w:t>
      </w:r>
      <w:r w:rsidRPr="00113DCC">
        <w:t xml:space="preserve">ederal </w:t>
      </w:r>
      <w:r w:rsidR="004C6C0F" w:rsidRPr="00113DCC">
        <w:t>H</w:t>
      </w:r>
      <w:r w:rsidR="004C6C0F">
        <w:t>uman Rights Act</w:t>
      </w:r>
      <w:r w:rsidRPr="00113DCC">
        <w:t xml:space="preserve">. The remaining states and the Northern Territory could be encouraged to adopt </w:t>
      </w:r>
      <w:r w:rsidR="004C6C0F">
        <w:t>a Human Rights Act</w:t>
      </w:r>
      <w:r w:rsidRPr="00113DCC">
        <w:t xml:space="preserve"> that mirrors the federal </w:t>
      </w:r>
      <w:r w:rsidR="004C6C0F" w:rsidRPr="00113DCC">
        <w:t>H</w:t>
      </w:r>
      <w:r w:rsidR="004C6C0F">
        <w:t>uman Rights Act</w:t>
      </w:r>
      <w:r w:rsidRPr="00113DCC">
        <w:t>.</w:t>
      </w:r>
    </w:p>
    <w:p w14:paraId="71083559" w14:textId="4C14FA59" w:rsidR="001C1F11" w:rsidRPr="00026063" w:rsidRDefault="001C1F11" w:rsidP="0092496E">
      <w:pPr>
        <w:pStyle w:val="Titolo3"/>
      </w:pPr>
      <w:bookmarkStart w:id="12" w:name="_Toc121381279"/>
      <w:r w:rsidRPr="00026063">
        <w:t xml:space="preserve">Interpretation of rights in the </w:t>
      </w:r>
      <w:r w:rsidR="004C6C0F" w:rsidRPr="004C6C0F">
        <w:t>Human Rights Act</w:t>
      </w:r>
      <w:bookmarkEnd w:id="12"/>
    </w:p>
    <w:p w14:paraId="62F37A9C" w14:textId="0377F003" w:rsidR="001C1F11" w:rsidRPr="00113DCC" w:rsidRDefault="001C1F11" w:rsidP="001C1F11">
      <w:r w:rsidRPr="00113DCC">
        <w:t xml:space="preserve">The Commission proposes that the </w:t>
      </w:r>
      <w:r w:rsidR="004C6C0F" w:rsidRPr="00113DCC">
        <w:t>H</w:t>
      </w:r>
      <w:r w:rsidR="004C6C0F">
        <w:t>uman Rights Act</w:t>
      </w:r>
      <w:r w:rsidRPr="00113DCC">
        <w:t xml:space="preserve"> provide guidance about how rights in the </w:t>
      </w:r>
      <w:r w:rsidR="004C6C0F" w:rsidRPr="00113DCC">
        <w:t>H</w:t>
      </w:r>
      <w:r w:rsidR="004C6C0F">
        <w:t>uman Rights Act</w:t>
      </w:r>
      <w:r w:rsidRPr="00113DCC">
        <w:t xml:space="preserve"> should be interpreted. As </w:t>
      </w:r>
      <w:r w:rsidR="004C6C0F" w:rsidRPr="00113DCC">
        <w:t>H</w:t>
      </w:r>
      <w:r w:rsidR="004C6C0F">
        <w:t>uman Rights Act</w:t>
      </w:r>
      <w:r w:rsidRPr="00113DCC">
        <w:t xml:space="preserve"> rights are derived from international law, it is necessary for courts, </w:t>
      </w:r>
      <w:proofErr w:type="gramStart"/>
      <w:r w:rsidRPr="00113DCC">
        <w:t>tribunals</w:t>
      </w:r>
      <w:proofErr w:type="gramEnd"/>
      <w:r w:rsidRPr="00113DCC">
        <w:t xml:space="preserve"> and public authorities to be directed to consider international source instruments and related authoritative international materials, in order to gain context for how the rights are to be understood.</w:t>
      </w:r>
    </w:p>
    <w:p w14:paraId="31B3A670" w14:textId="19EF825A" w:rsidR="001C1F11" w:rsidRPr="00113DCC" w:rsidRDefault="001C1F11" w:rsidP="001C1F11">
      <w:r>
        <w:t xml:space="preserve">The </w:t>
      </w:r>
      <w:r w:rsidR="004C6C0F" w:rsidRPr="00113DCC">
        <w:t>H</w:t>
      </w:r>
      <w:r w:rsidR="004C6C0F">
        <w:t>uman Rights Act</w:t>
      </w:r>
      <w:r>
        <w:t xml:space="preserve"> should include a clause that </w:t>
      </w:r>
      <w:r w:rsidRPr="00113DCC">
        <w:t>reference</w:t>
      </w:r>
      <w:r>
        <w:t xml:space="preserve">s </w:t>
      </w:r>
      <w:r w:rsidRPr="00113DCC">
        <w:t>the seven core treaties that Australia has ratified</w:t>
      </w:r>
      <w:r>
        <w:t xml:space="preserve"> and requires the rights in the </w:t>
      </w:r>
      <w:r w:rsidR="004C6C0F" w:rsidRPr="00113DCC">
        <w:t>H</w:t>
      </w:r>
      <w:r w:rsidR="004C6C0F">
        <w:t>uman Rights Act</w:t>
      </w:r>
      <w:r>
        <w:t xml:space="preserve"> to be interpreted </w:t>
      </w:r>
      <w:proofErr w:type="gramStart"/>
      <w:r>
        <w:t>in light of</w:t>
      </w:r>
      <w:proofErr w:type="gramEnd"/>
      <w:r>
        <w:t xml:space="preserve"> those treaties</w:t>
      </w:r>
      <w:r w:rsidRPr="00113DCC">
        <w:t xml:space="preserve">. This will encourage courts (as well as Parliament and the Executive) to </w:t>
      </w:r>
      <w:proofErr w:type="gramStart"/>
      <w:r w:rsidRPr="00113DCC">
        <w:t>take into account</w:t>
      </w:r>
      <w:proofErr w:type="gramEnd"/>
      <w:r w:rsidRPr="00113DCC">
        <w:t xml:space="preserve"> these instruments when interpreting the rights within the </w:t>
      </w:r>
      <w:r w:rsidR="004C6C0F" w:rsidRPr="00113DCC">
        <w:t>H</w:t>
      </w:r>
      <w:r w:rsidR="004C6C0F">
        <w:t>uman Rights Act</w:t>
      </w:r>
      <w:r w:rsidRPr="00113DCC">
        <w:t>.</w:t>
      </w:r>
    </w:p>
    <w:p w14:paraId="5404E284" w14:textId="6484D64F" w:rsidR="001C1F11" w:rsidRPr="00113DCC" w:rsidRDefault="001C1F11" w:rsidP="001C1F11">
      <w:r w:rsidRPr="00113DCC">
        <w:t xml:space="preserve">This approach would also encourage consideration of explanatory General Comments and other relevant international materials, ensuring that the </w:t>
      </w:r>
      <w:r w:rsidR="004C6C0F" w:rsidRPr="00113DCC">
        <w:t>H</w:t>
      </w:r>
      <w:r w:rsidR="004C6C0F">
        <w:t>uman Rights Act</w:t>
      </w:r>
      <w:r w:rsidRPr="00113DCC">
        <w:t xml:space="preserve"> remains a ‘living document’ that </w:t>
      </w:r>
      <w:proofErr w:type="gramStart"/>
      <w:r w:rsidRPr="00113DCC">
        <w:t>takes into account</w:t>
      </w:r>
      <w:proofErr w:type="gramEnd"/>
      <w:r w:rsidRPr="00113DCC">
        <w:t xml:space="preserve"> developments in international law, including </w:t>
      </w:r>
      <w:r>
        <w:t xml:space="preserve">after </w:t>
      </w:r>
      <w:r w:rsidRPr="00113DCC">
        <w:t xml:space="preserve">the </w:t>
      </w:r>
      <w:r w:rsidR="004C6C0F" w:rsidRPr="00113DCC">
        <w:t>H</w:t>
      </w:r>
      <w:r w:rsidR="004C6C0F">
        <w:t>uman Rights Act</w:t>
      </w:r>
      <w:r w:rsidRPr="00113DCC">
        <w:t xml:space="preserve"> is adopted.</w:t>
      </w:r>
    </w:p>
    <w:p w14:paraId="5A72B4E6" w14:textId="77777777" w:rsidR="001C1F11" w:rsidRPr="00026063" w:rsidRDefault="001C1F11" w:rsidP="0092496E">
      <w:pPr>
        <w:pStyle w:val="Titolo3"/>
      </w:pPr>
      <w:bookmarkStart w:id="13" w:name="_Toc121381280"/>
      <w:r w:rsidRPr="00026063">
        <w:t>Interpretation of federal laws and limitations on human rights</w:t>
      </w:r>
      <w:bookmarkEnd w:id="13"/>
    </w:p>
    <w:p w14:paraId="7D92B850" w14:textId="5BD4FDE6" w:rsidR="001C1F11" w:rsidRDefault="001C1F11" w:rsidP="001C1F11">
      <w:r w:rsidRPr="00113DCC">
        <w:t>The interpretive clause provide</w:t>
      </w:r>
      <w:r>
        <w:t>s</w:t>
      </w:r>
      <w:r w:rsidRPr="00113DCC">
        <w:t xml:space="preserve"> guidance to courts about </w:t>
      </w:r>
      <w:r w:rsidRPr="000B3160">
        <w:t>how they should interpret legislation</w:t>
      </w:r>
      <w:r w:rsidRPr="005362AD">
        <w:t xml:space="preserve"> </w:t>
      </w:r>
      <w:proofErr w:type="gramStart"/>
      <w:r w:rsidR="005362AD" w:rsidRPr="005362AD">
        <w:t>i</w:t>
      </w:r>
      <w:r w:rsidRPr="005362AD">
        <w:t>n</w:t>
      </w:r>
      <w:r w:rsidRPr="00113DCC">
        <w:t xml:space="preserve"> light of</w:t>
      </w:r>
      <w:proofErr w:type="gramEnd"/>
      <w:r w:rsidRPr="00113DCC">
        <w:t xml:space="preserve"> the human rights contained within the </w:t>
      </w:r>
      <w:r w:rsidR="004C6C0F" w:rsidRPr="00113DCC">
        <w:t>H</w:t>
      </w:r>
      <w:r w:rsidR="004C6C0F">
        <w:t>uman Rights Act</w:t>
      </w:r>
      <w:r w:rsidRPr="00113DCC">
        <w:t xml:space="preserve">. Courts are to </w:t>
      </w:r>
      <w:r>
        <w:t xml:space="preserve">prefer an interpretation that is </w:t>
      </w:r>
      <w:r w:rsidRPr="00113DCC">
        <w:t>compatible with human rights</w:t>
      </w:r>
      <w:r>
        <w:t xml:space="preserve">, </w:t>
      </w:r>
      <w:proofErr w:type="gramStart"/>
      <w:r>
        <w:t>provided that</w:t>
      </w:r>
      <w:proofErr w:type="gramEnd"/>
      <w:r>
        <w:t xml:space="preserve"> this is consistent with</w:t>
      </w:r>
      <w:r w:rsidRPr="00113DCC">
        <w:t xml:space="preserve"> the intention of Parliament</w:t>
      </w:r>
      <w:r>
        <w:t>,</w:t>
      </w:r>
      <w:r w:rsidRPr="00113DCC">
        <w:t xml:space="preserve"> as expressed through the statute under analysis.</w:t>
      </w:r>
    </w:p>
    <w:p w14:paraId="00B5D053" w14:textId="151D4B08" w:rsidR="001C1F11" w:rsidRDefault="001C1F11" w:rsidP="001C1F11">
      <w:r>
        <w:t>The limitations clause provides guidance on the ways in which human rights can be permissibly limited. This can be relevant to the task of interpreting statutes in a way that is consistent with human rights. A statutory restriction on human rights may be permissible (and therefore consistent with human rights) if it is justified by the limitations clause, for example because it is proportionate the achievement of some other public purpose or the fulfilment of a different, competing human right.</w:t>
      </w:r>
    </w:p>
    <w:p w14:paraId="5A05ABFC" w14:textId="77777777" w:rsidR="001C1F11" w:rsidRPr="00113DCC" w:rsidRDefault="001C1F11" w:rsidP="001C1F11">
      <w:r>
        <w:t>The limitations clause will also be relevant in assessing whether decisions or actions of public authorities that limit human rights are permissible. This will be particularly relevant to claims by individuals that their human rights have been breached.</w:t>
      </w:r>
    </w:p>
    <w:p w14:paraId="73FD4DE6" w14:textId="3A0D4E80" w:rsidR="001C1F11" w:rsidRDefault="001C1F11" w:rsidP="001C1F11">
      <w:r>
        <w:lastRenderedPageBreak/>
        <w:t xml:space="preserve">Public authorities will need to have regard to the interpretative clause when making decisions or </w:t>
      </w:r>
      <w:proofErr w:type="gramStart"/>
      <w:r>
        <w:t>taking action</w:t>
      </w:r>
      <w:proofErr w:type="gramEnd"/>
      <w:r>
        <w:t xml:space="preserve"> pursuant to statutory authority. More generally, they will need to have regard to the limitations clause in relation to any decision or action that has the potential to impact on human rights.</w:t>
      </w:r>
    </w:p>
    <w:p w14:paraId="57A25D46" w14:textId="77777777" w:rsidR="001C1F11" w:rsidRPr="00950C03" w:rsidRDefault="001C1F11" w:rsidP="00034290">
      <w:pPr>
        <w:pStyle w:val="Titolo4"/>
      </w:pPr>
      <w:r w:rsidRPr="00950C03">
        <w:t>Interpretive clause</w:t>
      </w:r>
    </w:p>
    <w:p w14:paraId="0AE135DA" w14:textId="294ECAE7" w:rsidR="001C1F11" w:rsidRPr="00113DCC" w:rsidRDefault="001C1F11" w:rsidP="001C1F11">
      <w:r>
        <w:t>An interpretive clause requires courts to interpret legislation, where possible, in a way that is consistent with human rights. At the same time, t</w:t>
      </w:r>
      <w:r w:rsidRPr="00113DCC">
        <w:t xml:space="preserve">he interpretive clause must </w:t>
      </w:r>
      <w:r>
        <w:t xml:space="preserve">require courts to </w:t>
      </w:r>
      <w:r w:rsidRPr="00113DCC">
        <w:t xml:space="preserve">respect the </w:t>
      </w:r>
      <w:r>
        <w:t>p</w:t>
      </w:r>
      <w:r w:rsidRPr="00113DCC">
        <w:t xml:space="preserve">arliamentary intention underlying the statute – noting that, in a dialogue model, </w:t>
      </w:r>
      <w:r>
        <w:t>p</w:t>
      </w:r>
      <w:r w:rsidRPr="00113DCC">
        <w:t>arliamentary intention will prevail, due to the ultimate supremacy of Parliament.</w:t>
      </w:r>
    </w:p>
    <w:p w14:paraId="7CDBA37D" w14:textId="1FD429A8" w:rsidR="001C1F11" w:rsidRPr="00113DCC" w:rsidRDefault="001C1F11" w:rsidP="001C1F11">
      <w:r w:rsidRPr="00113DCC">
        <w:t xml:space="preserve">The Commission’s approach to the interpretive clause </w:t>
      </w:r>
      <w:r>
        <w:t xml:space="preserve">is </w:t>
      </w:r>
      <w:r w:rsidRPr="00113DCC">
        <w:t xml:space="preserve">designed to chart a middle ground between a constitutionally </w:t>
      </w:r>
      <w:r>
        <w:t xml:space="preserve">suspect </w:t>
      </w:r>
      <w:r w:rsidRPr="00113DCC">
        <w:t>approach that would grant too much interpretive power to the courts to alter the meaning of legislation; and an approach that would simply be akin to the existing common law principle of legality. The approach that received the most support in consultations is the following formulation.</w:t>
      </w:r>
    </w:p>
    <w:p w14:paraId="111BF490" w14:textId="77777777" w:rsidR="001C1F11" w:rsidRPr="00113DCC" w:rsidRDefault="001C1F11" w:rsidP="00007446">
      <w:pPr>
        <w:pStyle w:val="Citazione"/>
      </w:pPr>
      <w:r w:rsidRPr="00113DCC">
        <w:t>All primary and subordinate Commonwealth legislation to be interpreted, so far as is reasonably possible, in a manner that is consistent with human rights.</w:t>
      </w:r>
    </w:p>
    <w:p w14:paraId="7881FF6B" w14:textId="77777777" w:rsidR="001C1F11" w:rsidRPr="00113DCC" w:rsidRDefault="001C1F11" w:rsidP="001C1F11">
      <w:r w:rsidRPr="00113DCC">
        <w:t xml:space="preserve">In addition to this clause, the Commission also proposes clarifying that courts cannot </w:t>
      </w:r>
      <w:r>
        <w:t xml:space="preserve">declare that Acts of Parliament are invalid on the ground that they are </w:t>
      </w:r>
      <w:r w:rsidRPr="00113DCC">
        <w:t xml:space="preserve">incompatible with human rights. However, a statutory instrument that is not compatible </w:t>
      </w:r>
      <w:r>
        <w:t xml:space="preserve">with human rights </w:t>
      </w:r>
      <w:r w:rsidRPr="00113DCC">
        <w:t xml:space="preserve">may be </w:t>
      </w:r>
      <w:r>
        <w:t xml:space="preserve">invalid if </w:t>
      </w:r>
      <w:r w:rsidRPr="00113DCC">
        <w:t xml:space="preserve">it goes beyond what is </w:t>
      </w:r>
      <w:r>
        <w:t xml:space="preserve">authorised </w:t>
      </w:r>
      <w:r w:rsidRPr="00113DCC">
        <w:t>by the empowering Act</w:t>
      </w:r>
      <w:r>
        <w:t>, read in accordance with the interpretive clause</w:t>
      </w:r>
      <w:r w:rsidRPr="00113DCC">
        <w:t xml:space="preserve">. </w:t>
      </w:r>
    </w:p>
    <w:p w14:paraId="2E30942C" w14:textId="4AE5B0B5" w:rsidR="001C1F11" w:rsidRPr="00950C03" w:rsidRDefault="001C1F11" w:rsidP="00034290">
      <w:pPr>
        <w:pStyle w:val="Titolo4"/>
      </w:pPr>
      <w:r w:rsidRPr="00950C03">
        <w:t>Limitations clause</w:t>
      </w:r>
    </w:p>
    <w:p w14:paraId="18B12FD5" w14:textId="77777777" w:rsidR="001C1F11" w:rsidRDefault="001C1F11" w:rsidP="001C1F11">
      <w:r>
        <w:t>A limitations clause describes the circumstances in which human rights may be permissibly limited.</w:t>
      </w:r>
    </w:p>
    <w:p w14:paraId="6084BBAB" w14:textId="1A1BACEA" w:rsidR="001C1F11" w:rsidRPr="00113DCC" w:rsidRDefault="001C1F11" w:rsidP="001C1F11">
      <w:r w:rsidRPr="00113DCC">
        <w:t>Most human rights are not absolute, and circumstances may require that different rights be balanced against important public interests, and against countervailing rights. For example, it may be necessary to balance the right to freedom of expression with the right to privacy; and the right to access information with national security interests.</w:t>
      </w:r>
    </w:p>
    <w:p w14:paraId="5F207F4A" w14:textId="43BBE3B7" w:rsidR="001C1F11" w:rsidRPr="00113DCC" w:rsidRDefault="001C1F11" w:rsidP="001C1F11">
      <w:r>
        <w:t>The</w:t>
      </w:r>
      <w:r w:rsidRPr="00113DCC">
        <w:t xml:space="preserve"> Commission proposes an overarching limitations clause be included in the </w:t>
      </w:r>
      <w:r w:rsidR="004C6C0F" w:rsidRPr="00113DCC">
        <w:t>H</w:t>
      </w:r>
      <w:r w:rsidR="004C6C0F">
        <w:t>uman Rights Act</w:t>
      </w:r>
      <w:r w:rsidRPr="00113DCC">
        <w:t>. The limitations clause should be based on the ‘proportionality’ test that is strongly established in international law and applicable to human rights instruments. The wording of the limitations clause should serve a dual purpose of being a straightforward and complete legal test for the courts to apply, and a clear directive to public servants on how to conduct the limitations analysis in their day-to-day work.</w:t>
      </w:r>
    </w:p>
    <w:p w14:paraId="5A15703B" w14:textId="77777777" w:rsidR="00237D52" w:rsidRDefault="00237D52">
      <w:pPr>
        <w:keepLines w:val="0"/>
        <w:spacing w:after="0" w:line="240" w:lineRule="auto"/>
      </w:pPr>
      <w:r>
        <w:br w:type="page"/>
      </w:r>
    </w:p>
    <w:p w14:paraId="7CC0107F" w14:textId="010FE6C9" w:rsidR="001C1F11" w:rsidRPr="00113DCC" w:rsidRDefault="001C1F11" w:rsidP="001C1F11">
      <w:r w:rsidRPr="00113DCC">
        <w:lastRenderedPageBreak/>
        <w:t xml:space="preserve">A </w:t>
      </w:r>
      <w:r>
        <w:t>clause</w:t>
      </w:r>
      <w:r w:rsidRPr="00113DCC">
        <w:t xml:space="preserve"> of this kind should incorporate </w:t>
      </w:r>
      <w:r>
        <w:t xml:space="preserve">an </w:t>
      </w:r>
      <w:r w:rsidRPr="00113DCC">
        <w:t xml:space="preserve">overarching statement </w:t>
      </w:r>
      <w:r>
        <w:t xml:space="preserve">to the effect </w:t>
      </w:r>
      <w:r w:rsidRPr="00113DCC">
        <w:t xml:space="preserve">that the rights and freedoms contained in </w:t>
      </w:r>
      <w:r>
        <w:t xml:space="preserve">the </w:t>
      </w:r>
      <w:r w:rsidR="004C6C0F" w:rsidRPr="00113DCC">
        <w:t>H</w:t>
      </w:r>
      <w:r w:rsidR="004C6C0F">
        <w:t>uman Rights Act</w:t>
      </w:r>
      <w:r>
        <w:t xml:space="preserve"> </w:t>
      </w:r>
      <w:r w:rsidRPr="00113DCC">
        <w:t xml:space="preserve">may be subject only to such reasonable limits </w:t>
      </w:r>
      <w:r>
        <w:t xml:space="preserve">as are </w:t>
      </w:r>
      <w:r w:rsidRPr="00113DCC">
        <w:t xml:space="preserve">prescribed by law </w:t>
      </w:r>
      <w:r>
        <w:t xml:space="preserve">and </w:t>
      </w:r>
      <w:r w:rsidRPr="00113DCC">
        <w:t>can be demonstrably justified in a free and democratic society</w:t>
      </w:r>
      <w:r>
        <w:t>.</w:t>
      </w:r>
      <w:r w:rsidRPr="00113DCC">
        <w:t xml:space="preserve"> </w:t>
      </w:r>
      <w:r>
        <w:t xml:space="preserve">The Commission has not proposed a particular form of words for the limitations clause but has identified its important elements. </w:t>
      </w:r>
      <w:r w:rsidRPr="00113DCC">
        <w:t xml:space="preserve">When deciding whether a limit is reasonable and justifiable, the following factors </w:t>
      </w:r>
      <w:r>
        <w:t>are relevant</w:t>
      </w:r>
      <w:r w:rsidRPr="00113DCC">
        <w:t>:</w:t>
      </w:r>
    </w:p>
    <w:p w14:paraId="6F45D770" w14:textId="77777777" w:rsidR="001C1F11" w:rsidRPr="00113DCC" w:rsidRDefault="001C1F11" w:rsidP="0092496E">
      <w:pPr>
        <w:pStyle w:val="Puntoelenco2"/>
      </w:pPr>
      <w:r w:rsidRPr="00113DCC">
        <w:t>whether the limitation is in pursuit of a legitimate purpose</w:t>
      </w:r>
    </w:p>
    <w:p w14:paraId="6566D4E7" w14:textId="4ECAD496" w:rsidR="001C1F11" w:rsidRPr="00113DCC" w:rsidRDefault="001C1F11" w:rsidP="0092496E">
      <w:pPr>
        <w:pStyle w:val="Puntoelenco2"/>
      </w:pPr>
      <w:r w:rsidRPr="00113DCC">
        <w:t>the relationship between the limitation and its purpose, including whether the limitation is necessary to achieve the legitimate purpose, and whether it adopts a means rationally connected to achieving that purpose</w:t>
      </w:r>
    </w:p>
    <w:p w14:paraId="35028D71" w14:textId="77777777" w:rsidR="001C1F11" w:rsidRPr="00113DCC" w:rsidRDefault="001C1F11" w:rsidP="0092496E">
      <w:pPr>
        <w:pStyle w:val="Puntoelenco2"/>
      </w:pPr>
      <w:r w:rsidRPr="00113DCC">
        <w:t>the extent of the interference with the human right</w:t>
      </w:r>
    </w:p>
    <w:p w14:paraId="3DF8F4A1" w14:textId="77777777" w:rsidR="001C1F11" w:rsidRPr="00113DCC" w:rsidRDefault="001C1F11" w:rsidP="0092496E">
      <w:pPr>
        <w:pStyle w:val="Puntoelenco2"/>
      </w:pPr>
      <w:r w:rsidRPr="00113DCC">
        <w:t>whether there are any less restrictive and reasonably available means to achieve the purpose</w:t>
      </w:r>
    </w:p>
    <w:p w14:paraId="12CD9065" w14:textId="1C0B19AF" w:rsidR="001C1F11" w:rsidRPr="00113DCC" w:rsidRDefault="001C1F11" w:rsidP="0092496E">
      <w:pPr>
        <w:pStyle w:val="Puntoelenco2"/>
      </w:pPr>
      <w:r w:rsidRPr="00113DCC">
        <w:t>whether there are safeguards or controls over the means adopted to achieve the purpose.</w:t>
      </w:r>
    </w:p>
    <w:p w14:paraId="7E304CA6" w14:textId="1C084459" w:rsidR="0092496E" w:rsidRPr="0092496E" w:rsidRDefault="001C1F11" w:rsidP="0092496E">
      <w:r w:rsidRPr="00113DCC">
        <w:t xml:space="preserve">Additionally, the </w:t>
      </w:r>
      <w:r>
        <w:t>limitations clause</w:t>
      </w:r>
      <w:r w:rsidRPr="00113DCC">
        <w:t xml:space="preserve"> should prescribe that absolute rights such as freedom from torture and freedom from forced work</w:t>
      </w:r>
      <w:r>
        <w:t xml:space="preserve"> </w:t>
      </w:r>
      <w:r w:rsidRPr="00113DCC">
        <w:t>must not be subject to any limitations.</w:t>
      </w:r>
    </w:p>
    <w:p w14:paraId="0CACF12B" w14:textId="77777777" w:rsidR="001C1F11" w:rsidRPr="00113DCC" w:rsidRDefault="001C1F11" w:rsidP="001C1F11">
      <w:r w:rsidRPr="00113DCC">
        <w:t xml:space="preserve">The Commission proposes </w:t>
      </w:r>
      <w:r>
        <w:t xml:space="preserve">that </w:t>
      </w:r>
      <w:r w:rsidRPr="00113DCC">
        <w:t xml:space="preserve">the limitations clause </w:t>
      </w:r>
      <w:r>
        <w:t xml:space="preserve">include examples </w:t>
      </w:r>
      <w:r w:rsidRPr="00113DCC">
        <w:t>that highlight the minimum core of certain ICESCR rights. This will signify that ICESCR rights should not be limited to such an extent as to encroach upon the minimum protection required by the right.</w:t>
      </w:r>
    </w:p>
    <w:p w14:paraId="61ACAD99" w14:textId="0432BB1D" w:rsidR="001C1F11" w:rsidRPr="00275C29" w:rsidRDefault="001C1F11" w:rsidP="005A142E">
      <w:pPr>
        <w:pStyle w:val="Titolo3"/>
      </w:pPr>
      <w:bookmarkStart w:id="14" w:name="_Toc121381281"/>
      <w:r w:rsidRPr="00275C29">
        <w:t>Notification to Parliament regarding incompatible laws</w:t>
      </w:r>
      <w:bookmarkEnd w:id="14"/>
    </w:p>
    <w:p w14:paraId="388CC284" w14:textId="1EAF33AA" w:rsidR="001C1F11" w:rsidRPr="00113DCC" w:rsidRDefault="001C1F11" w:rsidP="001C1F11">
      <w:r w:rsidRPr="00113DCC">
        <w:t xml:space="preserve">State and territory </w:t>
      </w:r>
      <w:r w:rsidR="004C6C0F" w:rsidRPr="00113DCC">
        <w:t>H</w:t>
      </w:r>
      <w:r w:rsidR="004C6C0F">
        <w:t>uman Rights Act</w:t>
      </w:r>
      <w:r w:rsidRPr="00113DCC">
        <w:t xml:space="preserve">s provide that if a court cannot reasonably interpret a law in a manner that is consistent with human rights </w:t>
      </w:r>
      <w:r>
        <w:t>though applying</w:t>
      </w:r>
      <w:r w:rsidRPr="00113DCC">
        <w:t xml:space="preserve"> the interpretive clause, the court has the power to issue a ‘declaration of incompatibility’ (DOI). DOIs are designed to notify Parliament that a law is considered incompatible with human </w:t>
      </w:r>
      <w:proofErr w:type="gramStart"/>
      <w:r w:rsidRPr="00113DCC">
        <w:t>rights, and</w:t>
      </w:r>
      <w:proofErr w:type="gramEnd"/>
      <w:r w:rsidRPr="00113DCC">
        <w:t xml:space="preserve"> trigger a process for Parliament to review the legislation. Parliament can choose </w:t>
      </w:r>
      <w:proofErr w:type="gramStart"/>
      <w:r w:rsidRPr="00113DCC">
        <w:t>whether or not</w:t>
      </w:r>
      <w:proofErr w:type="gramEnd"/>
      <w:r w:rsidRPr="00113DCC">
        <w:t xml:space="preserve"> to respond to the declaration.</w:t>
      </w:r>
    </w:p>
    <w:p w14:paraId="0B0F0611" w14:textId="556840B0" w:rsidR="001C1F11" w:rsidRPr="00113DCC" w:rsidRDefault="001C1F11" w:rsidP="001C1F11">
      <w:r w:rsidRPr="00113DCC">
        <w:t xml:space="preserve">However, the High Court’s comments in </w:t>
      </w:r>
      <w:r w:rsidRPr="00861DD3">
        <w:rPr>
          <w:rStyle w:val="Enfasicorsivo"/>
        </w:rPr>
        <w:t xml:space="preserve">Momcilovic v The Queen </w:t>
      </w:r>
      <w:r w:rsidRPr="00113DCC">
        <w:t xml:space="preserve">have led to legal uncertainty about the constitutionality of DOIs at the federal level. This poses a risk that a federal </w:t>
      </w:r>
      <w:r w:rsidR="004C6C0F" w:rsidRPr="00113DCC">
        <w:t>H</w:t>
      </w:r>
      <w:r w:rsidR="004C6C0F">
        <w:t>uman Rights Act</w:t>
      </w:r>
      <w:r w:rsidRPr="00113DCC">
        <w:t xml:space="preserve"> could not validly include a provision empowering federal courts to make them.</w:t>
      </w:r>
    </w:p>
    <w:p w14:paraId="5A6871EC" w14:textId="77777777" w:rsidR="001C1F11" w:rsidRPr="00113DCC" w:rsidRDefault="001C1F11" w:rsidP="001C1F11">
      <w:proofErr w:type="gramStart"/>
      <w:r w:rsidRPr="00113DCC">
        <w:t>In light of</w:t>
      </w:r>
      <w:proofErr w:type="gramEnd"/>
      <w:r w:rsidRPr="00113DCC">
        <w:t xml:space="preserve"> this uncertainty, the Commission has considered a number of options to address potential </w:t>
      </w:r>
      <w:r>
        <w:t>c</w:t>
      </w:r>
      <w:r w:rsidRPr="00113DCC">
        <w:t>onstitutional concerns. It does not propose incorporating a formal DOI power for the courts to apply, and instead suggests an alternative approach.</w:t>
      </w:r>
    </w:p>
    <w:p w14:paraId="73E749F7" w14:textId="3DE644C5" w:rsidR="001C1F11" w:rsidRPr="00113DCC" w:rsidRDefault="001C1F11" w:rsidP="001C1F11">
      <w:proofErr w:type="gramStart"/>
      <w:r w:rsidRPr="00113DCC">
        <w:lastRenderedPageBreak/>
        <w:t>In the course of</w:t>
      </w:r>
      <w:proofErr w:type="gramEnd"/>
      <w:r w:rsidRPr="00113DCC">
        <w:t xml:space="preserve"> </w:t>
      </w:r>
      <w:r>
        <w:t xml:space="preserve">applying the interpretive clause in </w:t>
      </w:r>
      <w:r w:rsidRPr="00113DCC">
        <w:t xml:space="preserve">the </w:t>
      </w:r>
      <w:r w:rsidR="004C6C0F" w:rsidRPr="00113DCC">
        <w:t>H</w:t>
      </w:r>
      <w:r w:rsidR="004C6C0F">
        <w:t>uman Rights Act</w:t>
      </w:r>
      <w:r w:rsidRPr="00113DCC">
        <w:t xml:space="preserve">, a court </w:t>
      </w:r>
      <w:r>
        <w:t>may</w:t>
      </w:r>
      <w:r w:rsidRPr="00113DCC">
        <w:t xml:space="preserve">, as part of its reasoning process, indicate whether a </w:t>
      </w:r>
      <w:r>
        <w:t xml:space="preserve">statute </w:t>
      </w:r>
      <w:r w:rsidRPr="00113DCC">
        <w:t xml:space="preserve">can be interpreted in line with the </w:t>
      </w:r>
      <w:r w:rsidR="004C6C0F" w:rsidRPr="00113DCC">
        <w:t>H</w:t>
      </w:r>
      <w:r w:rsidR="004C6C0F">
        <w:t>uman Rights Act</w:t>
      </w:r>
      <w:r>
        <w:t xml:space="preserve"> or whether the statute demonstrates a parliamentary intention to depart from Australia’s human rights obligations</w:t>
      </w:r>
      <w:r w:rsidRPr="00113DCC">
        <w:t xml:space="preserve">. If a court </w:t>
      </w:r>
      <w:r>
        <w:t>finds that it is</w:t>
      </w:r>
      <w:r w:rsidRPr="00113DCC">
        <w:t xml:space="preserve"> not reasonably </w:t>
      </w:r>
      <w:r>
        <w:t xml:space="preserve">possible to interpret a statute in a way that is consistent with the </w:t>
      </w:r>
      <w:r w:rsidR="004C6C0F" w:rsidRPr="00113DCC">
        <w:t>H</w:t>
      </w:r>
      <w:r w:rsidR="004C6C0F">
        <w:t>uman Rights Act</w:t>
      </w:r>
      <w:r>
        <w:t>, t</w:t>
      </w:r>
      <w:r w:rsidRPr="00113DCC">
        <w:t xml:space="preserve">his would </w:t>
      </w:r>
      <w:r>
        <w:t xml:space="preserve">usually </w:t>
      </w:r>
      <w:r w:rsidRPr="00113DCC">
        <w:t xml:space="preserve">be </w:t>
      </w:r>
      <w:r>
        <w:t xml:space="preserve">indicated </w:t>
      </w:r>
      <w:r w:rsidRPr="00113DCC">
        <w:t xml:space="preserve">in the </w:t>
      </w:r>
      <w:r>
        <w:t xml:space="preserve">reasons for </w:t>
      </w:r>
      <w:r w:rsidRPr="00113DCC">
        <w:t>judgment regardless of whether a ‘formal’ DOI power exists.</w:t>
      </w:r>
    </w:p>
    <w:p w14:paraId="0B0D83C4" w14:textId="564A6212" w:rsidR="001C1F11" w:rsidRDefault="001C1F11" w:rsidP="001C1F11">
      <w:r w:rsidRPr="00113DCC">
        <w:t xml:space="preserve">The Commission </w:t>
      </w:r>
      <w:r>
        <w:t>proposes</w:t>
      </w:r>
      <w:r w:rsidRPr="00113DCC">
        <w:t xml:space="preserve"> that when a court has found a </w:t>
      </w:r>
      <w:r>
        <w:t xml:space="preserve">parliamentary intention to override </w:t>
      </w:r>
      <w:r w:rsidRPr="00113DCC">
        <w:t>human rights</w:t>
      </w:r>
      <w:r>
        <w:t xml:space="preserve"> contained in the </w:t>
      </w:r>
      <w:r w:rsidR="004C6C0F" w:rsidRPr="00113DCC">
        <w:t>H</w:t>
      </w:r>
      <w:r w:rsidR="004C6C0F">
        <w:t>uman Rights Act</w:t>
      </w:r>
      <w:r w:rsidRPr="00113DCC">
        <w:t xml:space="preserve">, the Attorney-General should be required to trigger a process for reviewing the law in question. </w:t>
      </w:r>
      <w:r>
        <w:t xml:space="preserve">This will require the Attorney-General’s Department to have processes in place to monitor cases that arise under the </w:t>
      </w:r>
      <w:r w:rsidR="004C6C0F" w:rsidRPr="00113DCC">
        <w:t>H</w:t>
      </w:r>
      <w:r w:rsidR="004C6C0F">
        <w:t>uman Rights Act</w:t>
      </w:r>
      <w:r>
        <w:t xml:space="preserve">. It will not require </w:t>
      </w:r>
      <w:r w:rsidRPr="00113DCC">
        <w:t xml:space="preserve">a formal DOI </w:t>
      </w:r>
      <w:r>
        <w:t xml:space="preserve">to be </w:t>
      </w:r>
      <w:r w:rsidRPr="00113DCC">
        <w:t>issued by the court to Parliament.</w:t>
      </w:r>
    </w:p>
    <w:p w14:paraId="34E1523D" w14:textId="09976E67" w:rsidR="001C1F11" w:rsidRPr="005703FB" w:rsidRDefault="001C1F11" w:rsidP="0092496E">
      <w:pPr>
        <w:pStyle w:val="Titolo3"/>
      </w:pPr>
      <w:bookmarkStart w:id="15" w:name="_Toc121381282"/>
      <w:r w:rsidRPr="005703FB">
        <w:t>Cause of action</w:t>
      </w:r>
      <w:r w:rsidR="00CB53A6" w:rsidRPr="005703FB">
        <w:t xml:space="preserve">, </w:t>
      </w:r>
      <w:proofErr w:type="gramStart"/>
      <w:r w:rsidRPr="005703FB">
        <w:t>complaints</w:t>
      </w:r>
      <w:proofErr w:type="gramEnd"/>
      <w:r w:rsidR="00CB53A6" w:rsidRPr="005703FB">
        <w:t xml:space="preserve"> and remedies</w:t>
      </w:r>
      <w:bookmarkEnd w:id="15"/>
    </w:p>
    <w:p w14:paraId="56CA7E79" w14:textId="7EA135BC" w:rsidR="001C1F11" w:rsidRPr="00113DCC" w:rsidRDefault="001C1F11" w:rsidP="001C1F11">
      <w:r w:rsidRPr="00113DCC">
        <w:t>The integration of human rights considerations into the decision-making processes of public authorities should make public servants more aware of the impacts of their decisions, and therefore help to prevent human rights breaches in decision making and policy design.</w:t>
      </w:r>
    </w:p>
    <w:p w14:paraId="431CC274" w14:textId="34341C60" w:rsidR="001C1F11" w:rsidRPr="00113DCC" w:rsidRDefault="001C1F11" w:rsidP="001C1F11">
      <w:r w:rsidRPr="00113DCC">
        <w:t xml:space="preserve">However, sometimes better processes and education will not be enough, and breaches of human rights may occur. In those circumstances </w:t>
      </w:r>
      <w:r w:rsidR="004C6C0F">
        <w:t>a Human Rights Act</w:t>
      </w:r>
      <w:r w:rsidRPr="00113DCC">
        <w:t xml:space="preserve"> should provide a cause of action</w:t>
      </w:r>
      <w:r>
        <w:t>,</w:t>
      </w:r>
      <w:r w:rsidRPr="00113DCC">
        <w:t xml:space="preserve"> a complaints pathway, and enforceable remedies.</w:t>
      </w:r>
    </w:p>
    <w:p w14:paraId="07620B4F" w14:textId="3CE5DAD9" w:rsidR="590F1F0D" w:rsidRDefault="590F1F0D" w:rsidP="0A47D3D2">
      <w:r>
        <w:t xml:space="preserve">The Commission recommends that each right should have a direct cause of action, and an associated range of remedies. Currently, individuals can bring human rights complaints through the Commission’s existing </w:t>
      </w:r>
      <w:r w:rsidRPr="00861DD3">
        <w:rPr>
          <w:rStyle w:val="Enfasicorsivo"/>
        </w:rPr>
        <w:t>Australian Human Rights Commission Act</w:t>
      </w:r>
      <w:r>
        <w:t xml:space="preserve"> </w:t>
      </w:r>
      <w:r w:rsidRPr="00861DD3">
        <w:rPr>
          <w:rStyle w:val="Enfasicorsivo"/>
        </w:rPr>
        <w:t xml:space="preserve">1986 </w:t>
      </w:r>
      <w:r>
        <w:t>(Cth)</w:t>
      </w:r>
      <w:r w:rsidRPr="00861DD3">
        <w:rPr>
          <w:rStyle w:val="Enfasicorsivo"/>
        </w:rPr>
        <w:t xml:space="preserve"> </w:t>
      </w:r>
      <w:r>
        <w:t>jurisdiction. This is by reference to international instruments that are scheduled to the legislation.</w:t>
      </w:r>
    </w:p>
    <w:p w14:paraId="2938A5FA" w14:textId="37410B48" w:rsidR="590F1F0D" w:rsidRDefault="590F1F0D" w:rsidP="0A47D3D2">
      <w:r>
        <w:t>Under a Human Rights Act, individuals will continue to be able to make complaints to the Commission but rather than such complaints referring to international instruments, it would be by reference to the rights enumerated in the Human Rights Act. Consistent with federal discrimination law, there would also be a new pathway to bring claims before the courts alleging a breach of these rights.</w:t>
      </w:r>
    </w:p>
    <w:p w14:paraId="415CC33E" w14:textId="61FB39B1" w:rsidR="001C1F11" w:rsidRPr="00950C03" w:rsidRDefault="001C1F11" w:rsidP="00034290">
      <w:pPr>
        <w:pStyle w:val="Titolo4"/>
      </w:pPr>
      <w:r w:rsidRPr="00950C03">
        <w:t>Cause of action</w:t>
      </w:r>
    </w:p>
    <w:p w14:paraId="1EBAF8F8" w14:textId="1FF0764B" w:rsidR="001C1F11" w:rsidRPr="00113DCC" w:rsidRDefault="001C1F11" w:rsidP="001C1F11">
      <w:r w:rsidRPr="00113DCC">
        <w:t xml:space="preserve">The Commission’s proposed rights are all amenable to enforcement by complaints bodies and courts. Unlawful actions and decisions in relation to all rights in the </w:t>
      </w:r>
      <w:r w:rsidR="004C6C0F" w:rsidRPr="00113DCC">
        <w:t>H</w:t>
      </w:r>
      <w:r w:rsidR="004C6C0F">
        <w:t>uman Rights Act</w:t>
      </w:r>
      <w:r w:rsidRPr="00113DCC">
        <w:t xml:space="preserve"> should give rise to a standalone cause of action. This would provide clarity and consistency and enable the enforcement of rights in accordance with Australia’s international obligations.</w:t>
      </w:r>
    </w:p>
    <w:p w14:paraId="380419FD" w14:textId="007E3CFD" w:rsidR="00A52156" w:rsidRDefault="001C1F11" w:rsidP="001C1F11">
      <w:r w:rsidRPr="00113DCC">
        <w:t xml:space="preserve">The </w:t>
      </w:r>
      <w:r w:rsidR="004C6C0F" w:rsidRPr="00113DCC">
        <w:t>H</w:t>
      </w:r>
      <w:r w:rsidR="004C6C0F">
        <w:t>uman Rights Act</w:t>
      </w:r>
      <w:r w:rsidRPr="00113DCC">
        <w:t xml:space="preserve"> should also allow for </w:t>
      </w:r>
      <w:r w:rsidR="004C6C0F" w:rsidRPr="00113DCC">
        <w:t>H</w:t>
      </w:r>
      <w:r w:rsidR="004C6C0F">
        <w:t>uman Rights Act</w:t>
      </w:r>
      <w:r w:rsidRPr="00113DCC">
        <w:t xml:space="preserve"> rights to be raised in the context of another legal proceeding (for example, in a judicial review proceeding or as part of a bail application).</w:t>
      </w:r>
    </w:p>
    <w:p w14:paraId="5D0A3AB6" w14:textId="0645292F" w:rsidR="00E474C1" w:rsidRDefault="00E474C1">
      <w:pPr>
        <w:keepLines w:val="0"/>
        <w:spacing w:after="0" w:line="240" w:lineRule="auto"/>
      </w:pPr>
      <w:r>
        <w:br w:type="page"/>
      </w:r>
    </w:p>
    <w:p w14:paraId="26499816" w14:textId="48D4388D" w:rsidR="00A52156" w:rsidRDefault="009D244A" w:rsidP="001C1F11">
      <w:r>
        <w:rPr>
          <w:noProof/>
        </w:rPr>
        <w:lastRenderedPageBreak/>
        <w:drawing>
          <wp:inline distT="0" distB="0" distL="0" distR="0" wp14:anchorId="108A4CC5" wp14:editId="3B1FA0E7">
            <wp:extent cx="5759450" cy="7934960"/>
            <wp:effectExtent l="0" t="0" r="6350" b="2540"/>
            <wp:docPr id="6" name="Immagine 6" descr="A flow chart entitled ‘What happens if my rights are breached’ &#10;A blue box on the left stating that ‘where there is an alleged breach of rights, a person has a cause of action’. Two arrows connect this box to two other blue boxes on the right. The first right box states ‘Administrative review pathways are available’. The second box states ‘Complaint to the AHRC for conciliation. Focus is on quick, cost-effective resolution of complaint. This model builds on existing practice in federal discrimination law, and ensures focus of accountability is not on the courts.’&#10;Below the second blue box, an arrow linked red box that states ‘Matters that don’t resolve or that are unsuited to conciliation, can proceed to Federal Circuit and Family Court: by individuals or representatives, with cost protections; courts able to award a range of remedies; some, limited, matters may go direct to court where there is urgency.&#10;Next to the red box, an arrow linked dark blue box that states ‘When applying the interpretive clause, courts may indicate that the legislation is not compatible with human rights, which must be brought to the attention of Parliament by the Attorney-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 flow chart entitled ‘What happens if my rights are breached’ &#10;A blue box on the left stating that ‘where there is an alleged breach of rights, a person has a cause of action’. Two arrows connect this box to two other blue boxes on the right. The first right box states ‘Administrative review pathways are available’. The second box states ‘Complaint to the AHRC for conciliation. Focus is on quick, cost-effective resolution of complaint. This model builds on existing practice in federal discrimination law, and ensures focus of accountability is not on the courts.’&#10;Below the second blue box, an arrow linked red box that states ‘Matters that don’t resolve or that are unsuited to conciliation, can proceed to Federal Circuit and Family Court: by individuals or representatives, with cost protections; courts able to award a range of remedies; some, limited, matters may go direct to court where there is urgency.&#10;Next to the red box, an arrow linked dark blue box that states ‘When applying the interpretive clause, courts may indicate that the legislation is not compatible with human rights, which must be brought to the attention of Parliament by the Attorney-Genera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7934960"/>
                    </a:xfrm>
                    <a:prstGeom prst="rect">
                      <a:avLst/>
                    </a:prstGeom>
                  </pic:spPr>
                </pic:pic>
              </a:graphicData>
            </a:graphic>
          </wp:inline>
        </w:drawing>
      </w:r>
    </w:p>
    <w:p w14:paraId="485EFC17" w14:textId="77777777" w:rsidR="00237D52" w:rsidRPr="00113DCC" w:rsidRDefault="00237D52" w:rsidP="001C1F11"/>
    <w:p w14:paraId="6F47AA59" w14:textId="77777777" w:rsidR="00765319" w:rsidRPr="008B251C" w:rsidRDefault="00765319" w:rsidP="008B251C">
      <w:pPr>
        <w:rPr>
          <w:highlight w:val="yellow"/>
        </w:rPr>
      </w:pPr>
    </w:p>
    <w:p w14:paraId="4ED59886" w14:textId="6B247D7B" w:rsidR="6829D9B9" w:rsidRPr="008B251C" w:rsidRDefault="6829D9B9" w:rsidP="008B251C">
      <w:pPr>
        <w:rPr>
          <w:highlight w:val="yellow"/>
        </w:rPr>
      </w:pPr>
    </w:p>
    <w:p w14:paraId="4099BB7C" w14:textId="0C8B4B8F" w:rsidR="00E474C1" w:rsidRPr="00E474C1" w:rsidRDefault="009D244A" w:rsidP="00E474C1">
      <w:pPr>
        <w:rPr>
          <w:highlight w:val="yellow"/>
        </w:rPr>
      </w:pPr>
      <w:r>
        <w:rPr>
          <w:noProof/>
        </w:rPr>
        <w:lastRenderedPageBreak/>
        <w:drawing>
          <wp:inline distT="0" distB="0" distL="0" distR="0" wp14:anchorId="56DE57E2" wp14:editId="2F4870A1">
            <wp:extent cx="5759450" cy="7772400"/>
            <wp:effectExtent l="0" t="0" r="6350" b="0"/>
            <wp:docPr id="7" name="Immagine 7" descr="A flow chart entitled ‘Pathways through complaints and courts’ &#10;Overarching text stating ‘alleged breach of human rights by a public authority’ with three arrows linking it to three pathways. &#10;First pathway: A box entitled ‘Cause of action under an HRA’. Text of box: Positive duty on public authorities to: act compatibly with HR; and properly consider HR in decisions– including complying with participation duty. Second box entitled ‘Lodge complaint with the Commission for conciliation’. Text of box states ‘If conciliation fails, the matter is unsuited to conciliation or the matter is urgent, proceed to court.’ This box points to a box underneath entitled ‘Federal Court or Federal Circuit and Family Court’. &#10;Second pathway: A box entitled ‘Administrative review’. Linked with two boxes underneath. The first entitled ‘Merits review’. Text of first box states ‘Merits review available if decision is reviewable under AAT jurisdiction. Decision may be substantively remade.’ The second box is entitled ‘judicial review’. Text of second box states: ‘Review under ADJR Act grounds; or Constitutional judicial review (s 39B of the Judiciary Act) for jurisdictional error.’ This box points to the box underneath entitled ‘Federal Court or Federal Circuit and Family Court’.&#10;Third pathway: A box that states ‘Human rights raised in connection with another claim. For example a negligence claim or Merits review a bail proceeding.’ This box is linked with a box underneath that states: ‘Lodge HR component with Commission. Commission terminates complaint. Continue with court proceeding in relevant court.’&#10;In the bottom third of the flowchart are boxes representing two potential outcomes from court cases. &#10;The first outcome. A box that states: ‘When applying the interpretive clause, courts may indicate that the legislation is not compatible with human rights. This does not invalidate the decision or the law under which it was made’. This is linked with a second box that states: ‘Must be brought to attention of the Parliament by the Attorney-General, for consideration.’&#10;The second outcome. A box listing potential remedies, as follows:&#10;‘HRA Remedies: Remedies for HRA breach may include: injunctions, orders requiring action, declaratory relief, monetary damages, admin law remedies – e.g. quashing decision. &#10;Admin law remedies include: &#10;ADJR remedies: quashing or setting aside the decision; referring a decision back to the original decision-maker; declaratory relief; requiring parties to act or refrain from acting. &#10;Constitutional judicial review remedies: writ of certiorari, writ of mandamus, writ of prohibition, in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A flow chart entitled ‘Pathways through complaints and courts’ &#10;Overarching text stating ‘alleged breach of human rights by a public authority’ with three arrows linking it to three pathways. &#10;First pathway: A box entitled ‘Cause of action under an HRA’. Text of box: Positive duty on public authorities to: act compatibly with HR; and properly consider HR in decisions– including complying with participation duty. Second box entitled ‘Lodge complaint with the Commission for conciliation’. Text of box states ‘If conciliation fails, the matter is unsuited to conciliation or the matter is urgent, proceed to court.’ This box points to a box underneath entitled ‘Federal Court or Federal Circuit and Family Court’. &#10;Second pathway: A box entitled ‘Administrative review’. Linked with two boxes underneath. The first entitled ‘Merits review’. Text of first box states ‘Merits review available if decision is reviewable under AAT jurisdiction. Decision may be substantively remade.’ The second box is entitled ‘judicial review’. Text of second box states: ‘Review under ADJR Act grounds; or Constitutional judicial review (s 39B of the Judiciary Act) for jurisdictional error.’ This box points to the box underneath entitled ‘Federal Court or Federal Circuit and Family Court’.&#10;Third pathway: A box that states ‘Human rights raised in connection with another claim. For example a negligence claim or Merits review a bail proceeding.’ This box is linked with a box underneath that states: ‘Lodge HR component with Commission. Commission terminates complaint. Continue with court proceeding in relevant court.’&#10;In the bottom third of the flowchart are boxes representing two potential outcomes from court cases. &#10;The first outcome. A box that states: ‘When applying the interpretive clause, courts may indicate that the legislation is not compatible with human rights. This does not invalidate the decision or the law under which it was made’. This is linked with a second box that states: ‘Must be brought to attention of the Parliament by the Attorney-General, for consideration.’&#10;The second outcome. A box listing potential remedies, as follows:&#10;‘HRA Remedies: Remedies for HRA breach may include: injunctions, orders requiring action, declaratory relief, monetary damages, admin law remedies – e.g. quashing decision. &#10;Admin law remedies include: &#10;ADJR remedies: quashing or setting aside the decision; referring a decision back to the original decision-maker; declaratory relief; requiring parties to act or refrain from acting. &#10;Constitutional judicial review remedies: writ of certiorari, writ of mandamus, writ of prohibition, injunc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7772400"/>
                    </a:xfrm>
                    <a:prstGeom prst="rect">
                      <a:avLst/>
                    </a:prstGeom>
                  </pic:spPr>
                </pic:pic>
              </a:graphicData>
            </a:graphic>
          </wp:inline>
        </w:drawing>
      </w:r>
    </w:p>
    <w:p w14:paraId="5CAADF65" w14:textId="747F7B62" w:rsidR="00E474C1" w:rsidRPr="00E474C1" w:rsidRDefault="00E474C1" w:rsidP="00E474C1">
      <w:pPr>
        <w:rPr>
          <w:highlight w:val="yellow"/>
        </w:rPr>
      </w:pPr>
    </w:p>
    <w:p w14:paraId="684E1D85" w14:textId="64BA5DBC" w:rsidR="00007446" w:rsidRPr="00E474C1" w:rsidRDefault="00007446" w:rsidP="00E474C1">
      <w:pPr>
        <w:rPr>
          <w:highlight w:val="yellow"/>
        </w:rPr>
      </w:pPr>
      <w:r w:rsidRPr="00E474C1">
        <w:rPr>
          <w:highlight w:val="yellow"/>
        </w:rPr>
        <w:br w:type="page"/>
      </w:r>
    </w:p>
    <w:p w14:paraId="00650702" w14:textId="05F67048" w:rsidR="009901A8" w:rsidRPr="00950C03" w:rsidRDefault="009901A8" w:rsidP="00034290">
      <w:pPr>
        <w:pStyle w:val="Titolo4"/>
      </w:pPr>
      <w:r w:rsidRPr="00950C03">
        <w:lastRenderedPageBreak/>
        <w:t>Remedies</w:t>
      </w:r>
    </w:p>
    <w:p w14:paraId="3ECA8702" w14:textId="11C6F88D" w:rsidR="009901A8" w:rsidRPr="00113DCC" w:rsidRDefault="009901A8" w:rsidP="009901A8">
      <w:r w:rsidRPr="00113DCC">
        <w:t>The Commission proposes that the H</w:t>
      </w:r>
      <w:r>
        <w:t>uman Rights Act</w:t>
      </w:r>
      <w:r w:rsidRPr="00113DCC">
        <w:t xml:space="preserve"> give courts discretion over </w:t>
      </w:r>
      <w:r>
        <w:t xml:space="preserve">the range of </w:t>
      </w:r>
      <w:r w:rsidRPr="00113DCC">
        <w:t>remedies</w:t>
      </w:r>
      <w:r>
        <w:t xml:space="preserve"> available</w:t>
      </w:r>
      <w:r w:rsidRPr="00113DCC">
        <w:t xml:space="preserve">, noting the range of different kinds of human rights claims and the importance of flexibility. Available remedies may include injunctions, orders requiring action, monetary </w:t>
      </w:r>
      <w:proofErr w:type="gramStart"/>
      <w:r w:rsidRPr="00113DCC">
        <w:t>damages</w:t>
      </w:r>
      <w:proofErr w:type="gramEnd"/>
      <w:r w:rsidRPr="00113DCC">
        <w:t xml:space="preserve"> and </w:t>
      </w:r>
      <w:r>
        <w:t>the setting aside of administrative decisions</w:t>
      </w:r>
      <w:r w:rsidRPr="00113DCC">
        <w:t>.</w:t>
      </w:r>
    </w:p>
    <w:p w14:paraId="14CD5565" w14:textId="77777777" w:rsidR="001C1F11" w:rsidRPr="00950C03" w:rsidRDefault="001C1F11" w:rsidP="00034290">
      <w:pPr>
        <w:pStyle w:val="Titolo4"/>
      </w:pPr>
      <w:r w:rsidRPr="00950C03">
        <w:t>Complaints</w:t>
      </w:r>
    </w:p>
    <w:p w14:paraId="2451C5EE" w14:textId="1B21DFB5" w:rsidR="001C1F11" w:rsidRPr="00113DCC" w:rsidRDefault="001C1F11" w:rsidP="001C1F11">
      <w:r w:rsidRPr="00113DCC">
        <w:t xml:space="preserve">The </w:t>
      </w:r>
      <w:r w:rsidR="004C6C0F" w:rsidRPr="00113DCC">
        <w:t>H</w:t>
      </w:r>
      <w:r w:rsidR="004C6C0F">
        <w:t>uman Rights Act</w:t>
      </w:r>
      <w:r w:rsidRPr="00113DCC">
        <w:t xml:space="preserve"> should allow a person to make a human rights complaint to the Commission. The Commission’s existing unlawful discrimination jurisdiction could be suitably adapted to human rights complaints.</w:t>
      </w:r>
    </w:p>
    <w:p w14:paraId="1413E39A" w14:textId="1939E3EF" w:rsidR="001C1F11" w:rsidRPr="00113DCC" w:rsidRDefault="001C1F11" w:rsidP="155AE86C">
      <w:pPr>
        <w:rPr>
          <w:lang w:val="en-US"/>
        </w:rPr>
      </w:pPr>
      <w:r w:rsidRPr="00113DCC">
        <w:rPr>
          <w:lang w:val="en-US"/>
        </w:rPr>
        <w:t xml:space="preserve">The Commission proposes implementing </w:t>
      </w:r>
      <w:r w:rsidR="004C6C0F">
        <w:rPr>
          <w:lang w:val="en-US"/>
        </w:rPr>
        <w:t>a Human Rights Act</w:t>
      </w:r>
      <w:r w:rsidRPr="00113DCC">
        <w:rPr>
          <w:lang w:val="en-US"/>
        </w:rPr>
        <w:t xml:space="preserve"> complaint system that mirrors the discrimination law jurisdiction. This would mean that there would be requirement for complainants to first bring a complaint to the Commission, and if conciliation fails, or is inappropriate, the complaint would be terminated by the Commission and the complainant could then </w:t>
      </w:r>
      <w:r>
        <w:rPr>
          <w:lang w:val="en-US"/>
        </w:rPr>
        <w:t xml:space="preserve">make an application to a </w:t>
      </w:r>
      <w:r w:rsidRPr="00113DCC">
        <w:rPr>
          <w:lang w:val="en-US"/>
        </w:rPr>
        <w:t>court for adjudication.</w:t>
      </w:r>
    </w:p>
    <w:p w14:paraId="702304D0" w14:textId="00277293" w:rsidR="001C1F11" w:rsidRPr="00113DCC" w:rsidRDefault="001C1F11" w:rsidP="001C1F11">
      <w:pPr>
        <w:rPr>
          <w:lang w:val="en-US"/>
        </w:rPr>
      </w:pPr>
      <w:r w:rsidRPr="00113DCC">
        <w:rPr>
          <w:lang w:val="en-US"/>
        </w:rPr>
        <w:t xml:space="preserve">The same processes that currently exist for unlawful discrimination </w:t>
      </w:r>
      <w:r>
        <w:rPr>
          <w:lang w:val="en-US"/>
        </w:rPr>
        <w:t xml:space="preserve">matters </w:t>
      </w:r>
      <w:r w:rsidRPr="00113DCC">
        <w:rPr>
          <w:lang w:val="en-US"/>
        </w:rPr>
        <w:t>would apply in the human rights context (including all the termination grounds, and representative complaints processes).</w:t>
      </w:r>
      <w:r w:rsidR="00730D67">
        <w:t xml:space="preserve"> For example, existing termination grounds would enable a person to proceed to court when there is </w:t>
      </w:r>
      <w:r w:rsidR="00730D67" w:rsidRPr="155AE86C">
        <w:rPr>
          <w:lang w:val="en-US"/>
        </w:rPr>
        <w:t>another claim on foot in a court or tribunal (that the human rights claim will be joined to).</w:t>
      </w:r>
    </w:p>
    <w:p w14:paraId="0A7C991A" w14:textId="1A6E2736" w:rsidR="001C1F11" w:rsidRPr="00113DCC" w:rsidRDefault="001C1F11" w:rsidP="001C1F11">
      <w:pPr>
        <w:rPr>
          <w:lang w:val="en-US"/>
        </w:rPr>
      </w:pPr>
      <w:r w:rsidRPr="00113DCC">
        <w:rPr>
          <w:lang w:val="en-US"/>
        </w:rPr>
        <w:t xml:space="preserve">The Commission </w:t>
      </w:r>
      <w:r w:rsidR="00626A95">
        <w:rPr>
          <w:lang w:val="en-US"/>
        </w:rPr>
        <w:t>also</w:t>
      </w:r>
      <w:r w:rsidRPr="00113DCC">
        <w:rPr>
          <w:lang w:val="en-US"/>
        </w:rPr>
        <w:t xml:space="preserve"> proposes </w:t>
      </w:r>
      <w:r w:rsidR="00730D67">
        <w:rPr>
          <w:lang w:val="en-US"/>
        </w:rPr>
        <w:t>one</w:t>
      </w:r>
      <w:r w:rsidR="006806B7">
        <w:rPr>
          <w:lang w:val="en-US"/>
        </w:rPr>
        <w:t xml:space="preserve"> </w:t>
      </w:r>
      <w:r w:rsidRPr="00113DCC">
        <w:rPr>
          <w:lang w:val="en-US"/>
        </w:rPr>
        <w:t>additional termination ground. Th</w:t>
      </w:r>
      <w:r w:rsidR="00FD06E6">
        <w:rPr>
          <w:lang w:val="en-US"/>
        </w:rPr>
        <w:t>is</w:t>
      </w:r>
      <w:r w:rsidRPr="00113DCC">
        <w:rPr>
          <w:lang w:val="en-US"/>
        </w:rPr>
        <w:t xml:space="preserve"> would enable a claim to be fast tracked to the court where there is an imminent risk</w:t>
      </w:r>
      <w:r>
        <w:rPr>
          <w:lang w:val="en-US"/>
        </w:rPr>
        <w:t xml:space="preserve"> of</w:t>
      </w:r>
      <w:r w:rsidRPr="00113DCC">
        <w:rPr>
          <w:lang w:val="en-US"/>
        </w:rPr>
        <w:t xml:space="preserve"> irreparable harm</w:t>
      </w:r>
      <w:r w:rsidRPr="00113DCC">
        <w:t>, to circumvent the complaint process when there is urgency</w:t>
      </w:r>
      <w:r w:rsidR="006806B7">
        <w:t xml:space="preserve">. </w:t>
      </w:r>
      <w:r w:rsidR="00730D67">
        <w:rPr>
          <w:lang w:val="en-US"/>
        </w:rPr>
        <w:t>There</w:t>
      </w:r>
      <w:r w:rsidRPr="00113DCC">
        <w:rPr>
          <w:lang w:val="en-US"/>
        </w:rPr>
        <w:t xml:space="preserve"> would be an adapted and quick internal lodgment and review process, so that the Commission could return a response </w:t>
      </w:r>
      <w:r w:rsidR="00730D67">
        <w:rPr>
          <w:lang w:val="en-US"/>
        </w:rPr>
        <w:t>quickly</w:t>
      </w:r>
      <w:r w:rsidRPr="00113DCC">
        <w:rPr>
          <w:lang w:val="en-US"/>
        </w:rPr>
        <w:t xml:space="preserve"> in urgent cases.</w:t>
      </w:r>
    </w:p>
    <w:p w14:paraId="690A1F88" w14:textId="5CEA0FD4" w:rsidR="001C1F11" w:rsidRPr="00113DCC" w:rsidRDefault="001C1F11" w:rsidP="001C1F11">
      <w:pPr>
        <w:rPr>
          <w:lang w:val="en-US"/>
        </w:rPr>
      </w:pPr>
      <w:r w:rsidRPr="00113DCC">
        <w:rPr>
          <w:lang w:val="en-US"/>
        </w:rPr>
        <w:t xml:space="preserve">The Commission suggests that the complaints model be subject to review at a future date, through the broader </w:t>
      </w:r>
      <w:r w:rsidR="004C6C0F" w:rsidRPr="00113DCC">
        <w:t>H</w:t>
      </w:r>
      <w:r w:rsidR="004C6C0F">
        <w:t>uman Rights Act</w:t>
      </w:r>
      <w:r w:rsidRPr="00113DCC">
        <w:rPr>
          <w:lang w:val="en-US"/>
        </w:rPr>
        <w:t xml:space="preserve"> review process.</w:t>
      </w:r>
    </w:p>
    <w:p w14:paraId="4468A13D" w14:textId="66ED0677" w:rsidR="001C1F11" w:rsidRPr="00113DCC" w:rsidRDefault="001C1F11" w:rsidP="001C1F11">
      <w:r w:rsidRPr="00113DCC">
        <w:t xml:space="preserve">An accessible complaints process </w:t>
      </w:r>
      <w:r>
        <w:t xml:space="preserve">including conciliation </w:t>
      </w:r>
      <w:r w:rsidRPr="00113DCC">
        <w:t xml:space="preserve">would reduce the impact of </w:t>
      </w:r>
      <w:r w:rsidR="004C6C0F">
        <w:t>a Human Rights Act</w:t>
      </w:r>
      <w:r w:rsidRPr="00113DCC">
        <w:t xml:space="preserve"> on the judicial system. Litigation need not be the only port of call for people who wish to make a complaint alleging a breach of human rights. Rather, it is a necessary last resort when other avenues have failed.</w:t>
      </w:r>
    </w:p>
    <w:p w14:paraId="7CFE6C29" w14:textId="240837FD" w:rsidR="001C1F11" w:rsidRPr="00950C03" w:rsidRDefault="001C1F11" w:rsidP="00034290">
      <w:pPr>
        <w:pStyle w:val="Titolo4"/>
        <w:rPr>
          <w:lang w:val="en-US"/>
        </w:rPr>
      </w:pPr>
      <w:r w:rsidRPr="00950C03">
        <w:rPr>
          <w:lang w:val="en-US"/>
        </w:rPr>
        <w:t>Administrative law</w:t>
      </w:r>
    </w:p>
    <w:p w14:paraId="47885A47" w14:textId="4FBBB367" w:rsidR="001C1F11" w:rsidRPr="00113DCC" w:rsidRDefault="001C1F11" w:rsidP="001C1F11">
      <w:r w:rsidRPr="00113DCC">
        <w:t xml:space="preserve">Australia has existing administrative law mechanisms to review the actions and decisions of public authorities. </w:t>
      </w:r>
      <w:r w:rsidR="004C6C0F">
        <w:t>A Human Rights Act</w:t>
      </w:r>
      <w:r w:rsidRPr="00113DCC">
        <w:t xml:space="preserve"> could have an impact on those mechanisms by supplementing existing bases for challenging government decisions.</w:t>
      </w:r>
    </w:p>
    <w:p w14:paraId="54FC3986" w14:textId="117317B3" w:rsidR="001C1F11" w:rsidRPr="00113DCC" w:rsidRDefault="001C1F11" w:rsidP="001C1F11">
      <w:r w:rsidRPr="00113DCC">
        <w:lastRenderedPageBreak/>
        <w:t xml:space="preserve">The </w:t>
      </w:r>
      <w:r>
        <w:t>Administrative Appeals Tribunal (</w:t>
      </w:r>
      <w:r w:rsidRPr="00113DCC">
        <w:t>AAT</w:t>
      </w:r>
      <w:r>
        <w:t xml:space="preserve">) has the function of conducting a merits review of many kinds of government decisions. In doing so, the AAT reconsiders the facts, law and policy aspects of the original decision and determines what is the correct and preferable decision. This process is often described as ‘stepping into the shoes’ of the original decision maker. A ‘correct’ decision is one made according to law. A ‘preferable’ decision is the best decision that could be made </w:t>
      </w:r>
      <w:proofErr w:type="gramStart"/>
      <w:r>
        <w:t>on the basis of</w:t>
      </w:r>
      <w:proofErr w:type="gramEnd"/>
      <w:r>
        <w:t xml:space="preserve"> the relevant facts. </w:t>
      </w:r>
      <w:r w:rsidRPr="00113DCC">
        <w:t xml:space="preserve">If human rights (either consideration of, or substantive compliance with) were a requirement for a particular administrative decision that is reviewable by the AAT, the AAT will be able to consider </w:t>
      </w:r>
      <w:r>
        <w:t xml:space="preserve">those </w:t>
      </w:r>
      <w:r w:rsidRPr="00113DCC">
        <w:t xml:space="preserve">human rights </w:t>
      </w:r>
      <w:r>
        <w:t xml:space="preserve">issues again </w:t>
      </w:r>
      <w:r w:rsidRPr="00113DCC">
        <w:t>independently.</w:t>
      </w:r>
    </w:p>
    <w:p w14:paraId="06D14071" w14:textId="5D4673ED" w:rsidR="00267DC0" w:rsidRPr="00E53E94" w:rsidRDefault="00267DC0" w:rsidP="00267DC0">
      <w:r>
        <w:t xml:space="preserve">In the Commission’s Position Paper, </w:t>
      </w:r>
      <w:r w:rsidRPr="00861DD3">
        <w:rPr>
          <w:rStyle w:val="Enfasicorsivo"/>
        </w:rPr>
        <w:t xml:space="preserve">Free and Equal: A Reform Agenda for Federal Discrimination Laws </w:t>
      </w:r>
      <w:r w:rsidR="00463273">
        <w:t>(December 2021)</w:t>
      </w:r>
      <w:r>
        <w:t>,</w:t>
      </w:r>
      <w:r w:rsidR="00DD46FC" w:rsidRPr="00DD46FC">
        <w:t xml:space="preserve"> </w:t>
      </w:r>
      <w:r w:rsidR="00463273">
        <w:t>t</w:t>
      </w:r>
      <w:r w:rsidR="00DD46FC" w:rsidRPr="0027006A">
        <w:t xml:space="preserve">he Commission recommended that </w:t>
      </w:r>
      <w:r w:rsidR="00463273">
        <w:t>serious</w:t>
      </w:r>
      <w:r w:rsidR="00DD46FC" w:rsidRPr="0027006A">
        <w:t xml:space="preserve"> consideration be given to reintroducing an intermediate adjudicative process to bridge the gap between voluntary conciliation at the Commission and litigation in the federal courts, in relation to unlawful discrimination matters</w:t>
      </w:r>
      <w:r w:rsidR="00DD46FC">
        <w:t>.</w:t>
      </w:r>
      <w:r w:rsidR="00DD46FC" w:rsidRPr="00DD46FC">
        <w:t xml:space="preserve"> </w:t>
      </w:r>
      <w:r w:rsidR="00DD46FC" w:rsidRPr="285DE0C0">
        <w:t xml:space="preserve">This could also </w:t>
      </w:r>
      <w:r w:rsidR="00DC22D2">
        <w:t xml:space="preserve">be </w:t>
      </w:r>
      <w:r w:rsidR="00DD46FC" w:rsidRPr="285DE0C0">
        <w:t>extend</w:t>
      </w:r>
      <w:r w:rsidR="00DC22D2">
        <w:t>ed</w:t>
      </w:r>
      <w:r w:rsidR="00DD46FC" w:rsidRPr="285DE0C0">
        <w:t xml:space="preserve"> to </w:t>
      </w:r>
      <w:r w:rsidR="00DC22D2">
        <w:t>the resolution of disputes in relation</w:t>
      </w:r>
      <w:r w:rsidR="00DD46FC" w:rsidRPr="285DE0C0">
        <w:t xml:space="preserve"> to </w:t>
      </w:r>
      <w:r w:rsidR="00DD46FC">
        <w:t>Human Rights Act</w:t>
      </w:r>
      <w:r w:rsidR="00DD46FC" w:rsidRPr="285DE0C0">
        <w:t xml:space="preserve"> matters</w:t>
      </w:r>
      <w:r w:rsidR="00DC22D2">
        <w:t>.</w:t>
      </w:r>
    </w:p>
    <w:p w14:paraId="4F2D26A3" w14:textId="20E52271" w:rsidR="001C1F11" w:rsidRPr="00113DCC" w:rsidRDefault="001C1F11" w:rsidP="001C1F11">
      <w:r w:rsidRPr="00113DCC">
        <w:t xml:space="preserve">A person who considers that a statutory </w:t>
      </w:r>
      <w:r w:rsidR="009263BE">
        <w:t>decision maker</w:t>
      </w:r>
      <w:r w:rsidRPr="00113DCC">
        <w:t xml:space="preserve"> did not </w:t>
      </w:r>
      <w:proofErr w:type="gramStart"/>
      <w:r w:rsidRPr="00113DCC">
        <w:t>give proper consideration to</w:t>
      </w:r>
      <w:proofErr w:type="gramEnd"/>
      <w:r w:rsidRPr="00113DCC">
        <w:t xml:space="preserve"> a relevant human right, as required by </w:t>
      </w:r>
      <w:r w:rsidR="004C6C0F">
        <w:t>a Human Rights Act</w:t>
      </w:r>
      <w:r w:rsidRPr="00113DCC">
        <w:t xml:space="preserve">, could seek judicial review of the decision through the courts. Under existing grounds for review, a person </w:t>
      </w:r>
      <w:r>
        <w:t>may be able to</w:t>
      </w:r>
      <w:r w:rsidRPr="00113DCC">
        <w:t xml:space="preserve"> argue that </w:t>
      </w:r>
      <w:r>
        <w:t xml:space="preserve">the decision was affected by jurisdictional error, that </w:t>
      </w:r>
      <w:r w:rsidRPr="00113DCC">
        <w:t xml:space="preserve">the </w:t>
      </w:r>
      <w:r>
        <w:t xml:space="preserve">decision involved an error of law </w:t>
      </w:r>
      <w:r w:rsidRPr="00113DCC">
        <w:t xml:space="preserve">or </w:t>
      </w:r>
      <w:r>
        <w:t xml:space="preserve">that the decision </w:t>
      </w:r>
      <w:r w:rsidRPr="00113DCC">
        <w:t xml:space="preserve">was an improper exercise of power because of a failure to </w:t>
      </w:r>
      <w:proofErr w:type="gramStart"/>
      <w:r w:rsidRPr="00113DCC">
        <w:t>take into account</w:t>
      </w:r>
      <w:proofErr w:type="gramEnd"/>
      <w:r w:rsidRPr="00113DCC">
        <w:t xml:space="preserve"> a relevant consideration</w:t>
      </w:r>
      <w:r>
        <w:t xml:space="preserve"> that the decision maker was bound to take into account</w:t>
      </w:r>
      <w:r w:rsidRPr="00113DCC">
        <w:t xml:space="preserve">. </w:t>
      </w:r>
      <w:r w:rsidR="007A125A">
        <w:t>P</w:t>
      </w:r>
      <w:r w:rsidRPr="00113DCC">
        <w:t xml:space="preserve">rinciples of administrative law, and administrative remedies should apply as usual </w:t>
      </w:r>
      <w:r>
        <w:t xml:space="preserve">to decisions that require adherence to the </w:t>
      </w:r>
      <w:r w:rsidR="004C6C0F" w:rsidRPr="00113DCC">
        <w:t>H</w:t>
      </w:r>
      <w:r w:rsidR="004C6C0F">
        <w:t>uman Rights Act</w:t>
      </w:r>
      <w:r w:rsidRPr="00113DCC">
        <w:t>.</w:t>
      </w:r>
    </w:p>
    <w:p w14:paraId="02EBEF87" w14:textId="77777777" w:rsidR="001C1F11" w:rsidRPr="00950C03" w:rsidRDefault="001C1F11" w:rsidP="00034290">
      <w:pPr>
        <w:pStyle w:val="Titolo4"/>
      </w:pPr>
      <w:r w:rsidRPr="00950C03">
        <w:t>Standing and costs</w:t>
      </w:r>
    </w:p>
    <w:p w14:paraId="3050B3A9" w14:textId="459B3345" w:rsidR="001C1F11" w:rsidRPr="00113DCC" w:rsidRDefault="001C1F11" w:rsidP="001C1F11">
      <w:r w:rsidRPr="00113DCC">
        <w:t xml:space="preserve">The Commission proposes that standing under the </w:t>
      </w:r>
      <w:r w:rsidR="004C6C0F" w:rsidRPr="00113DCC">
        <w:t>H</w:t>
      </w:r>
      <w:r w:rsidR="004C6C0F">
        <w:t>uman Rights Act</w:t>
      </w:r>
      <w:r w:rsidRPr="00113DCC">
        <w:t xml:space="preserve"> be afforded to individual</w:t>
      </w:r>
      <w:r>
        <w:t xml:space="preserve">s who claim that their human rights were </w:t>
      </w:r>
      <w:r w:rsidRPr="00113DCC">
        <w:t>breache</w:t>
      </w:r>
      <w:r>
        <w:t>d</w:t>
      </w:r>
      <w:r w:rsidRPr="00113DCC">
        <w:t xml:space="preserve"> by public authorities, and organisations or entities acting in the interest of a person, group or class affected by human rights breaches (representative standing).</w:t>
      </w:r>
    </w:p>
    <w:p w14:paraId="230914EB" w14:textId="653A254B" w:rsidR="001C1F11" w:rsidRPr="00113DCC" w:rsidRDefault="001C1F11" w:rsidP="001C1F11">
      <w:r w:rsidRPr="00113DCC">
        <w:t>It is important that representative standing be circumscribed to ensure that claims address a specific breach of human rights in relation to a particular individual or a clearly defined and identified group of individuals. The organisation initiating a claim should also have some kind of subject matter connection and/or representative interest in the matter at hand.</w:t>
      </w:r>
    </w:p>
    <w:p w14:paraId="2E744088" w14:textId="77777777" w:rsidR="001C1F11" w:rsidRPr="00113DCC" w:rsidRDefault="001C1F11" w:rsidP="001C1F11">
      <w:r w:rsidRPr="00113DCC">
        <w:t>An additional means of enhancing access to justice is to include protections against adverse cost orders.</w:t>
      </w:r>
    </w:p>
    <w:p w14:paraId="3CDC6DFC" w14:textId="77777777" w:rsidR="001C1F11" w:rsidRPr="009C4B57" w:rsidRDefault="001C1F11" w:rsidP="005A142E">
      <w:pPr>
        <w:pStyle w:val="Titolo3"/>
      </w:pPr>
      <w:bookmarkStart w:id="16" w:name="_Toc121381283"/>
      <w:r w:rsidRPr="009C4B57">
        <w:t>Periodic reviews</w:t>
      </w:r>
      <w:bookmarkEnd w:id="16"/>
    </w:p>
    <w:p w14:paraId="6F742872" w14:textId="21467C0B" w:rsidR="001C1F11" w:rsidRPr="00113DCC" w:rsidRDefault="001C1F11" w:rsidP="001C1F11">
      <w:r w:rsidRPr="00113DCC">
        <w:t xml:space="preserve">The </w:t>
      </w:r>
      <w:r w:rsidR="004C6C0F" w:rsidRPr="00113DCC">
        <w:t>H</w:t>
      </w:r>
      <w:r w:rsidR="004C6C0F">
        <w:t>uman Rights Act</w:t>
      </w:r>
      <w:r w:rsidRPr="00113DCC">
        <w:t xml:space="preserve"> should include a provision for a periodic statutory review process within a set timeframe. The Commission proposes that an initial review be undertaken at the five-year mark, with the timeline for subsequent reviews assessed at that stage.</w:t>
      </w:r>
    </w:p>
    <w:p w14:paraId="56409DB1" w14:textId="5A3E40BD" w:rsidR="001C1F11" w:rsidRPr="000103B1" w:rsidRDefault="001C1F11" w:rsidP="0092496E">
      <w:pPr>
        <w:pStyle w:val="Titolo3"/>
      </w:pPr>
      <w:bookmarkStart w:id="17" w:name="_Toc121381284"/>
      <w:r w:rsidRPr="000103B1">
        <w:lastRenderedPageBreak/>
        <w:t>Parliamentary scrutiny</w:t>
      </w:r>
      <w:bookmarkEnd w:id="17"/>
    </w:p>
    <w:p w14:paraId="4C65AB6A" w14:textId="0760DCF0" w:rsidR="00B676A4" w:rsidRPr="0033009E" w:rsidRDefault="00B676A4" w:rsidP="00B676A4">
      <w:r w:rsidRPr="0033009E">
        <w:t xml:space="preserve">The Commission has made recommendations designed to improve the operation and effectiveness of parliamentary scrutiny of laws for compatibility with human rights. These proposals would strengthen mechanism of accountability for human rights protection provided by the PJCHR, ensuring early consideration of human rights in the development of </w:t>
      </w:r>
      <w:proofErr w:type="gramStart"/>
      <w:r w:rsidRPr="0033009E">
        <w:t>legislation</w:t>
      </w:r>
      <w:proofErr w:type="gramEnd"/>
      <w:r w:rsidRPr="0033009E">
        <w:t xml:space="preserve"> and embedding human rights in primary legislation against which the scrutiny is conducted.</w:t>
      </w:r>
    </w:p>
    <w:p w14:paraId="736DCCA8" w14:textId="02925448" w:rsidR="00B676A4" w:rsidRPr="0033009E" w:rsidRDefault="00B676A4" w:rsidP="00B676A4">
      <w:r w:rsidRPr="0033009E">
        <w:t xml:space="preserve">The principal recommendation of this Position Paper is for a Human Rights Act. The work of the PJCHR will then complement this legislation in its role of review. </w:t>
      </w:r>
      <w:bookmarkStart w:id="18" w:name="_Hlk119314042"/>
      <w:r w:rsidRPr="0033009E">
        <w:t xml:space="preserve">The range of matters to be addressed in a statement of compatibility will principally focus on the rights and freedoms in the Human Rights Act. </w:t>
      </w:r>
      <w:bookmarkEnd w:id="18"/>
      <w:r w:rsidRPr="0033009E">
        <w:t>The Commission advocates that the PJCHR also continue a wider scrutiny role, referable to all the international treaty obligations</w:t>
      </w:r>
      <w:r w:rsidR="00BB707C">
        <w:t xml:space="preserve"> and UNDRIP</w:t>
      </w:r>
      <w:r w:rsidRPr="0033009E">
        <w:t>.</w:t>
      </w:r>
    </w:p>
    <w:p w14:paraId="07EE67F2" w14:textId="045C8BCC" w:rsidR="001C1F11" w:rsidRPr="0033009E" w:rsidRDefault="00B676A4" w:rsidP="00B676A4">
      <w:r w:rsidRPr="0033009E">
        <w:t>The Commission also sets out practical and procedural suggestions to strengthen the operation of the PJCHR</w:t>
      </w:r>
      <w:r w:rsidR="002550E8">
        <w:t>.</w:t>
      </w:r>
      <w:r w:rsidR="0033009E" w:rsidRPr="0033009E">
        <w:t xml:space="preserve"> </w:t>
      </w:r>
    </w:p>
    <w:p w14:paraId="60165DD1" w14:textId="77777777" w:rsidR="001C1F11" w:rsidRPr="000103B1" w:rsidRDefault="001C1F11" w:rsidP="0092496E">
      <w:pPr>
        <w:pStyle w:val="Titolo3"/>
        <w:rPr>
          <w:lang w:val="en-US"/>
        </w:rPr>
      </w:pPr>
      <w:bookmarkStart w:id="19" w:name="_Toc121381285"/>
      <w:r w:rsidRPr="000103B1">
        <w:rPr>
          <w:lang w:val="en-US"/>
        </w:rPr>
        <w:t>Role of the Commission</w:t>
      </w:r>
      <w:bookmarkEnd w:id="19"/>
    </w:p>
    <w:p w14:paraId="551A0FE3" w14:textId="4DDA7186" w:rsidR="001C1F11" w:rsidRPr="00113DCC" w:rsidRDefault="001C1F11" w:rsidP="001C1F11">
      <w:r w:rsidRPr="00113DCC">
        <w:t>In addition to complaints</w:t>
      </w:r>
      <w:r w:rsidR="00104D16">
        <w:t>-handling</w:t>
      </w:r>
      <w:r w:rsidRPr="00113DCC">
        <w:t xml:space="preserve"> </w:t>
      </w:r>
      <w:r w:rsidR="00104D16">
        <w:t>functions</w:t>
      </w:r>
      <w:r w:rsidRPr="00113DCC">
        <w:t xml:space="preserve">, the Commission proposes that it have the following specific functions in relation to </w:t>
      </w:r>
      <w:r w:rsidR="004C6C0F">
        <w:t>a Human Rights Act</w:t>
      </w:r>
      <w:r w:rsidR="007142BB">
        <w:t>.</w:t>
      </w:r>
    </w:p>
    <w:p w14:paraId="63E0660F" w14:textId="51352256" w:rsidR="001C1F11" w:rsidRPr="00113DCC" w:rsidRDefault="001C1F11">
      <w:pPr>
        <w:numPr>
          <w:ilvl w:val="0"/>
          <w:numId w:val="23"/>
        </w:numPr>
      </w:pPr>
      <w:r w:rsidRPr="00113DCC">
        <w:t xml:space="preserve">Reporting, </w:t>
      </w:r>
      <w:proofErr w:type="gramStart"/>
      <w:r w:rsidRPr="00113DCC">
        <w:t>reviews</w:t>
      </w:r>
      <w:proofErr w:type="gramEnd"/>
      <w:r w:rsidRPr="00113DCC">
        <w:t xml:space="preserve"> and oversight. This would include powers to conduct own-motion systemic inquiries in relation to human rights breaches; and to review the policies and practices of public authorities to assess their compatibility with the </w:t>
      </w:r>
      <w:r w:rsidR="004C6C0F" w:rsidRPr="00113DCC">
        <w:t>H</w:t>
      </w:r>
      <w:r w:rsidR="004C6C0F">
        <w:t>uman Rights Act</w:t>
      </w:r>
      <w:r w:rsidRPr="00113DCC">
        <w:t>.</w:t>
      </w:r>
    </w:p>
    <w:p w14:paraId="32B82B30" w14:textId="22D49A6E" w:rsidR="001C1F11" w:rsidRPr="00113DCC" w:rsidRDefault="001C1F11">
      <w:pPr>
        <w:numPr>
          <w:ilvl w:val="0"/>
          <w:numId w:val="23"/>
        </w:numPr>
      </w:pPr>
      <w:r w:rsidRPr="00113DCC">
        <w:t>Annual reporting</w:t>
      </w:r>
      <w:r>
        <w:t>.</w:t>
      </w:r>
    </w:p>
    <w:p w14:paraId="5E5D8CD4" w14:textId="15258D39" w:rsidR="001C1F11" w:rsidRPr="00113DCC" w:rsidRDefault="001C1F11">
      <w:pPr>
        <w:numPr>
          <w:ilvl w:val="0"/>
          <w:numId w:val="23"/>
        </w:numPr>
      </w:pPr>
      <w:r w:rsidRPr="00113DCC">
        <w:t xml:space="preserve">Extension of existing intervention powers to enable the Commission to intervene in court or tribunal proceedings involving the interpretation or application of the </w:t>
      </w:r>
      <w:r w:rsidR="004C6C0F" w:rsidRPr="00113DCC">
        <w:t>H</w:t>
      </w:r>
      <w:r w:rsidR="004C6C0F">
        <w:t>uman Rights Act</w:t>
      </w:r>
      <w:r w:rsidRPr="00113DCC">
        <w:t>.</w:t>
      </w:r>
    </w:p>
    <w:p w14:paraId="45F08A4A" w14:textId="77777777" w:rsidR="001C1F11" w:rsidRPr="00113DCC" w:rsidRDefault="001C1F11">
      <w:pPr>
        <w:numPr>
          <w:ilvl w:val="0"/>
          <w:numId w:val="23"/>
        </w:numPr>
      </w:pPr>
      <w:r w:rsidRPr="00113DCC">
        <w:t>Education and public awareness</w:t>
      </w:r>
      <w:r>
        <w:t>.</w:t>
      </w:r>
    </w:p>
    <w:p w14:paraId="37F61A97" w14:textId="7E7315CE" w:rsidR="001C1F11" w:rsidRPr="00113DCC" w:rsidRDefault="001C1F11">
      <w:pPr>
        <w:numPr>
          <w:ilvl w:val="0"/>
          <w:numId w:val="23"/>
        </w:numPr>
      </w:pPr>
      <w:r w:rsidRPr="00113DCC">
        <w:t>Public sector training and guidance, including support for the initial roll-out, ongoing education programs to improve human rights compliance, and the development of public sector guidelines and protocols.</w:t>
      </w:r>
    </w:p>
    <w:p w14:paraId="038BAF86" w14:textId="20187480" w:rsidR="002550E8" w:rsidRDefault="001C1F11" w:rsidP="0093425B">
      <w:r w:rsidRPr="00113DCC">
        <w:t>The Commission must be equipped with the necessary tools and resources to protect and promote human rights in line with the Paris Principles. The Paris Principles set out internationally accepted standards that must be met by National Human Rights Institutions such as the Commission.</w:t>
      </w:r>
    </w:p>
    <w:p w14:paraId="1019DC17" w14:textId="4B1D0D69" w:rsidR="00007446" w:rsidRDefault="00007446">
      <w:pPr>
        <w:keepLines w:val="0"/>
        <w:spacing w:after="0" w:line="240" w:lineRule="auto"/>
      </w:pPr>
      <w:r>
        <w:br w:type="page"/>
      </w:r>
    </w:p>
    <w:p w14:paraId="41C443A6" w14:textId="7A156F2F" w:rsidR="001C1F11" w:rsidRDefault="001C1F11" w:rsidP="0092496E">
      <w:pPr>
        <w:pStyle w:val="Titolo2"/>
      </w:pPr>
      <w:bookmarkStart w:id="20" w:name="_Toc121381286"/>
      <w:r w:rsidRPr="0092496E">
        <w:lastRenderedPageBreak/>
        <w:t>R</w:t>
      </w:r>
      <w:r w:rsidR="00826A5B" w:rsidRPr="0092496E">
        <w:t>ecommendations</w:t>
      </w:r>
      <w:bookmarkEnd w:id="20"/>
    </w:p>
    <w:p w14:paraId="62C57F45" w14:textId="50EEB73B" w:rsidR="00314E9B" w:rsidRDefault="6A2C72BB" w:rsidP="00B95713">
      <w:r w:rsidRPr="0A47D3D2">
        <w:t xml:space="preserve">The Commission’s model for a Human Rights Act seeks to ensure appropriate consideration of human rights upstream </w:t>
      </w:r>
      <w:r w:rsidR="00104D16">
        <w:t xml:space="preserve">– namely, </w:t>
      </w:r>
      <w:r w:rsidRPr="0A47D3D2">
        <w:t xml:space="preserve">in a preventative manner and in advance – by also ensuring that there are protections </w:t>
      </w:r>
      <w:r w:rsidR="723C9330" w:rsidRPr="0A47D3D2">
        <w:t>and remedies for when human rights are not appropriately treated. The balance between upstream and preventative measures and remedial elements is summarised in the diagram below</w:t>
      </w:r>
      <w:r w:rsidR="003C4568">
        <w:t>.</w:t>
      </w:r>
    </w:p>
    <w:p w14:paraId="270D755E" w14:textId="0E4064BA" w:rsidR="00314E9B" w:rsidRDefault="00F1296C" w:rsidP="00B95713">
      <w:r>
        <w:rPr>
          <w:noProof/>
        </w:rPr>
        <w:drawing>
          <wp:inline distT="0" distB="0" distL="0" distR="0" wp14:anchorId="5764FEF2" wp14:editId="4ADCB20B">
            <wp:extent cx="5759450" cy="6060440"/>
            <wp:effectExtent l="0" t="0" r="6350" b="0"/>
            <wp:docPr id="3" name="Immagine 3" descr="A diagram with a box in the centre and two arrows pointing upwards and downwards from the central box. The central box states: ‘A Human Rights Act protects rights and freedoms in law (sourced from Australian legal traditions and our international treaty obligations): &#10;•&#9;Interpreted consistently with Australia’s binding treaty obligations. &#10;•&#9;Subject to appropriate limitations.’&#10;The upwards arrow from this box is labelled ‘upstream consideration of rights’. In the upper half of the diagram are a five boxes with upstream considerations: &#10;•&#9;Statements of compatibility with human rights accompany all legislative proposals: Human rights impacts are identified; where human rights are limited, justification for this is provided.&#10;•&#9;Parliament assesses human rights impact e.g. PJCHR.&#10;•&#9;Human rights impact is always considered by Parliament when considering legislative proposals.&#10;•&#9;Public servants have a duty to consider HR and to ensure effective participation and equal access to justice.&#10;•&#9;Public servants are trained to identify human rights breaches and to ensure participatory design of policy.&#10;•&#9;AHRC reporting on implementation of HRA to promote best practice.&#10;The downwards arrow from the central box is entitled ‘downstream consideration of rights’. In lower half of the diagram, boxes list the downstream considerations.&#10;•&#9;Where a person’s human rights are breached they have a cause of action.&#10;•&#9;A person may seek administrative review of a decision &#10;•&#9;May bring a complaint a complaint to the AHRC. In limited emergency situations, and where a complaint is unable to be resolved, a person may bring a court action to address the alleged breach of HR.&#10;•&#9;When applying the interpretive clause, courts may indicate that legislation is not compatible with HR (must by referred by the AG to Parliament to b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 diagram with a box in the centre and two arrows pointing upwards and downwards from the central box. The central box states: ‘A Human Rights Act protects rights and freedoms in law (sourced from Australian legal traditions and our international treaty obligations): &#10;•&#9;Interpreted consistently with Australia’s binding treaty obligations. &#10;•&#9;Subject to appropriate limitations.’&#10;The upwards arrow from this box is labelled ‘upstream consideration of rights’. In the upper half of the diagram are a five boxes with upstream considerations: &#10;•&#9;Statements of compatibility with human rights accompany all legislative proposals: Human rights impacts are identified; where human rights are limited, justification for this is provided.&#10;•&#9;Parliament assesses human rights impact e.g. PJCHR.&#10;•&#9;Human rights impact is always considered by Parliament when considering legislative proposals.&#10;•&#9;Public servants have a duty to consider HR and to ensure effective participation and equal access to justice.&#10;•&#9;Public servants are trained to identify human rights breaches and to ensure participatory design of policy.&#10;•&#9;AHRC reporting on implementation of HRA to promote best practice.&#10;The downwards arrow from the central box is entitled ‘downstream consideration of rights’. In lower half of the diagram, boxes list the downstream considerations.&#10;•&#9;Where a person’s human rights are breached they have a cause of action.&#10;•&#9;A person may seek administrative review of a decision &#10;•&#9;May bring a complaint a complaint to the AHRC. In limited emergency situations, and where a complaint is unable to be resolved, a person may bring a court action to address the alleged breach of HR.&#10;•&#9;When applying the interpretive clause, courts may indicate that legislation is not compatible with HR (must by referred by the AG to Parliament to be consider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6060440"/>
                    </a:xfrm>
                    <a:prstGeom prst="rect">
                      <a:avLst/>
                    </a:prstGeom>
                  </pic:spPr>
                </pic:pic>
              </a:graphicData>
            </a:graphic>
          </wp:inline>
        </w:drawing>
      </w:r>
    </w:p>
    <w:p w14:paraId="42CA2DFA" w14:textId="11977A95" w:rsidR="00081215" w:rsidRPr="00F1296C" w:rsidRDefault="00081215" w:rsidP="00F1296C"/>
    <w:p w14:paraId="7969180E" w14:textId="1EC45BC1" w:rsidR="00314E9B" w:rsidRDefault="00314E9B">
      <w:pPr>
        <w:keepLines w:val="0"/>
        <w:spacing w:after="0" w:line="240" w:lineRule="auto"/>
      </w:pPr>
      <w:r>
        <w:br w:type="page"/>
      </w:r>
    </w:p>
    <w:p w14:paraId="6D2B260C" w14:textId="7537DAB8" w:rsidR="723C9330" w:rsidRDefault="723C9330" w:rsidP="00FE7A7E">
      <w:r w:rsidRPr="0A47D3D2">
        <w:lastRenderedPageBreak/>
        <w:t>The Commission makes the following recommendations for improved human rights protection at the national level in Australia.</w:t>
      </w:r>
    </w:p>
    <w:p w14:paraId="2A78E3E3" w14:textId="76E5414A" w:rsidR="00A67E73" w:rsidRPr="00036569" w:rsidRDefault="00D93C89" w:rsidP="00036569">
      <w:pPr>
        <w:pStyle w:val="Numeroelenco2"/>
        <w:rPr>
          <w:rStyle w:val="Enfasigrassetto"/>
        </w:rPr>
      </w:pPr>
      <w:r w:rsidRPr="00036569">
        <w:rPr>
          <w:rStyle w:val="Enfasigrassetto"/>
        </w:rPr>
        <w:t>The Commission recommends that the Australian Parliament enact a federal Human Rights Act.</w:t>
      </w:r>
      <w:r w:rsidR="00A67A67" w:rsidRPr="00036569">
        <w:rPr>
          <w:rStyle w:val="Enfasigrassetto"/>
        </w:rPr>
        <w:t xml:space="preserve"> The Human Rights Act should include the elements </w:t>
      </w:r>
      <w:r w:rsidR="00B73688" w:rsidRPr="00036569">
        <w:rPr>
          <w:rStyle w:val="Enfasigrassetto"/>
        </w:rPr>
        <w:t xml:space="preserve">proposed </w:t>
      </w:r>
      <w:r w:rsidR="00A67A67" w:rsidRPr="00036569">
        <w:rPr>
          <w:rStyle w:val="Enfasigrassetto"/>
        </w:rPr>
        <w:t>in this Position Paper.</w:t>
      </w:r>
    </w:p>
    <w:p w14:paraId="65BCA132" w14:textId="4BD9A03E" w:rsidR="00A67E73" w:rsidRDefault="008657A9" w:rsidP="00036569">
      <w:pPr>
        <w:pStyle w:val="Numeroelenco2"/>
      </w:pPr>
      <w:r w:rsidRPr="00036569">
        <w:rPr>
          <w:rStyle w:val="Enfasigrassetto"/>
        </w:rPr>
        <w:t xml:space="preserve">The </w:t>
      </w:r>
      <w:r w:rsidR="249E9965" w:rsidRPr="00036569">
        <w:rPr>
          <w:rStyle w:val="Enfasigrassetto"/>
        </w:rPr>
        <w:t xml:space="preserve">Commission recommends the </w:t>
      </w:r>
      <w:r w:rsidRPr="00036569">
        <w:rPr>
          <w:rStyle w:val="Enfasigrassetto"/>
        </w:rPr>
        <w:t xml:space="preserve">following </w:t>
      </w:r>
      <w:r w:rsidR="006E1561" w:rsidRPr="00036569">
        <w:rPr>
          <w:rStyle w:val="Enfasigrassetto"/>
        </w:rPr>
        <w:t>m</w:t>
      </w:r>
      <w:r w:rsidR="00F97A8A" w:rsidRPr="00036569">
        <w:rPr>
          <w:rStyle w:val="Enfasigrassetto"/>
        </w:rPr>
        <w:t xml:space="preserve">easures </w:t>
      </w:r>
      <w:r w:rsidRPr="00036569">
        <w:rPr>
          <w:rStyle w:val="Enfasigrassetto"/>
        </w:rPr>
        <w:t xml:space="preserve">to improve the parliamentary scrutiny </w:t>
      </w:r>
      <w:r w:rsidR="00E55D1F" w:rsidRPr="00036569">
        <w:rPr>
          <w:rStyle w:val="Enfasigrassetto"/>
        </w:rPr>
        <w:t>processes.</w:t>
      </w:r>
    </w:p>
    <w:p w14:paraId="444A3420" w14:textId="4ADBF514" w:rsidR="2DFA9A69" w:rsidRDefault="2DFA9A69" w:rsidP="00036569">
      <w:pPr>
        <w:pStyle w:val="Puntoelenco5"/>
      </w:pPr>
      <w:r w:rsidRPr="00E63B19">
        <w:t xml:space="preserve">The Commission recommends amendments to House and Senate Standing Orders requiring that bills may not be passed until a final report of the PJCHR has been tabled in Parliament, with limited exceptions for urgent matters. </w:t>
      </w:r>
      <w:proofErr w:type="gramStart"/>
      <w:r w:rsidRPr="00E63B19">
        <w:t>In the event that</w:t>
      </w:r>
      <w:proofErr w:type="gramEnd"/>
      <w:r w:rsidRPr="00E63B19">
        <w:t xml:space="preserve"> a Bill proceeds to enactment by exception, provision should be included for a later review of the legislation if the Bill relevantly engaged human rights.</w:t>
      </w:r>
    </w:p>
    <w:p w14:paraId="3D571EA8" w14:textId="290B0B26" w:rsidR="00DA49A1" w:rsidRDefault="00DA49A1" w:rsidP="00036569">
      <w:pPr>
        <w:pStyle w:val="Puntoelenco5"/>
      </w:pPr>
      <w:r>
        <w:t>Section</w:t>
      </w:r>
      <w:r w:rsidRPr="00DA49A1">
        <w:t xml:space="preserve"> 7 of the </w:t>
      </w:r>
      <w:r w:rsidRPr="00861DD3">
        <w:rPr>
          <w:rStyle w:val="Enfasicorsivo"/>
        </w:rPr>
        <w:t>Human Rights (Parliamentary Scrutiny) Act 2011</w:t>
      </w:r>
      <w:r w:rsidRPr="00DA49A1">
        <w:t xml:space="preserve"> (Cth) </w:t>
      </w:r>
      <w:r>
        <w:t xml:space="preserve">should </w:t>
      </w:r>
      <w:r w:rsidRPr="00DA49A1">
        <w:t>be amended, along the lines of the power of the UK Human Rights Committee, to allow it to ‘make special reports on any human rights issues which it may think fit to bring to the notice of Parliament’ (but excluding consideration of individual cases).</w:t>
      </w:r>
      <w:r w:rsidR="1E507B26">
        <w:t xml:space="preserve"> </w:t>
      </w:r>
      <w:r w:rsidR="005A15BE">
        <w:t>T</w:t>
      </w:r>
      <w:r w:rsidR="005A15BE" w:rsidRPr="005A15BE">
        <w:t xml:space="preserve">he resourcing of the PJCHR </w:t>
      </w:r>
      <w:r w:rsidR="005A15BE">
        <w:t xml:space="preserve">should </w:t>
      </w:r>
      <w:r w:rsidR="005A15BE" w:rsidRPr="005A15BE">
        <w:t xml:space="preserve">be increased to enable it to perform </w:t>
      </w:r>
      <w:r w:rsidR="005A15BE">
        <w:t>th</w:t>
      </w:r>
      <w:r w:rsidR="65BC15E7">
        <w:t>is</w:t>
      </w:r>
      <w:r w:rsidR="005A15BE" w:rsidRPr="005A15BE">
        <w:t xml:space="preserve"> wider inquiry role.</w:t>
      </w:r>
    </w:p>
    <w:p w14:paraId="382A5A5C" w14:textId="11BD285F" w:rsidR="00647ED3" w:rsidRDefault="000107C9" w:rsidP="00036569">
      <w:pPr>
        <w:pStyle w:val="Puntoelenco5"/>
      </w:pPr>
      <w:r>
        <w:t xml:space="preserve">Section </w:t>
      </w:r>
      <w:r w:rsidRPr="000107C9">
        <w:t xml:space="preserve">9 of the </w:t>
      </w:r>
      <w:r w:rsidRPr="00861DD3">
        <w:rPr>
          <w:rStyle w:val="Enfasicorsivo"/>
        </w:rPr>
        <w:t>Human Rights (Parliamentary Scrutiny) Act 2011</w:t>
      </w:r>
      <w:r w:rsidRPr="000107C9">
        <w:t xml:space="preserve"> (Cth) </w:t>
      </w:r>
      <w:r>
        <w:t xml:space="preserve">should </w:t>
      </w:r>
      <w:r w:rsidRPr="000107C9">
        <w:t>be amended to require statements of compatibility for all legislative instruments.</w:t>
      </w:r>
    </w:p>
    <w:p w14:paraId="63B937D6" w14:textId="4A4CE875" w:rsidR="000107C9" w:rsidRDefault="00B969C8" w:rsidP="00036569">
      <w:pPr>
        <w:pStyle w:val="Puntoelenco5"/>
      </w:pPr>
      <w:r>
        <w:t>T</w:t>
      </w:r>
      <w:r w:rsidRPr="00B969C8">
        <w:t>he range of matters to be addressed in a statement of compatibility should include consideration of consultations undertaken in accordance with the participation duty</w:t>
      </w:r>
      <w:r w:rsidR="6FF67407">
        <w:t xml:space="preserve"> proposed in the Commission’s model for a Human Rights Act</w:t>
      </w:r>
      <w:r w:rsidRPr="00B969C8">
        <w:t>.</w:t>
      </w:r>
    </w:p>
    <w:p w14:paraId="49DF3887" w14:textId="7414F3B1" w:rsidR="00C57677" w:rsidRDefault="00C57677" w:rsidP="00036569">
      <w:pPr>
        <w:pStyle w:val="Puntoelenco5"/>
      </w:pPr>
      <w:r w:rsidRPr="00C57677">
        <w:t xml:space="preserve">Statements of Compatibility </w:t>
      </w:r>
      <w:r w:rsidR="00AF6107">
        <w:t xml:space="preserve">should </w:t>
      </w:r>
      <w:r w:rsidRPr="00C57677">
        <w:t xml:space="preserve">include consideration of compliance with </w:t>
      </w:r>
      <w:r w:rsidR="00AF6107">
        <w:t>UNDRIP</w:t>
      </w:r>
      <w:r w:rsidRPr="00C57677">
        <w:t>.</w:t>
      </w:r>
    </w:p>
    <w:p w14:paraId="7291F7C0" w14:textId="6B0228CC" w:rsidR="00F819C9" w:rsidRDefault="00F819C9" w:rsidP="00036569">
      <w:pPr>
        <w:pStyle w:val="Puntoelenco5"/>
      </w:pPr>
      <w:r>
        <w:t>W</w:t>
      </w:r>
      <w:r w:rsidRPr="00F819C9">
        <w:t xml:space="preserve">ith the introduction of a Human Rights Act, the </w:t>
      </w:r>
      <w:r w:rsidRPr="00861DD3">
        <w:rPr>
          <w:rStyle w:val="Enfasicorsivo"/>
        </w:rPr>
        <w:t>Human Rights (Parliamentary Scrutiny) Act 2011</w:t>
      </w:r>
      <w:r w:rsidRPr="00F819C9">
        <w:t xml:space="preserve"> (Cth) could be amended</w:t>
      </w:r>
      <w:r w:rsidR="00783126" w:rsidRPr="00F819C9">
        <w:t>,</w:t>
      </w:r>
      <w:r w:rsidRPr="00F819C9">
        <w:t xml:space="preserve"> or an accompanying legislative instrument drafted to provide greater clarity on expectations in statements of compatibility, both </w:t>
      </w:r>
      <w:proofErr w:type="gramStart"/>
      <w:r w:rsidRPr="00F819C9">
        <w:t>in regard to</w:t>
      </w:r>
      <w:proofErr w:type="gramEnd"/>
      <w:r w:rsidRPr="00F819C9">
        <w:t xml:space="preserve"> rights and freedoms set out in the Human Rights Act and the remaining obligations under international treaties not expressly included in the Human Rights Act.</w:t>
      </w:r>
    </w:p>
    <w:p w14:paraId="05CE8EFE" w14:textId="1859F832" w:rsidR="00433EA9" w:rsidRDefault="00433EA9" w:rsidP="00036569">
      <w:pPr>
        <w:pStyle w:val="Puntoelenco5"/>
      </w:pPr>
      <w:r>
        <w:t xml:space="preserve">A </w:t>
      </w:r>
      <w:r w:rsidRPr="00433EA9">
        <w:t>public sector human rights education program be introduced, to provide training and resources to public servants to understand and analyse human rights</w:t>
      </w:r>
      <w:r>
        <w:t>.</w:t>
      </w:r>
    </w:p>
    <w:p w14:paraId="24D99CD5" w14:textId="77777777" w:rsidR="008B251C" w:rsidRDefault="00783126" w:rsidP="00036569">
      <w:pPr>
        <w:pStyle w:val="Puntoelenco5"/>
      </w:pPr>
      <w:r>
        <w:t>C</w:t>
      </w:r>
      <w:r w:rsidRPr="00783126">
        <w:t xml:space="preserve">onsideration </w:t>
      </w:r>
      <w:r>
        <w:t xml:space="preserve">should </w:t>
      </w:r>
      <w:r w:rsidRPr="00783126">
        <w:t xml:space="preserve">be </w:t>
      </w:r>
      <w:r w:rsidR="007D477E" w:rsidRPr="00783126">
        <w:t>given to having designated human rights advisers in Departments.</w:t>
      </w:r>
    </w:p>
    <w:p w14:paraId="6B5D6F34" w14:textId="2A088B6D" w:rsidR="001C1F11" w:rsidRPr="00783126" w:rsidRDefault="001C1F11" w:rsidP="008B251C">
      <w:r>
        <w:br w:type="page"/>
      </w:r>
    </w:p>
    <w:p w14:paraId="3FFA7FC5" w14:textId="55404BD0" w:rsidR="00824386" w:rsidRDefault="00824386" w:rsidP="00600885">
      <w:pPr>
        <w:pStyle w:val="Titolo2"/>
      </w:pPr>
      <w:bookmarkStart w:id="21" w:name="_Toc121381287"/>
      <w:r>
        <w:lastRenderedPageBreak/>
        <w:t>Free &amp; Equal</w:t>
      </w:r>
      <w:r w:rsidR="00E95E90">
        <w:t xml:space="preserve"> inquiry process</w:t>
      </w:r>
      <w:bookmarkEnd w:id="21"/>
    </w:p>
    <w:p w14:paraId="51B37373" w14:textId="158480D9" w:rsidR="67C53417" w:rsidRDefault="67C53417" w:rsidP="0A47D3D2">
      <w:r>
        <w:t xml:space="preserve">The Free and Equal project was announced on 10 December 2018, Human Rights Day, and commenced in early 2019. </w:t>
      </w:r>
      <w:r w:rsidR="12058688" w:rsidRPr="0A47D3D2">
        <w:rPr>
          <w:rFonts w:eastAsia="Open Sans" w:cs="Open Sans"/>
        </w:rPr>
        <w:t>The project aims to set out the Australian Human Rights Commission’s proposed reform agenda for the better protection of human rights at the national level in Australia.</w:t>
      </w:r>
      <w:r w:rsidR="12058688">
        <w:t xml:space="preserve"> </w:t>
      </w:r>
      <w:r>
        <w:t>From 2019–2021, the Commission’s consultative process included:</w:t>
      </w:r>
    </w:p>
    <w:p w14:paraId="1E158E82" w14:textId="2AC3488E" w:rsidR="006E2E98" w:rsidRDefault="67C53417" w:rsidP="00C504B0">
      <w:pPr>
        <w:pStyle w:val="Puntoelenco20"/>
      </w:pPr>
      <w:r>
        <w:t>the release of an Issues Paper</w:t>
      </w:r>
      <w:bookmarkEnd w:id="1"/>
      <w:r w:rsidR="006E2E98" w:rsidRPr="00007446">
        <w:rPr>
          <w:rStyle w:val="Rimandonotadichiusura"/>
        </w:rPr>
        <w:endnoteReference w:id="2"/>
      </w:r>
    </w:p>
    <w:p w14:paraId="305A8D9B" w14:textId="4268A4A1" w:rsidR="006E2E98" w:rsidRDefault="006E2E98" w:rsidP="00C504B0">
      <w:pPr>
        <w:pStyle w:val="Puntoelenco20"/>
      </w:pPr>
      <w:r>
        <w:t>three Discussion Papers, including a submissions process</w:t>
      </w:r>
      <w:r w:rsidRPr="00007446">
        <w:rPr>
          <w:rStyle w:val="Rimandonotadichiusura"/>
        </w:rPr>
        <w:endnoteReference w:id="3"/>
      </w:r>
    </w:p>
    <w:p w14:paraId="7094E4F0" w14:textId="1953FFF0" w:rsidR="006E2E98" w:rsidRDefault="006E2E98" w:rsidP="00C504B0">
      <w:pPr>
        <w:pStyle w:val="Puntoelenco20"/>
      </w:pPr>
      <w:r>
        <w:t>the Free and Equal national conference on human rights</w:t>
      </w:r>
      <w:r w:rsidRPr="00007446">
        <w:rPr>
          <w:rStyle w:val="Rimandonotadichiusura"/>
        </w:rPr>
        <w:endnoteReference w:id="4"/>
      </w:r>
    </w:p>
    <w:p w14:paraId="55C4D066" w14:textId="4CA996F6" w:rsidR="006E2E98" w:rsidRDefault="006E2E98" w:rsidP="00C504B0">
      <w:pPr>
        <w:pStyle w:val="Puntoelenco20"/>
      </w:pPr>
      <w:r>
        <w:t>a visit and conduct of technical workshops with the United Nations High Commissioner for Human Rights, and</w:t>
      </w:r>
    </w:p>
    <w:p w14:paraId="2135915C" w14:textId="211135CF" w:rsidR="006E2E98" w:rsidRDefault="006E2E98" w:rsidP="00C504B0">
      <w:pPr>
        <w:pStyle w:val="Puntoelenco20"/>
      </w:pPr>
      <w:r>
        <w:t xml:space="preserve">a series of roundtables, technical </w:t>
      </w:r>
      <w:proofErr w:type="gramStart"/>
      <w:r>
        <w:t>workshops</w:t>
      </w:r>
      <w:proofErr w:type="gramEnd"/>
      <w:r>
        <w:t xml:space="preserve"> and stakeholder consultations.</w:t>
      </w:r>
      <w:r w:rsidRPr="00007446">
        <w:rPr>
          <w:rStyle w:val="Rimandonotadichiusura"/>
        </w:rPr>
        <w:endnoteReference w:id="5"/>
      </w:r>
    </w:p>
    <w:p w14:paraId="5AEC7EF6" w14:textId="53D78EA3" w:rsidR="006E2E98" w:rsidRDefault="006E2E98">
      <w:r>
        <w:t>The project is culminating with the release of three papers – two position papers on key reform priorities, and a final report.</w:t>
      </w:r>
    </w:p>
    <w:p w14:paraId="4125B3D9" w14:textId="0B3C00B9" w:rsidR="006E2E98" w:rsidRDefault="006E2E98" w:rsidP="00824386">
      <w:r>
        <w:t>The first Position Paper</w:t>
      </w:r>
      <w:r w:rsidRPr="00B73B97">
        <w:t xml:space="preserve"> </w:t>
      </w:r>
      <w:r>
        <w:t>was</w:t>
      </w:r>
      <w:r w:rsidRPr="00B73B97">
        <w:t xml:space="preserve"> released in December 2021: </w:t>
      </w:r>
      <w:r w:rsidRPr="00117FF4">
        <w:rPr>
          <w:rStyle w:val="Enfasicorsivo"/>
        </w:rPr>
        <w:t>Free &amp; Equal: A reform agenda for federal discrimination laws</w:t>
      </w:r>
      <w:r w:rsidRPr="00B73B97">
        <w:t>.</w:t>
      </w:r>
      <w:r>
        <w:t xml:space="preserve"> It set out a reform agenda to modernise our federal discrimination laws, including by remedying deficiencies in the current laws, by placing a greater focus on prevention of discrimination and by introducing co-regulatory approaches</w:t>
      </w:r>
      <w:r w:rsidRPr="00007446">
        <w:rPr>
          <w:rStyle w:val="Rimandonotadichiusura"/>
        </w:rPr>
        <w:endnoteReference w:id="6"/>
      </w:r>
      <w:r>
        <w:t xml:space="preserve"> that enable governments and businesses </w:t>
      </w:r>
      <w:proofErr w:type="gramStart"/>
      <w:r>
        <w:t>in particular to</w:t>
      </w:r>
      <w:proofErr w:type="gramEnd"/>
      <w:r>
        <w:t xml:space="preserve"> be better equipped to prevent and/or deal with discrimination.</w:t>
      </w:r>
    </w:p>
    <w:p w14:paraId="512020E3" w14:textId="0B54AB4E" w:rsidR="006E2E98" w:rsidRDefault="006E2E98" w:rsidP="00824386">
      <w:r>
        <w:t>But addressing discrimination alone is not enough to ensure that people’s human rights are protected.</w:t>
      </w:r>
    </w:p>
    <w:p w14:paraId="5E715F27" w14:textId="4A3C7F71" w:rsidR="006E2E98" w:rsidRDefault="006E2E98" w:rsidP="00824386">
      <w:r>
        <w:t>This second Position Paper sets out reforms to improve the protection of human rights in Australia, designed to complement protections against discrimination and dealing with issues that discrimination laws are not capable of addressing.</w:t>
      </w:r>
      <w:r w:rsidRPr="00B73B97">
        <w:t xml:space="preserve"> </w:t>
      </w:r>
      <w:r>
        <w:t>A positive framing of human rights through a Human Rights Act is needed to ensure cohesive protections are in place in Australia, and it would complement the existing discrimination law framework.</w:t>
      </w:r>
    </w:p>
    <w:p w14:paraId="03A75653" w14:textId="0DF1DD0F" w:rsidR="006E2E98" w:rsidRPr="00C51CB3" w:rsidRDefault="006E2E98" w:rsidP="00824386">
      <w:r>
        <w:t>It</w:t>
      </w:r>
      <w:r w:rsidRPr="00B73B97">
        <w:t xml:space="preserve"> sets out the Commission’s case for the introduction of a federal Human Rights Act in </w:t>
      </w:r>
      <w:proofErr w:type="gramStart"/>
      <w:r w:rsidRPr="00B73B97">
        <w:t>Australia</w:t>
      </w:r>
      <w:r>
        <w:t>;</w:t>
      </w:r>
      <w:proofErr w:type="gramEnd"/>
      <w:r w:rsidRPr="00B73B97">
        <w:t xml:space="preserve"> and an outline of the Commission’s</w:t>
      </w:r>
      <w:r>
        <w:t xml:space="preserve"> proposed model.</w:t>
      </w:r>
    </w:p>
    <w:p w14:paraId="0416D280" w14:textId="420CFC72" w:rsidR="006E2E98" w:rsidRPr="00C51CB3" w:rsidRDefault="006E2E98" w:rsidP="00824386">
      <w:r>
        <w:t xml:space="preserve">Indeed, for many years, some have asserted that alternative ways of protecting human rights render a Human Rights Act unnecessary in Australia – but we have not seen a noticeable improvement in the protection of human rights in Australia over the past generation. These alternative measures to a Human Rights Act have had more than enough time to show if they can ensure that there is always a fulsome consideration of human rights in the way we design, </w:t>
      </w:r>
      <w:proofErr w:type="gramStart"/>
      <w:r>
        <w:t>implement</w:t>
      </w:r>
      <w:proofErr w:type="gramEnd"/>
      <w:r>
        <w:t xml:space="preserve"> and talk about laws and policies.</w:t>
      </w:r>
    </w:p>
    <w:p w14:paraId="7A962468" w14:textId="12BA351C" w:rsidR="006E2E98" w:rsidRDefault="006E2E98" w:rsidP="00824386">
      <w:r w:rsidRPr="00C51CB3">
        <w:lastRenderedPageBreak/>
        <w:t xml:space="preserve">The Commission’s model has been tested through consultations with </w:t>
      </w:r>
      <w:r w:rsidRPr="00861DD3">
        <w:rPr>
          <w:rStyle w:val="Enfasicorsivo"/>
        </w:rPr>
        <w:t xml:space="preserve">Free &amp; Equal </w:t>
      </w:r>
      <w:r w:rsidRPr="00C51CB3">
        <w:t xml:space="preserve">stakeholders. It draws on comparative international models, international </w:t>
      </w:r>
      <w:r>
        <w:t xml:space="preserve">instruments </w:t>
      </w:r>
      <w:r w:rsidRPr="00C51CB3">
        <w:t>and the recommendations of previous inquiries</w:t>
      </w:r>
      <w:r>
        <w:t>, including the 2009 Report of the National Human Rights Consultation Committee, chaired by Fr Frank Brennan SJ</w:t>
      </w:r>
      <w:r w:rsidRPr="00C51CB3">
        <w:t>.</w:t>
      </w:r>
      <w:r w:rsidRPr="00007446">
        <w:rPr>
          <w:rStyle w:val="Rimandonotadichiusura"/>
        </w:rPr>
        <w:endnoteReference w:id="7"/>
      </w:r>
      <w:r w:rsidRPr="00C51CB3">
        <w:t xml:space="preserve"> Domestic human rights legislation in the ACT, Victoria and Queensland </w:t>
      </w:r>
      <w:r>
        <w:t>has</w:t>
      </w:r>
      <w:r w:rsidRPr="00C51CB3">
        <w:t xml:space="preserve"> also provided important guidance </w:t>
      </w:r>
      <w:r>
        <w:t>and lessons as to</w:t>
      </w:r>
      <w:r w:rsidRPr="00C51CB3">
        <w:t xml:space="preserve"> how </w:t>
      </w:r>
      <w:r>
        <w:t>a Human Rights Act</w:t>
      </w:r>
      <w:r w:rsidRPr="00C51CB3">
        <w:t xml:space="preserve"> could operate federally.</w:t>
      </w:r>
      <w:r w:rsidRPr="00007446">
        <w:rPr>
          <w:rStyle w:val="Rimandonotadichiusura"/>
        </w:rPr>
        <w:endnoteReference w:id="8"/>
      </w:r>
      <w:r w:rsidRPr="00C51CB3">
        <w:t xml:space="preserve"> </w:t>
      </w:r>
      <w:r>
        <w:t>The experience of COVID-19 has tested their particular design and suggested where improvements could be made.</w:t>
      </w:r>
    </w:p>
    <w:p w14:paraId="6CFF948D" w14:textId="40AC306A" w:rsidR="006E2E98" w:rsidRDefault="006E2E98" w:rsidP="00824386">
      <w:r w:rsidRPr="00C51CB3">
        <w:t xml:space="preserve">The Commission’s model </w:t>
      </w:r>
      <w:proofErr w:type="gramStart"/>
      <w:r w:rsidRPr="00C51CB3">
        <w:t>takes into account</w:t>
      </w:r>
      <w:proofErr w:type="gramEnd"/>
      <w:r w:rsidRPr="00C51CB3">
        <w:t xml:space="preserve"> </w:t>
      </w:r>
      <w:r>
        <w:t xml:space="preserve">this experience, </w:t>
      </w:r>
      <w:r w:rsidRPr="00C51CB3">
        <w:t xml:space="preserve">Australia’s </w:t>
      </w:r>
      <w:r>
        <w:t>c</w:t>
      </w:r>
      <w:r w:rsidRPr="00C51CB3">
        <w:t>onstitutional and federal structure</w:t>
      </w:r>
      <w:r>
        <w:t>,</w:t>
      </w:r>
      <w:r w:rsidRPr="00C51CB3">
        <w:t xml:space="preserve"> Australia’s international obligations</w:t>
      </w:r>
      <w:r>
        <w:t>,</w:t>
      </w:r>
      <w:r w:rsidRPr="00C51CB3">
        <w:t xml:space="preserve"> Australian values and our legal system</w:t>
      </w:r>
      <w:r w:rsidR="00C504B0">
        <w:t>.</w:t>
      </w:r>
    </w:p>
    <w:p w14:paraId="2DE9F6C9" w14:textId="7B846A8F" w:rsidR="006E2E98" w:rsidRDefault="006E2E98" w:rsidP="00600885">
      <w:pPr>
        <w:pStyle w:val="Titolo2"/>
      </w:pPr>
      <w:bookmarkStart w:id="22" w:name="_Toc121381288"/>
      <w:r>
        <w:t>Outcomes – the value of human rights</w:t>
      </w:r>
      <w:bookmarkEnd w:id="22"/>
    </w:p>
    <w:p w14:paraId="5D3C3B4A" w14:textId="64BB6F4B" w:rsidR="006E2E98" w:rsidRDefault="006E2E98" w:rsidP="00007446">
      <w:pPr>
        <w:pStyle w:val="Citazione"/>
      </w:pPr>
      <w:r w:rsidRPr="00861DD3">
        <w:rPr>
          <w:rStyle w:val="Enfasicorsivo"/>
        </w:rPr>
        <w:t>All human beings are born free and equal in dignity and rights</w:t>
      </w:r>
      <w:r>
        <w:t xml:space="preserve"> – Article 1, Universal Declaration of Human Rights</w:t>
      </w:r>
    </w:p>
    <w:p w14:paraId="206472F0" w14:textId="0BB883FD" w:rsidR="006E2E98" w:rsidRPr="00137B81" w:rsidRDefault="006E2E98" w:rsidP="007C3506">
      <w:r w:rsidRPr="00137B81">
        <w:t>Australian society prides itself on being built on values that underpin human rights.</w:t>
      </w:r>
    </w:p>
    <w:p w14:paraId="489A2659" w14:textId="40DD7AB0" w:rsidR="006E2E98" w:rsidRPr="00137B81" w:rsidRDefault="006E2E98" w:rsidP="007C3506">
      <w:r w:rsidRPr="00137B81">
        <w:t xml:space="preserve">We believe that everyone should be treated </w:t>
      </w:r>
      <w:r>
        <w:t>fairly and equally</w:t>
      </w:r>
      <w:r w:rsidRPr="00137B81">
        <w:t>.</w:t>
      </w:r>
    </w:p>
    <w:p w14:paraId="5CBDF0E8" w14:textId="6EBC1779" w:rsidR="006E2E98" w:rsidRPr="00137B81" w:rsidRDefault="006E2E98" w:rsidP="007C3506">
      <w:r w:rsidRPr="00137B81">
        <w:t xml:space="preserve">We value a free, </w:t>
      </w:r>
      <w:proofErr w:type="gramStart"/>
      <w:r w:rsidRPr="00137B81">
        <w:t>open</w:t>
      </w:r>
      <w:proofErr w:type="gramEnd"/>
      <w:r w:rsidRPr="00137B81">
        <w:t xml:space="preserve"> and just society, one that enables us to make our own </w:t>
      </w:r>
      <w:r>
        <w:t>decisions</w:t>
      </w:r>
      <w:r w:rsidRPr="00137B81">
        <w:t xml:space="preserve"> about how we live and express ourselves, individually and in association with others.</w:t>
      </w:r>
      <w:r w:rsidRPr="00600885">
        <w:rPr>
          <w:rStyle w:val="Rimandonotadichiusura"/>
        </w:rPr>
        <w:endnoteReference w:id="9"/>
      </w:r>
    </w:p>
    <w:p w14:paraId="7DCFE68B" w14:textId="54A23AF1" w:rsidR="006E2E98" w:rsidRPr="00137B81" w:rsidRDefault="006E2E98" w:rsidP="007C3506">
      <w:r>
        <w:t>We are opposed to cruelty and the abuse of power.</w:t>
      </w:r>
    </w:p>
    <w:p w14:paraId="2BCC62C6" w14:textId="3F2E1CCB" w:rsidR="006E2E98" w:rsidRDefault="006E2E98" w:rsidP="00AC759C">
      <w:pPr>
        <w:rPr>
          <w:rFonts w:cs="Open Sans"/>
        </w:rPr>
      </w:pPr>
      <w:r w:rsidRPr="155AE86C">
        <w:rPr>
          <w:rFonts w:cs="Open Sans"/>
        </w:rPr>
        <w:t>Australia is a strong democracy with a robust electoral and parliamentary system, an independent judiciary and respect for the rule of law. For this reason, many people perceive that their human rights are legally protected when in fact they are not.</w:t>
      </w:r>
    </w:p>
    <w:p w14:paraId="5AF61E92" w14:textId="7F21F433" w:rsidR="006E2E98" w:rsidRDefault="006E2E98" w:rsidP="00AC759C">
      <w:r w:rsidRPr="00137B81">
        <w:t xml:space="preserve">Australia has not implemented </w:t>
      </w:r>
      <w:r>
        <w:t xml:space="preserve">key </w:t>
      </w:r>
      <w:r w:rsidRPr="00137B81">
        <w:t xml:space="preserve">rights contained in </w:t>
      </w:r>
      <w:r>
        <w:t xml:space="preserve">human rights </w:t>
      </w:r>
      <w:r w:rsidRPr="00137B81">
        <w:t>treaties</w:t>
      </w:r>
      <w:r>
        <w:t xml:space="preserve"> through a cohesive legislative instrument or the Constitution</w:t>
      </w:r>
      <w:r w:rsidRPr="00137B81">
        <w:t xml:space="preserve">. This renders Australia an anomaly among </w:t>
      </w:r>
      <w:r>
        <w:t xml:space="preserve">all other liberal </w:t>
      </w:r>
      <w:r w:rsidRPr="00137B81">
        <w:t>democracies.</w:t>
      </w:r>
      <w:r w:rsidRPr="00600885">
        <w:rPr>
          <w:rStyle w:val="Rimandonotadichiusura"/>
        </w:rPr>
        <w:endnoteReference w:id="10"/>
      </w:r>
    </w:p>
    <w:p w14:paraId="2EFF9C4F" w14:textId="2264CC6E" w:rsidR="006E2E98" w:rsidRDefault="006E2E98" w:rsidP="00AC759C">
      <w:r>
        <w:t>There is a gap between what we expect from government, and how our laws and administrative systems operate in practice.</w:t>
      </w:r>
    </w:p>
    <w:p w14:paraId="1F1C514D" w14:textId="0567EDFF" w:rsidR="006E2E98" w:rsidRDefault="006E2E98" w:rsidP="00AC759C">
      <w:r>
        <w:t>Human rights are not always respected and protected by governments in Australia. Failures to protect human rights can affect all kinds of people, and any lack of respect for human rights degrades society at large. Often, those most harmed by human rights breaches are the most vulnerable among us.</w:t>
      </w:r>
    </w:p>
    <w:p w14:paraId="1C67BF35" w14:textId="42501526" w:rsidR="006E2E98" w:rsidRDefault="006E2E98" w:rsidP="00AC759C">
      <w:r>
        <w:t>The need for better human rights protections in Australia can be summarised by one simple proposition: we should have proper protection of human rights at the national level because everybody’s human rights matter, all the time.</w:t>
      </w:r>
    </w:p>
    <w:p w14:paraId="531F0BA0" w14:textId="77777777" w:rsidR="006E2E98" w:rsidRDefault="006E2E98" w:rsidP="00AC759C">
      <w:r>
        <w:lastRenderedPageBreak/>
        <w:t>To do so requires that human</w:t>
      </w:r>
      <w:r w:rsidRPr="00137B81">
        <w:t xml:space="preserve"> rights</w:t>
      </w:r>
      <w:r>
        <w:t xml:space="preserve"> are embedded </w:t>
      </w:r>
      <w:r w:rsidRPr="00137B81">
        <w:t xml:space="preserve">within the laws of our country, so that they have practical effect for individuals, and are consistently and coherently </w:t>
      </w:r>
      <w:r>
        <w:t xml:space="preserve">applied </w:t>
      </w:r>
      <w:r w:rsidRPr="00137B81">
        <w:t xml:space="preserve">by government. </w:t>
      </w:r>
      <w:r>
        <w:t>A Human Rights Act would ensure that t</w:t>
      </w:r>
      <w:r w:rsidRPr="006A7A7F">
        <w:t>he rights and freedoms that Australians rightly expect – and assume – are protected,</w:t>
      </w:r>
      <w:r w:rsidRPr="008B251C">
        <w:rPr>
          <w:rStyle w:val="Apice"/>
        </w:rPr>
        <w:endnoteReference w:id="11"/>
      </w:r>
      <w:r w:rsidRPr="006A7A7F">
        <w:t xml:space="preserve"> are in fact protected.</w:t>
      </w:r>
    </w:p>
    <w:p w14:paraId="690DDBE1" w14:textId="6818404E" w:rsidR="006E2E98" w:rsidRDefault="006E2E98" w:rsidP="00AC759C">
      <w:r>
        <w:t>There is nothing exceptional about the idea that when making laws, or taking actions or decisions under them, parliamentarians and public officials should consider the human rights impact of their actions and should favour options that positively protect human rights or cause minimal harm to them.</w:t>
      </w:r>
    </w:p>
    <w:p w14:paraId="53B93003" w14:textId="013E74B0" w:rsidR="006E2E98" w:rsidRDefault="006E2E98" w:rsidP="00AC759C">
      <w:r>
        <w:t xml:space="preserve">Where </w:t>
      </w:r>
      <w:r w:rsidRPr="155AE86C">
        <w:rPr>
          <w:rFonts w:eastAsia="Open Sans" w:cs="Open Sans"/>
        </w:rPr>
        <w:t xml:space="preserve">parliamentarians or public officials make decisions or take actions that </w:t>
      </w:r>
      <w:r>
        <w:t xml:space="preserve">may harm a person (by infringing their human rights) they should transparently justify this choice, by identifying whether limitations on human rights are necessary, </w:t>
      </w:r>
      <w:proofErr w:type="gramStart"/>
      <w:r>
        <w:t>reasonable</w:t>
      </w:r>
      <w:proofErr w:type="gramEnd"/>
      <w:r>
        <w:t xml:space="preserve"> and proportionate to achieving the intended purpose.</w:t>
      </w:r>
    </w:p>
    <w:p w14:paraId="0273C4CD" w14:textId="5BC57CEC" w:rsidR="006E2E98" w:rsidRDefault="006E2E98" w:rsidP="00AC759C">
      <w:r>
        <w:t xml:space="preserve">A Human Rights Act as proposed by the Commission would mean that the following </w:t>
      </w:r>
      <w:r w:rsidR="00720CA7">
        <w:t xml:space="preserve">are </w:t>
      </w:r>
      <w:r>
        <w:t>reflected in our federal laws:</w:t>
      </w:r>
    </w:p>
    <w:p w14:paraId="2E519A8E" w14:textId="07AFC37D" w:rsidR="006E2E98" w:rsidRDefault="006E2E98" w:rsidP="006A7726">
      <w:pPr>
        <w:pStyle w:val="Puntoelenco20"/>
      </w:pPr>
      <w:r>
        <w:t>assurance of fairness in government, legal and administrative decisions that affect rights</w:t>
      </w:r>
    </w:p>
    <w:p w14:paraId="0BA30844" w14:textId="22E6AC65" w:rsidR="006E2E98" w:rsidRDefault="006E2E98" w:rsidP="006A7726">
      <w:pPr>
        <w:pStyle w:val="Puntoelenco20"/>
      </w:pPr>
      <w:r>
        <w:t>priority given to respecting and protecting human life</w:t>
      </w:r>
    </w:p>
    <w:p w14:paraId="0880D88C" w14:textId="43A7E1CE" w:rsidR="006E2E98" w:rsidRDefault="006E2E98" w:rsidP="006A7726">
      <w:pPr>
        <w:pStyle w:val="Puntoelenco20"/>
      </w:pPr>
      <w:r>
        <w:t xml:space="preserve">freedom to speak, create, protest, travel and organise </w:t>
      </w:r>
    </w:p>
    <w:p w14:paraId="52001D0B" w14:textId="54C29721" w:rsidR="006E2E98" w:rsidRDefault="006E2E98" w:rsidP="006A7726">
      <w:pPr>
        <w:pStyle w:val="Puntoelenco20"/>
      </w:pPr>
      <w:r>
        <w:t xml:space="preserve">freedom to live in accordance with your own beliefs, values and </w:t>
      </w:r>
      <w:proofErr w:type="gramStart"/>
      <w:r>
        <w:t>ideals</w:t>
      </w:r>
      <w:proofErr w:type="gramEnd"/>
    </w:p>
    <w:p w14:paraId="696712F3" w14:textId="188E565D" w:rsidR="006E2E98" w:rsidRDefault="006E2E98" w:rsidP="006A7726">
      <w:pPr>
        <w:pStyle w:val="Puntoelenco20"/>
      </w:pPr>
      <w:r>
        <w:t xml:space="preserve">freedom to make personal choices without interference, coercion or surveillance, including medical decisions and decisions about your family </w:t>
      </w:r>
      <w:proofErr w:type="gramStart"/>
      <w:r>
        <w:t>life</w:t>
      </w:r>
      <w:proofErr w:type="gramEnd"/>
    </w:p>
    <w:p w14:paraId="324ED9F5" w14:textId="795ACC98" w:rsidR="006E2E98" w:rsidRDefault="006E2E98" w:rsidP="006A7726">
      <w:pPr>
        <w:pStyle w:val="Puntoelenco20"/>
      </w:pPr>
      <w:r>
        <w:t>protections against cruel treatment, arbitrary detention, and unjust court processes</w:t>
      </w:r>
    </w:p>
    <w:p w14:paraId="160C5224" w14:textId="486D5BEF" w:rsidR="006E2E98" w:rsidRDefault="006E2E98" w:rsidP="006A7726">
      <w:pPr>
        <w:pStyle w:val="Puntoelenco20"/>
      </w:pPr>
      <w:r>
        <w:t xml:space="preserve">recognition of the essential standards required for a dignified life – including the provision of access to basic healthcare, housing, education and work; and protections against homelessness, hunger and poor working </w:t>
      </w:r>
      <w:proofErr w:type="gramStart"/>
      <w:r>
        <w:t>conditions</w:t>
      </w:r>
      <w:proofErr w:type="gramEnd"/>
    </w:p>
    <w:p w14:paraId="71B7E327" w14:textId="2B67CE98" w:rsidR="006E2E98" w:rsidRDefault="006E2E98" w:rsidP="006A7726">
      <w:pPr>
        <w:pStyle w:val="Puntoelenco20"/>
      </w:pPr>
      <w:r>
        <w:t xml:space="preserve">assurance of equal treatment and respect, regardless of your sex, gender, sexuality, disability, age, nationality, </w:t>
      </w:r>
      <w:proofErr w:type="gramStart"/>
      <w:r>
        <w:t>race</w:t>
      </w:r>
      <w:proofErr w:type="gramEnd"/>
      <w:r>
        <w:t xml:space="preserve"> or religion</w:t>
      </w:r>
    </w:p>
    <w:p w14:paraId="36923239" w14:textId="37BA44B6" w:rsidR="006E2E98" w:rsidRDefault="006E2E98" w:rsidP="006A7726">
      <w:pPr>
        <w:pStyle w:val="Puntoelenco20"/>
      </w:pPr>
      <w:r>
        <w:t xml:space="preserve">embedding of supports to ensure the full autonomy of people with disabilities </w:t>
      </w:r>
    </w:p>
    <w:p w14:paraId="219D93A5" w14:textId="266CBAF0" w:rsidR="006E2E98" w:rsidRDefault="006E2E98" w:rsidP="006A7726">
      <w:pPr>
        <w:pStyle w:val="Puntoelenco20"/>
      </w:pPr>
      <w:r>
        <w:t>recognition and respect for the self-determination of First Nations peoples</w:t>
      </w:r>
    </w:p>
    <w:p w14:paraId="3535D9BD" w14:textId="0C5A60EA" w:rsidR="006E2E98" w:rsidRDefault="006E2E98" w:rsidP="006A7726">
      <w:pPr>
        <w:pStyle w:val="Puntoelenco20"/>
      </w:pPr>
      <w:r>
        <w:t>ensuring that the best interests of children are prioritised in decisions that affect them</w:t>
      </w:r>
    </w:p>
    <w:p w14:paraId="6DEEF55C" w14:textId="344C5E3B" w:rsidR="006E2E98" w:rsidRDefault="006E2E98" w:rsidP="006A7726">
      <w:pPr>
        <w:pStyle w:val="Puntoelenco20"/>
      </w:pPr>
      <w:r>
        <w:t>opportunities for disadvantaged, disenfranchised and vulnerable people and groups to participate more fully in the democratic process.</w:t>
      </w:r>
    </w:p>
    <w:p w14:paraId="0347B220" w14:textId="70C7DD7D" w:rsidR="006E2E98" w:rsidRDefault="006E2E98" w:rsidP="002C644C">
      <w:r>
        <w:t xml:space="preserve">The COVID-19 pandemic has highlighted how important human rights protections are in times of emergency and uncertainty. They help us to discern our </w:t>
      </w:r>
      <w:proofErr w:type="gramStart"/>
      <w:r>
        <w:t>priorities, and</w:t>
      </w:r>
      <w:proofErr w:type="gramEnd"/>
      <w:r>
        <w:t xml:space="preserve"> make difficult decisions that respect human life and ensure that other rights are not unnecessarily restricted. As we emerge from the pandemic, </w:t>
      </w:r>
      <w:proofErr w:type="gramStart"/>
      <w:r>
        <w:t>it is clear that strong</w:t>
      </w:r>
      <w:proofErr w:type="gramEnd"/>
      <w:r>
        <w:t xml:space="preserve"> rights protections are needed and wanted to help us navigate our collective future, through both times of calm and times of crisis.</w:t>
      </w:r>
    </w:p>
    <w:p w14:paraId="72B600AA" w14:textId="1BFBF225" w:rsidR="006A7726" w:rsidRDefault="006A7726" w:rsidP="006A7726">
      <w:pPr>
        <w:keepLines w:val="0"/>
        <w:spacing w:after="0" w:line="240" w:lineRule="auto"/>
      </w:pPr>
      <w:r>
        <w:br w:type="page"/>
      </w:r>
    </w:p>
    <w:p w14:paraId="000E38E4" w14:textId="57D55350" w:rsidR="006E2E98" w:rsidRDefault="006E2E98" w:rsidP="00600885">
      <w:pPr>
        <w:pStyle w:val="Titolo2"/>
      </w:pPr>
      <w:bookmarkStart w:id="23" w:name="_Toc121381289"/>
      <w:r>
        <w:lastRenderedPageBreak/>
        <w:t>Responding to COVID-19 – a case study</w:t>
      </w:r>
      <w:bookmarkEnd w:id="23"/>
    </w:p>
    <w:p w14:paraId="3CA93B1A" w14:textId="2B852D90" w:rsidR="006E2E98" w:rsidRPr="003B2046" w:rsidRDefault="006E2E98" w:rsidP="00C92500">
      <w:pPr>
        <w:pStyle w:val="Titolo3"/>
        <w:numPr>
          <w:ilvl w:val="0"/>
          <w:numId w:val="65"/>
        </w:numPr>
      </w:pPr>
      <w:bookmarkStart w:id="24" w:name="_Toc115704107"/>
      <w:bookmarkStart w:id="25" w:name="_Toc115704478"/>
      <w:bookmarkStart w:id="26" w:name="_Toc116566576"/>
      <w:bookmarkStart w:id="27" w:name="_Toc116567278"/>
      <w:bookmarkStart w:id="28" w:name="_Toc121381290"/>
      <w:bookmarkEnd w:id="24"/>
      <w:bookmarkEnd w:id="25"/>
      <w:bookmarkEnd w:id="26"/>
      <w:bookmarkEnd w:id="27"/>
      <w:r w:rsidRPr="003B2046">
        <w:t>Role of human rights in times of crisis</w:t>
      </w:r>
      <w:bookmarkEnd w:id="28"/>
    </w:p>
    <w:p w14:paraId="434D17BC" w14:textId="2F31C907" w:rsidR="006E2E98" w:rsidRPr="00C06997" w:rsidRDefault="006E2E98" w:rsidP="00824386">
      <w:r w:rsidRPr="00C06997">
        <w:t>Human rights law provides a framework for making decisions in times of crisis.</w:t>
      </w:r>
      <w:r w:rsidRPr="004C57AD">
        <w:rPr>
          <w:rStyle w:val="Rimandonotadichiusura"/>
        </w:rPr>
        <w:endnoteReference w:id="12"/>
      </w:r>
      <w:r w:rsidRPr="00C06997">
        <w:t xml:space="preserve"> </w:t>
      </w:r>
      <w:r>
        <w:t>It provides a mechanism</w:t>
      </w:r>
      <w:r w:rsidRPr="00C06997">
        <w:t xml:space="preserve"> that can </w:t>
      </w:r>
      <w:r>
        <w:t xml:space="preserve">ensure that </w:t>
      </w:r>
      <w:r w:rsidRPr="00C06997">
        <w:t xml:space="preserve">the usual rule of law </w:t>
      </w:r>
      <w:r>
        <w:t xml:space="preserve">principles </w:t>
      </w:r>
      <w:r w:rsidRPr="00C06997">
        <w:t xml:space="preserve">and political norms are </w:t>
      </w:r>
      <w:r>
        <w:t xml:space="preserve">not </w:t>
      </w:r>
      <w:r w:rsidRPr="00C06997">
        <w:t xml:space="preserve">secondary </w:t>
      </w:r>
      <w:r>
        <w:t>when</w:t>
      </w:r>
      <w:r w:rsidRPr="00C06997">
        <w:t xml:space="preserve"> responding efficiently and effectively to emergencies. Human rights not only provide an important check on executive power; they </w:t>
      </w:r>
      <w:r w:rsidRPr="00861DD3">
        <w:rPr>
          <w:rStyle w:val="Enfasicorsivo"/>
        </w:rPr>
        <w:t xml:space="preserve">help </w:t>
      </w:r>
      <w:r w:rsidRPr="00C06997">
        <w:t>us make emergency decisions that are rational, balance multiple factors, minimise human cost, and prioritise human life.</w:t>
      </w:r>
    </w:p>
    <w:p w14:paraId="7F944CC0" w14:textId="23F9D19C" w:rsidR="006E2E98" w:rsidRPr="00C06997" w:rsidRDefault="006E2E98" w:rsidP="00824386">
      <w:r w:rsidRPr="00C06997">
        <w:t>In the case of COVID-19, the human rights framework enables unprecedented measures to protect human life. The right to life is absolute and the right to health requires government to ensure access to healthcare and to prevent the spread of epidemics.</w:t>
      </w:r>
      <w:r w:rsidRPr="004C57AD">
        <w:rPr>
          <w:rStyle w:val="Rimandonotadichiusura"/>
        </w:rPr>
        <w:endnoteReference w:id="13"/>
      </w:r>
      <w:r w:rsidRPr="00C06997">
        <w:t xml:space="preserve"> In some cases, this will mean that important rights are justifiably limited </w:t>
      </w:r>
      <w:proofErr w:type="gramStart"/>
      <w:r w:rsidRPr="00C06997">
        <w:t>in order to</w:t>
      </w:r>
      <w:proofErr w:type="gramEnd"/>
      <w:r w:rsidRPr="00C06997">
        <w:t xml:space="preserve"> protect public health –</w:t>
      </w:r>
      <w:r>
        <w:t xml:space="preserve"> </w:t>
      </w:r>
      <w:r w:rsidRPr="00C06997">
        <w:t>for example, freedom of association and freedom of movement.</w:t>
      </w:r>
    </w:p>
    <w:p w14:paraId="7751708F" w14:textId="41EB0CC3" w:rsidR="006E2E98" w:rsidRPr="00C06997" w:rsidRDefault="006E2E98" w:rsidP="00824386">
      <w:r w:rsidRPr="00C06997">
        <w:t xml:space="preserve">Wherever rights are balanced against each other or limited, the human rights framework provides guidance on how to approach the </w:t>
      </w:r>
      <w:r>
        <w:t>assessment</w:t>
      </w:r>
      <w:r w:rsidRPr="00C06997">
        <w:t>. All limitations on rights must be:</w:t>
      </w:r>
    </w:p>
    <w:p w14:paraId="0A58263F" w14:textId="598CC95D" w:rsidR="006E2E98" w:rsidRPr="009A4EA9" w:rsidRDefault="006E2E98" w:rsidP="004C57AD">
      <w:pPr>
        <w:pStyle w:val="Puntoelenco2"/>
      </w:pPr>
      <w:r w:rsidRPr="009A4EA9">
        <w:t>Lawful, namely prescribed by law and accessible to the public.</w:t>
      </w:r>
    </w:p>
    <w:p w14:paraId="72C001F2" w14:textId="77777777" w:rsidR="006E2E98" w:rsidRPr="009A4EA9" w:rsidRDefault="006E2E98" w:rsidP="0074433A">
      <w:pPr>
        <w:pStyle w:val="Puntoelenco2"/>
      </w:pPr>
      <w:r w:rsidRPr="009A4EA9">
        <w:t>In pursuit of a legitimate aim, such as the promotion of other human rights and public interests (for example, public health)</w:t>
      </w:r>
      <w:r>
        <w:t>.</w:t>
      </w:r>
    </w:p>
    <w:p w14:paraId="4B17908F" w14:textId="77777777" w:rsidR="006E2E98" w:rsidRPr="009A4EA9" w:rsidRDefault="006E2E98" w:rsidP="0074433A">
      <w:pPr>
        <w:pStyle w:val="Puntoelenco2"/>
      </w:pPr>
      <w:r>
        <w:t xml:space="preserve">Reasonable, </w:t>
      </w:r>
      <w:proofErr w:type="gramStart"/>
      <w:r>
        <w:t>necessary</w:t>
      </w:r>
      <w:proofErr w:type="gramEnd"/>
      <w:r>
        <w:t xml:space="preserve"> and proportionate. This means that interferences with rights must be </w:t>
      </w:r>
    </w:p>
    <w:p w14:paraId="62118A4D" w14:textId="6F0C2E17" w:rsidR="006E2E98" w:rsidRPr="009A4EA9" w:rsidRDefault="006E2E98" w:rsidP="0074433A">
      <w:pPr>
        <w:pStyle w:val="Puntoelenco3"/>
      </w:pPr>
      <w:r w:rsidRPr="009A4EA9">
        <w:t xml:space="preserve">A rational means of achieving the </w:t>
      </w:r>
      <w:r>
        <w:t xml:space="preserve">legitimate </w:t>
      </w:r>
      <w:r w:rsidRPr="009A4EA9">
        <w:t>aim</w:t>
      </w:r>
    </w:p>
    <w:p w14:paraId="55F38955" w14:textId="36BCDE13" w:rsidR="006E2E98" w:rsidRPr="009A4EA9" w:rsidRDefault="006E2E98" w:rsidP="0074433A">
      <w:pPr>
        <w:pStyle w:val="Puntoelenco3"/>
      </w:pPr>
      <w:r>
        <w:t xml:space="preserve">Necessary to achieve the aim (including </w:t>
      </w:r>
      <w:proofErr w:type="gramStart"/>
      <w:r>
        <w:t>in light of</w:t>
      </w:r>
      <w:proofErr w:type="gramEnd"/>
      <w:r>
        <w:t xml:space="preserve"> other options)</w:t>
      </w:r>
    </w:p>
    <w:p w14:paraId="7AE86827" w14:textId="3D6715D2" w:rsidR="006E2E98" w:rsidRPr="009A4EA9" w:rsidRDefault="006E2E98" w:rsidP="0074433A">
      <w:pPr>
        <w:pStyle w:val="Puntoelenco3"/>
      </w:pPr>
      <w:r w:rsidRPr="009A4EA9">
        <w:t>Proportionate to the aim (no more than what is required to achieve the aim, and the least intrusive option possible).</w:t>
      </w:r>
    </w:p>
    <w:p w14:paraId="40F09E0C" w14:textId="3D87FDC2" w:rsidR="006E2E98" w:rsidRPr="009A4EA9" w:rsidRDefault="006E2E98" w:rsidP="0074433A">
      <w:pPr>
        <w:pStyle w:val="Puntoelenco2"/>
      </w:pPr>
      <w:r w:rsidRPr="009A4EA9">
        <w:t>All measures taken must also be non-discriminatory.</w:t>
      </w:r>
    </w:p>
    <w:p w14:paraId="69EC1231" w14:textId="71556C6E" w:rsidR="006E2E98" w:rsidRDefault="006E2E98" w:rsidP="00824386">
      <w:r>
        <w:t xml:space="preserve">When applying these criteria to COVID-19 measures such as lockdowns, we can come to conclusions about appropriate courses of action that align with human rights. Each measure must be lawful and clearly communicated to the public. COVID-19 measures are in pursuit of public health outcomes, and therefore have a legitimate aim. Whether a measure is reasonable, </w:t>
      </w:r>
      <w:proofErr w:type="gramStart"/>
      <w:r>
        <w:t>necessary</w:t>
      </w:r>
      <w:proofErr w:type="gramEnd"/>
      <w:r>
        <w:t xml:space="preserve"> and proportionate depends on the circumstances, including the level of risk to health (which changes over time), the necessity of the measure to addressing the health risk, and the extent of the impact on other important rights.</w:t>
      </w:r>
    </w:p>
    <w:p w14:paraId="2082C7DB" w14:textId="4256581B" w:rsidR="006E2E98" w:rsidRDefault="006E2E98" w:rsidP="00824386">
      <w:r>
        <w:t xml:space="preserve">For example, restrictions on the right to protest may be justified when the population is unvaccinated and COVID-19 is prevalent in the </w:t>
      </w:r>
      <w:proofErr w:type="gramStart"/>
      <w:r>
        <w:t>community, but</w:t>
      </w:r>
      <w:proofErr w:type="gramEnd"/>
      <w:r>
        <w:t xml:space="preserve"> may be less justifiable when there are high vaccination rates and precautionary measures are taken by the protest organisers to mitigate COVID-19 risks. </w:t>
      </w:r>
      <w:r w:rsidRPr="00050421">
        <w:t>The implementation must also be proportionate – for example</w:t>
      </w:r>
      <w:r>
        <w:t>,</w:t>
      </w:r>
      <w:r w:rsidRPr="00050421">
        <w:t xml:space="preserve"> </w:t>
      </w:r>
      <w:r>
        <w:t xml:space="preserve">excessive or </w:t>
      </w:r>
      <w:r w:rsidRPr="00050421">
        <w:t>criminal sanctions for peaceful protesting would be unnecessary to realising the goal of the restriction</w:t>
      </w:r>
      <w:r>
        <w:t xml:space="preserve">s </w:t>
      </w:r>
      <w:r w:rsidR="0051690A" w:rsidRPr="006A7A7F">
        <w:t>–</w:t>
      </w:r>
      <w:r>
        <w:t xml:space="preserve"> </w:t>
      </w:r>
      <w:r w:rsidRPr="00050421">
        <w:t>protecting health.</w:t>
      </w:r>
    </w:p>
    <w:p w14:paraId="5439DF2B" w14:textId="2C47DCCD" w:rsidR="006E2E98" w:rsidRDefault="006E2E98" w:rsidP="00824386">
      <w:r>
        <w:lastRenderedPageBreak/>
        <w:t>The human rights framework also requires safeguards such as time constraints and reviews on any steps taken to limit human rights. If the measures are no longer necessary, they should cease. It has been noted that ‘</w:t>
      </w:r>
      <w:r w:rsidRPr="00F36F09">
        <w:t>infrastructure deployed as a temporary</w:t>
      </w:r>
      <w:r>
        <w:t xml:space="preserve"> </w:t>
      </w:r>
      <w:r w:rsidRPr="00F36F09">
        <w:t xml:space="preserve">measure tends to persist after </w:t>
      </w:r>
      <w:proofErr w:type="gramStart"/>
      <w:r w:rsidRPr="00F36F09">
        <w:t>crises</w:t>
      </w:r>
      <w:r>
        <w:t>’</w:t>
      </w:r>
      <w:proofErr w:type="gramEnd"/>
      <w:r>
        <w:t>.</w:t>
      </w:r>
      <w:r w:rsidRPr="004C57AD">
        <w:rPr>
          <w:rStyle w:val="Rimandonotadichiusura"/>
        </w:rPr>
        <w:endnoteReference w:id="14"/>
      </w:r>
      <w:r>
        <w:t xml:space="preserve"> This must be avoided.</w:t>
      </w:r>
    </w:p>
    <w:p w14:paraId="4B3360D1" w14:textId="5BEE6655" w:rsidR="006E2E98" w:rsidRDefault="006E2E98" w:rsidP="00824386">
      <w:r>
        <w:t>Additionally, measures taken must be equitable and should not discriminate; for example, a person’s nationality should not affect their access to social security and health services during a</w:t>
      </w:r>
      <w:r w:rsidR="004C57AD">
        <w:t> </w:t>
      </w:r>
      <w:r>
        <w:t>pandemic.</w:t>
      </w:r>
    </w:p>
    <w:p w14:paraId="0D1616DC" w14:textId="7DFEC9B8" w:rsidR="006E2E98" w:rsidRDefault="006E2E98" w:rsidP="00824386">
      <w:r>
        <w:t xml:space="preserve">Australia’s COVID response was relatively effective in protecting rights to life and to health, compared to many other nations. However, there were key failures which resulted in human rights breaches, and insufficient consideration for certain vulnerable and marginalised groups throughout the COVID response. A domestic </w:t>
      </w:r>
      <w:r w:rsidRPr="00113DCC">
        <w:t>H</w:t>
      </w:r>
      <w:r>
        <w:t xml:space="preserve">uman Rights Act would have provided law and guidance that may have improved Australia’s response in certain key respects. </w:t>
      </w:r>
    </w:p>
    <w:p w14:paraId="23779CBD" w14:textId="77777777" w:rsidR="006E2E98" w:rsidRPr="00575212" w:rsidRDefault="006E2E98" w:rsidP="0092496E">
      <w:pPr>
        <w:pStyle w:val="Titolo3"/>
      </w:pPr>
      <w:bookmarkStart w:id="29" w:name="_Toc121381291"/>
      <w:r w:rsidRPr="00575212">
        <w:t>Some key human rights concerns associated with Australia’s COVID-19 response</w:t>
      </w:r>
      <w:bookmarkEnd w:id="29"/>
    </w:p>
    <w:p w14:paraId="3EC4B595" w14:textId="4B937C5F" w:rsidR="006E2E98" w:rsidRPr="00F71053" w:rsidRDefault="006E2E98" w:rsidP="00034290">
      <w:pPr>
        <w:pStyle w:val="Titolo4"/>
      </w:pPr>
      <w:r w:rsidRPr="00F71053">
        <w:t>Lack of lawful basis for measures</w:t>
      </w:r>
    </w:p>
    <w:p w14:paraId="1B76F471" w14:textId="2D0E8450" w:rsidR="006E2E98" w:rsidRPr="00F71053" w:rsidRDefault="006E2E98" w:rsidP="00824386">
      <w:r w:rsidRPr="00F71053">
        <w:t>Many restrictions on rights and penalties were introduced to combat the COVID-19 pandemic through delegated legislation, without legislative oversight or review.</w:t>
      </w:r>
      <w:r w:rsidRPr="004C57AD">
        <w:rPr>
          <w:rStyle w:val="Rimandonotadichiusura"/>
        </w:rPr>
        <w:endnoteReference w:id="15"/>
      </w:r>
      <w:r w:rsidRPr="00F71053">
        <w:t xml:space="preserve"> Many of these measures were also implemented without sufficient transparency about government decision-making process, including </w:t>
      </w:r>
      <w:r>
        <w:t>regarding</w:t>
      </w:r>
      <w:r w:rsidRPr="00F71053">
        <w:t xml:space="preserve"> the evidence upon which decisions were based.</w:t>
      </w:r>
      <w:r w:rsidRPr="004C57AD">
        <w:rPr>
          <w:rStyle w:val="Rimandonotadichiusura"/>
        </w:rPr>
        <w:endnoteReference w:id="16"/>
      </w:r>
      <w:r w:rsidRPr="008B251C">
        <w:t xml:space="preserve"> </w:t>
      </w:r>
      <w:r>
        <w:t>They were o</w:t>
      </w:r>
      <w:r w:rsidRPr="00107606">
        <w:t>ften accompanied by increased police enforcement powers</w:t>
      </w:r>
      <w:r>
        <w:t>.</w:t>
      </w:r>
    </w:p>
    <w:p w14:paraId="3D8C4853" w14:textId="30B7FD35" w:rsidR="006E2E98" w:rsidRPr="00F71053" w:rsidRDefault="006E2E98" w:rsidP="00034290">
      <w:pPr>
        <w:pStyle w:val="Titolo4"/>
      </w:pPr>
      <w:r w:rsidRPr="00F71053">
        <w:t>Border closures</w:t>
      </w:r>
    </w:p>
    <w:p w14:paraId="49BF779C" w14:textId="0304DCE6" w:rsidR="006E2E98" w:rsidRPr="00F71053" w:rsidRDefault="006E2E98" w:rsidP="00824386">
      <w:r w:rsidRPr="00F71053">
        <w:t xml:space="preserve">Australia implemented international and internal border closures and restrictions for extended periods of time during COVID-19. This included the unprecedented step of </w:t>
      </w:r>
      <w:r>
        <w:t xml:space="preserve">travel caps </w:t>
      </w:r>
      <w:r w:rsidRPr="00F71053">
        <w:t>effectively preventing thousands of Australian citizens from re-entering Australia;</w:t>
      </w:r>
      <w:r w:rsidRPr="004C57AD">
        <w:rPr>
          <w:rStyle w:val="Rimandonotadichiusura"/>
        </w:rPr>
        <w:endnoteReference w:id="17"/>
      </w:r>
      <w:r w:rsidRPr="00F71053">
        <w:t xml:space="preserve"> and an outright ban on citizens returning from India (with penalties of 5 years imprisonment or a $66,000 fine) during the </w:t>
      </w:r>
      <w:r>
        <w:t>D</w:t>
      </w:r>
      <w:r w:rsidRPr="00F71053">
        <w:t>elta outbreak, which drew concern by the Office of the High Commissioner for Human Rights.</w:t>
      </w:r>
      <w:r w:rsidRPr="004C57AD">
        <w:rPr>
          <w:rStyle w:val="Rimandonotadichiusura"/>
        </w:rPr>
        <w:endnoteReference w:id="18"/>
      </w:r>
      <w:r w:rsidRPr="00F71053">
        <w:t xml:space="preserve"> These policies resulted in the </w:t>
      </w:r>
      <w:r>
        <w:t xml:space="preserve">potential for </w:t>
      </w:r>
      <w:r w:rsidRPr="00F71053">
        <w:t>physical endangerment of Australians overseas;</w:t>
      </w:r>
      <w:r w:rsidRPr="004C57AD">
        <w:rPr>
          <w:rStyle w:val="Rimandonotadichiusura"/>
        </w:rPr>
        <w:endnoteReference w:id="19"/>
      </w:r>
      <w:r w:rsidRPr="00F71053">
        <w:t xml:space="preserve"> extended periods of family separation; high financial costs associated with inflated travel prices, accommodation abroad and mandated hotel quarantine upon return to Australia; lost employment opportunities; and mental health impacts. The Senate Select Committee on COVID-19 found that </w:t>
      </w:r>
    </w:p>
    <w:p w14:paraId="515C853F" w14:textId="0DFF011F" w:rsidR="006E2E98" w:rsidRDefault="006E2E98" w:rsidP="00E24DF7">
      <w:pPr>
        <w:pStyle w:val="Citazione"/>
      </w:pPr>
      <w:r w:rsidRPr="00F71053">
        <w:t>The government</w:t>
      </w:r>
      <w:r>
        <w:t>’</w:t>
      </w:r>
      <w:r w:rsidRPr="00F71053">
        <w:t>s pandemic plan should have provided a workable means of repatriating citizens early in the pandemic. Instead, when Australia</w:t>
      </w:r>
      <w:r>
        <w:t>’</w:t>
      </w:r>
      <w:r w:rsidRPr="00F71053">
        <w:t>s international border closed, Australian citizens stranded overseas were effectively abandoned</w:t>
      </w:r>
      <w:r>
        <w:t>.</w:t>
      </w:r>
      <w:r w:rsidRPr="00E24DF7">
        <w:rPr>
          <w:rStyle w:val="Rimandonotadichiusura"/>
        </w:rPr>
        <w:endnoteReference w:id="20"/>
      </w:r>
    </w:p>
    <w:p w14:paraId="0ADAC181" w14:textId="053E3108" w:rsidR="00694317" w:rsidRDefault="00694317">
      <w:pPr>
        <w:keepLines w:val="0"/>
        <w:spacing w:after="0" w:line="240" w:lineRule="auto"/>
      </w:pPr>
      <w:r>
        <w:br w:type="page"/>
      </w:r>
    </w:p>
    <w:p w14:paraId="6570991A" w14:textId="2AFB5B84" w:rsidR="006E2E98" w:rsidRPr="00F71053" w:rsidRDefault="006E2E98" w:rsidP="00034290">
      <w:pPr>
        <w:pStyle w:val="Titolo4"/>
      </w:pPr>
      <w:r w:rsidRPr="00F71053">
        <w:lastRenderedPageBreak/>
        <w:t>Vaccine rollout</w:t>
      </w:r>
    </w:p>
    <w:p w14:paraId="2BAE64C5" w14:textId="1407A3E0" w:rsidR="006E2E98" w:rsidRPr="00F71053" w:rsidRDefault="006E2E98" w:rsidP="00824386">
      <w:r w:rsidRPr="00F71053">
        <w:t>Australia has a high vaccination rate</w:t>
      </w:r>
      <w:r>
        <w:t xml:space="preserve"> against COVID-19</w:t>
      </w:r>
      <w:r w:rsidRPr="00F71053">
        <w:t>.</w:t>
      </w:r>
      <w:r w:rsidRPr="00E24DF7">
        <w:rPr>
          <w:rStyle w:val="Rimandonotadichiusura"/>
        </w:rPr>
        <w:endnoteReference w:id="21"/>
      </w:r>
      <w:r w:rsidRPr="00F71053">
        <w:t xml:space="preserve"> However, Australia’s initial vaccine rollout was plagued with problems and lengthy delays, affecting the right to health for all Australians.</w:t>
      </w:r>
      <w:r w:rsidRPr="00E24DF7">
        <w:rPr>
          <w:rStyle w:val="Rimandonotadichiusura"/>
        </w:rPr>
        <w:endnoteReference w:id="22"/>
      </w:r>
      <w:r w:rsidRPr="00F71053">
        <w:t xml:space="preserve"> There were also inequities associated with vaccination of certain vulnerable groups</w:t>
      </w:r>
      <w:r>
        <w:t>.</w:t>
      </w:r>
    </w:p>
    <w:p w14:paraId="5C5CA9BD" w14:textId="77777777" w:rsidR="006E2E98" w:rsidRDefault="006E2E98" w:rsidP="00034290">
      <w:pPr>
        <w:pStyle w:val="Titolo4"/>
      </w:pPr>
      <w:r>
        <w:t>L</w:t>
      </w:r>
      <w:r w:rsidRPr="00B039DB">
        <w:t>ack of consideration for vulnerable groups</w:t>
      </w:r>
    </w:p>
    <w:p w14:paraId="69E89F22" w14:textId="18A76517" w:rsidR="006E2E98" w:rsidRPr="00BD77D7" w:rsidRDefault="006E2E98" w:rsidP="00824386">
      <w:r>
        <w:t>First Nations</w:t>
      </w:r>
      <w:r w:rsidRPr="00112F94">
        <w:t xml:space="preserve"> </w:t>
      </w:r>
      <w:r w:rsidRPr="00BD77D7" w:rsidDel="00E17266">
        <w:t>p</w:t>
      </w:r>
      <w:r w:rsidRPr="00BD77D7">
        <w:t>eoples ha</w:t>
      </w:r>
      <w:r>
        <w:t>ve</w:t>
      </w:r>
      <w:r w:rsidRPr="00BD77D7">
        <w:t xml:space="preserve"> lower vaccination rates compared to the overall population despite being classified as high priority at the commencement of the rollout, and there have been several outbreaks in remote </w:t>
      </w:r>
      <w:r>
        <w:t>First Nations</w:t>
      </w:r>
      <w:r w:rsidRPr="00BD77D7">
        <w:t xml:space="preserve"> communities.</w:t>
      </w:r>
      <w:r w:rsidRPr="00E24DF7">
        <w:rPr>
          <w:rStyle w:val="Rimandonotadichiusura"/>
        </w:rPr>
        <w:endnoteReference w:id="23"/>
      </w:r>
    </w:p>
    <w:p w14:paraId="1C2DD5A3" w14:textId="77777777" w:rsidR="006E2E98" w:rsidRPr="00BD77D7" w:rsidRDefault="006E2E98" w:rsidP="00824386">
      <w:r w:rsidRPr="00BD77D7">
        <w:t xml:space="preserve">The needs of children have not been </w:t>
      </w:r>
      <w:r>
        <w:t>prioritised in</w:t>
      </w:r>
      <w:r w:rsidRPr="00BD77D7">
        <w:t xml:space="preserve"> COVID-19 policy and </w:t>
      </w:r>
      <w:r>
        <w:t xml:space="preserve">children </w:t>
      </w:r>
      <w:r w:rsidRPr="00BD77D7">
        <w:t>have faced difficulties regarding their mental health, learning and social life,</w:t>
      </w:r>
      <w:r w:rsidRPr="00E24DF7">
        <w:rPr>
          <w:rStyle w:val="Rimandonotadichiusura"/>
        </w:rPr>
        <w:endnoteReference w:id="24"/>
      </w:r>
      <w:r w:rsidRPr="00BD77D7">
        <w:t xml:space="preserve"> exacerbated by the slow vaccination rollout. This was ‘disproportionately borne by the most vulnerable’ children and families</w:t>
      </w:r>
      <w:r>
        <w:t>, including those with low income</w:t>
      </w:r>
      <w:r w:rsidRPr="00BD77D7">
        <w:t>.</w:t>
      </w:r>
      <w:r w:rsidRPr="00E24DF7">
        <w:rPr>
          <w:rStyle w:val="Rimandonotadichiusura"/>
        </w:rPr>
        <w:endnoteReference w:id="25"/>
      </w:r>
    </w:p>
    <w:p w14:paraId="2569927A" w14:textId="1A31C492" w:rsidR="006E2E98" w:rsidRPr="00BD77D7" w:rsidRDefault="006E2E98" w:rsidP="00824386">
      <w:r w:rsidRPr="00BD77D7">
        <w:t>Available reporting indicates that prisoners have lower vaccination rates and limited access to testing, despite prisons being particularly susceptible to COVID</w:t>
      </w:r>
      <w:r>
        <w:t>-19</w:t>
      </w:r>
      <w:r w:rsidRPr="00BD77D7">
        <w:t xml:space="preserve"> outbreaks.</w:t>
      </w:r>
      <w:r w:rsidRPr="00E24DF7">
        <w:rPr>
          <w:rStyle w:val="Rimandonotadichiusura"/>
        </w:rPr>
        <w:endnoteReference w:id="26"/>
      </w:r>
    </w:p>
    <w:p w14:paraId="5E251801" w14:textId="097F210D" w:rsidR="006E2E98" w:rsidRPr="00BD77D7" w:rsidRDefault="006E2E98" w:rsidP="00824386">
      <w:r>
        <w:t>Insufficient s</w:t>
      </w:r>
      <w:r w:rsidRPr="00BD77D7">
        <w:t>teps were</w:t>
      </w:r>
      <w:r w:rsidRPr="00BD77D7" w:rsidDel="00137458">
        <w:t xml:space="preserve"> </w:t>
      </w:r>
      <w:r w:rsidRPr="00BD77D7">
        <w:t>taken to reduce the number of people in immigration detention who did not pose any threat to public safety, despite outbreaks and the high risk of COVID-19.</w:t>
      </w:r>
      <w:r w:rsidRPr="00E24DF7">
        <w:rPr>
          <w:rStyle w:val="Rimandonotadichiusura"/>
        </w:rPr>
        <w:endnoteReference w:id="27"/>
      </w:r>
      <w:r w:rsidRPr="00BD77D7">
        <w:t xml:space="preserve"> By contrast, the UK reduced the number of people held in immigration centres by more than two thirds in March 2020.</w:t>
      </w:r>
      <w:r w:rsidRPr="00E24DF7">
        <w:rPr>
          <w:rStyle w:val="Rimandonotadichiusura"/>
        </w:rPr>
        <w:endnoteReference w:id="28"/>
      </w:r>
    </w:p>
    <w:p w14:paraId="5016B55B" w14:textId="014F895E" w:rsidR="006E2E98" w:rsidRPr="00BD77D7" w:rsidRDefault="006E2E98" w:rsidP="00824386">
      <w:r w:rsidRPr="00BD77D7">
        <w:t>A disproportionate number of deaths from COVID-19 occurred in residential aged care facilities. The Senate Select Committee on COVID 19 found that ‘the crisis in aged care was entirely predictable and</w:t>
      </w:r>
      <w:r>
        <w:t xml:space="preserve"> </w:t>
      </w:r>
      <w:r w:rsidRPr="00BD77D7">
        <w:t>—</w:t>
      </w:r>
      <w:r>
        <w:t xml:space="preserve"> </w:t>
      </w:r>
      <w:r w:rsidRPr="00BD77D7">
        <w:t>to a large extent</w:t>
      </w:r>
      <w:r>
        <w:t xml:space="preserve"> </w:t>
      </w:r>
      <w:r w:rsidRPr="00BD77D7">
        <w:t>—</w:t>
      </w:r>
      <w:r>
        <w:t xml:space="preserve"> </w:t>
      </w:r>
      <w:r w:rsidRPr="00BD77D7">
        <w:t>avoidable’</w:t>
      </w:r>
      <w:r>
        <w:t>.</w:t>
      </w:r>
      <w:r w:rsidRPr="00E24DF7">
        <w:rPr>
          <w:rStyle w:val="Rimandonotadichiusura"/>
        </w:rPr>
        <w:endnoteReference w:id="29"/>
      </w:r>
    </w:p>
    <w:p w14:paraId="1238397B" w14:textId="1BC197D3" w:rsidR="006E2E98" w:rsidRDefault="006E2E98" w:rsidP="00824386">
      <w:r w:rsidRPr="00BD77D7">
        <w:t>The Senate Select Committee on COVID-19 commented that ‘many countries vaccinated people with a disability first. This was not the case in Australia where the government failed to implement strategies which would protect this vulnerable group</w:t>
      </w:r>
      <w:r>
        <w:t>.</w:t>
      </w:r>
      <w:r w:rsidRPr="00BD77D7">
        <w:t>’</w:t>
      </w:r>
      <w:r w:rsidRPr="00E24DF7">
        <w:rPr>
          <w:rStyle w:val="Rimandonotadichiusura"/>
        </w:rPr>
        <w:endnoteReference w:id="30"/>
      </w:r>
      <w:r w:rsidRPr="00BD77D7">
        <w:t xml:space="preserve"> The Disability Royal Commission also expressed concern about the treatment of </w:t>
      </w:r>
      <w:r>
        <w:t>persons</w:t>
      </w:r>
      <w:r w:rsidRPr="00BD77D7">
        <w:t xml:space="preserve"> with disability living within closed residential settings, finding that steps taken to lockdown facilities or restrict visiting</w:t>
      </w:r>
      <w:r>
        <w:t xml:space="preserve"> </w:t>
      </w:r>
      <w:r w:rsidRPr="00BD77D7">
        <w:t xml:space="preserve">may have </w:t>
      </w:r>
      <w:r>
        <w:t>reduced</w:t>
      </w:r>
      <w:r w:rsidRPr="00BD77D7">
        <w:t xml:space="preserve"> formal and informal oversight mechanisms.</w:t>
      </w:r>
      <w:r w:rsidRPr="00E24DF7">
        <w:rPr>
          <w:rStyle w:val="Rimandonotadichiusura"/>
        </w:rPr>
        <w:endnoteReference w:id="31"/>
      </w:r>
    </w:p>
    <w:p w14:paraId="1201D9DC" w14:textId="51649C00" w:rsidR="006E2E98" w:rsidRPr="000C751A" w:rsidRDefault="006E2E98" w:rsidP="0092496E">
      <w:pPr>
        <w:pStyle w:val="Titolo3"/>
      </w:pPr>
      <w:bookmarkStart w:id="30" w:name="_Toc121381292"/>
      <w:r w:rsidRPr="000C751A">
        <w:t>The role of a Human Rights Act</w:t>
      </w:r>
      <w:bookmarkEnd w:id="30"/>
    </w:p>
    <w:p w14:paraId="6C0F8CE9" w14:textId="77777777" w:rsidR="006E2E98" w:rsidRPr="00C94C9F" w:rsidRDefault="006E2E98" w:rsidP="00824386">
      <w:r w:rsidRPr="00C94C9F">
        <w:t>The Senate Select Committee on COVID 19 released its final report in April 2022. It made the following key recommendation</w:t>
      </w:r>
      <w:r>
        <w:t>:</w:t>
      </w:r>
    </w:p>
    <w:p w14:paraId="2B9DA521" w14:textId="77777777" w:rsidR="006E2E98" w:rsidRPr="0094245D" w:rsidRDefault="006E2E98" w:rsidP="00AD1394">
      <w:pPr>
        <w:pStyle w:val="NormalIndent1"/>
      </w:pPr>
      <w:r w:rsidRPr="0094245D">
        <w:t xml:space="preserve">All Australian Governments ensure that restrictions enacted to combat the COVID-19 pandemic are proportionate, the minimum necessary intrusion on rights </w:t>
      </w:r>
      <w:proofErr w:type="gramStart"/>
      <w:r w:rsidRPr="0094245D">
        <w:t>at all times</w:t>
      </w:r>
      <w:proofErr w:type="gramEnd"/>
      <w:r w:rsidRPr="0094245D">
        <w:t xml:space="preserve"> and are removed fully as soon as the public emergency is over.</w:t>
      </w:r>
      <w:r w:rsidRPr="006E2E98">
        <w:rPr>
          <w:rStyle w:val="Rimandonotadichiusura"/>
        </w:rPr>
        <w:endnoteReference w:id="32"/>
      </w:r>
    </w:p>
    <w:p w14:paraId="4F0AD715" w14:textId="77777777" w:rsidR="00694317" w:rsidRDefault="00694317">
      <w:pPr>
        <w:keepLines w:val="0"/>
        <w:spacing w:after="0" w:line="240" w:lineRule="auto"/>
      </w:pPr>
      <w:r>
        <w:br w:type="page"/>
      </w:r>
    </w:p>
    <w:p w14:paraId="59D4BEC6" w14:textId="68563A63" w:rsidR="006E2E98" w:rsidRPr="00F559BC" w:rsidRDefault="006E2E98" w:rsidP="00824386">
      <w:r w:rsidRPr="00F559BC">
        <w:lastRenderedPageBreak/>
        <w:t xml:space="preserve">The Committee also recommended that </w:t>
      </w:r>
    </w:p>
    <w:p w14:paraId="51A79F53" w14:textId="77777777" w:rsidR="006E2E98" w:rsidRPr="00C31BB4" w:rsidRDefault="006E2E98" w:rsidP="00AD1394">
      <w:pPr>
        <w:pStyle w:val="NormalIndent1"/>
      </w:pPr>
      <w:r w:rsidRPr="00C31BB4">
        <w:t>the Australian Government urgently review its pandemic planning to deliver immediate improvements including:</w:t>
      </w:r>
    </w:p>
    <w:p w14:paraId="2698147C" w14:textId="77777777" w:rsidR="006E2E98" w:rsidRPr="00C31BB4" w:rsidRDefault="006E2E98" w:rsidP="00AD1394">
      <w:pPr>
        <w:pStyle w:val="NormalIndent1"/>
      </w:pPr>
      <w:r w:rsidRPr="00C31BB4">
        <w:t>…</w:t>
      </w:r>
    </w:p>
    <w:p w14:paraId="3356B104" w14:textId="77777777" w:rsidR="006E2E98" w:rsidRPr="00C31BB4" w:rsidRDefault="006E2E98" w:rsidP="00AD1394">
      <w:pPr>
        <w:pStyle w:val="Numeroelenco3"/>
      </w:pPr>
      <w:r>
        <w:t xml:space="preserve">a plan for timely repatriation of Australians overseas in the event of border closures or restricted international </w:t>
      </w:r>
      <w:proofErr w:type="gramStart"/>
      <w:r>
        <w:t>travel;</w:t>
      </w:r>
      <w:proofErr w:type="gramEnd"/>
      <w:r>
        <w:t xml:space="preserve"> </w:t>
      </w:r>
    </w:p>
    <w:p w14:paraId="1FD1A35F" w14:textId="77777777" w:rsidR="006E2E98" w:rsidRPr="00C31BB4" w:rsidRDefault="006E2E98" w:rsidP="00AD1394">
      <w:pPr>
        <w:pStyle w:val="Numeroelenco3"/>
      </w:pPr>
      <w:r>
        <w:t xml:space="preserve">evaluate the effectiveness of plans for working with and responding appropriately to the needs of vulnerable people during a pandemic and implement updated </w:t>
      </w:r>
      <w:proofErr w:type="gramStart"/>
      <w:r>
        <w:t>plans</w:t>
      </w:r>
      <w:proofErr w:type="gramEnd"/>
      <w:r>
        <w:t xml:space="preserve"> accordingly, including for older Australians, Aboriginal and Torres Strait Islander Australians, people living with disability and children; and </w:t>
      </w:r>
    </w:p>
    <w:p w14:paraId="487540D6" w14:textId="77777777" w:rsidR="006E2E98" w:rsidRPr="00C31BB4" w:rsidRDefault="006E2E98" w:rsidP="00AD1394">
      <w:pPr>
        <w:pStyle w:val="Numeroelenco3"/>
      </w:pPr>
      <w:r w:rsidRPr="00C31BB4">
        <w:t>principles for addressing related health impacts, including the social determinants of health, mental health service delivery, and ensuring the health and welfare requirements of people experiencing family, domestic, or sexual violence are met.</w:t>
      </w:r>
      <w:r w:rsidRPr="006E2E98">
        <w:rPr>
          <w:rStyle w:val="Rimandonotadichiusura"/>
        </w:rPr>
        <w:endnoteReference w:id="33"/>
      </w:r>
    </w:p>
    <w:p w14:paraId="55453CF7" w14:textId="257754E0" w:rsidR="006E2E98" w:rsidRDefault="006E2E98" w:rsidP="00824386">
      <w:r w:rsidRPr="0052162A">
        <w:t xml:space="preserve">If </w:t>
      </w:r>
      <w:r>
        <w:t>a Human Rights Act</w:t>
      </w:r>
      <w:r w:rsidRPr="0052162A">
        <w:t xml:space="preserve"> had been in place</w:t>
      </w:r>
      <w:r>
        <w:t xml:space="preserve"> at the federal level at the time of the COVID-19 outbreak</w:t>
      </w:r>
      <w:r w:rsidRPr="0052162A">
        <w:t xml:space="preserve">, these recommendations would have been </w:t>
      </w:r>
      <w:r w:rsidRPr="00861DD3">
        <w:rPr>
          <w:rStyle w:val="Enfasicorsivo"/>
        </w:rPr>
        <w:t>built into</w:t>
      </w:r>
      <w:r w:rsidRPr="0052162A">
        <w:t xml:space="preserve"> the decision-making responses </w:t>
      </w:r>
      <w:r>
        <w:t xml:space="preserve">of the Federal Government </w:t>
      </w:r>
      <w:r w:rsidRPr="0052162A">
        <w:t xml:space="preserve">from the </w:t>
      </w:r>
      <w:r w:rsidRPr="00861DD3">
        <w:rPr>
          <w:rStyle w:val="Enfasicorsivo"/>
        </w:rPr>
        <w:t xml:space="preserve">outset </w:t>
      </w:r>
      <w:r w:rsidRPr="0052162A">
        <w:t>of the pandemic.</w:t>
      </w:r>
    </w:p>
    <w:p w14:paraId="5C40A6CC" w14:textId="6DFFD92F" w:rsidR="006E2E98" w:rsidRDefault="006E2E98" w:rsidP="00824386">
      <w:r w:rsidRPr="0052162A">
        <w:t xml:space="preserve">This is the key value of a human rights framework. It ensures that human rights are considered in the planning phase, encouraging greater due diligence, </w:t>
      </w:r>
      <w:proofErr w:type="gramStart"/>
      <w:r w:rsidRPr="0052162A">
        <w:t>transparency</w:t>
      </w:r>
      <w:proofErr w:type="gramEnd"/>
      <w:r w:rsidRPr="0052162A">
        <w:t xml:space="preserve"> and accountability.</w:t>
      </w:r>
    </w:p>
    <w:p w14:paraId="374BBC7F" w14:textId="0B3BC8AD" w:rsidR="006E2E98" w:rsidRDefault="006E2E98" w:rsidP="00824386">
      <w:r w:rsidRPr="0052162A">
        <w:t xml:space="preserve">It requires decisions about prioritising resources and </w:t>
      </w:r>
      <w:r>
        <w:t xml:space="preserve">policy </w:t>
      </w:r>
      <w:r w:rsidRPr="0052162A">
        <w:t>responses to be justified publicly with reference to human rights</w:t>
      </w:r>
      <w:r>
        <w:t xml:space="preserve"> so that the public can properly assess them</w:t>
      </w:r>
      <w:r w:rsidRPr="0052162A">
        <w:t>.</w:t>
      </w:r>
    </w:p>
    <w:p w14:paraId="6F8B2C8D" w14:textId="508EBDD5" w:rsidR="006E2E98" w:rsidRDefault="006E2E98" w:rsidP="00824386">
      <w:r w:rsidRPr="002A1E11">
        <w:t xml:space="preserve">It ensures that the </w:t>
      </w:r>
      <w:r>
        <w:t>stringent</w:t>
      </w:r>
      <w:r w:rsidRPr="002A1E11">
        <w:t xml:space="preserve"> effects of emergency measures are mitigated through </w:t>
      </w:r>
      <w:r>
        <w:t>the provision of supports and the embedding of safeguards</w:t>
      </w:r>
      <w:r w:rsidRPr="002A1E11">
        <w:t xml:space="preserve">. </w:t>
      </w:r>
      <w:r>
        <w:t>It prevents emergency measures from becoming the ‘new normal’.</w:t>
      </w:r>
    </w:p>
    <w:p w14:paraId="493903F3" w14:textId="0F156FDF" w:rsidR="006E2E98" w:rsidRDefault="006E2E98" w:rsidP="00824386">
      <w:r>
        <w:t xml:space="preserve">It sets out a balancing process that </w:t>
      </w:r>
      <w:proofErr w:type="gramStart"/>
      <w:r>
        <w:t>takes into account</w:t>
      </w:r>
      <w:proofErr w:type="gramEnd"/>
      <w:r>
        <w:t xml:space="preserve"> the needs of </w:t>
      </w:r>
      <w:r w:rsidRPr="00861DD3">
        <w:rPr>
          <w:rStyle w:val="Enfasicorsivo"/>
        </w:rPr>
        <w:t xml:space="preserve">everyone </w:t>
      </w:r>
      <w:r>
        <w:t xml:space="preserve">in the community and prevents the most vulnerable from falling through the cracks. It prevents </w:t>
      </w:r>
      <w:r w:rsidRPr="00BE0525">
        <w:t>arbitrary decisions and blanket rules</w:t>
      </w:r>
      <w:r>
        <w:t xml:space="preserve"> by</w:t>
      </w:r>
      <w:r w:rsidRPr="00BE0525">
        <w:t xml:space="preserve"> </w:t>
      </w:r>
      <w:r>
        <w:t>requiring sufficient flexibility to respond to individual circumstances: for example, allowing a person to cross a border to bury a family member, or an elderly person to receive a visitor.</w:t>
      </w:r>
    </w:p>
    <w:p w14:paraId="2B595C51" w14:textId="4471692C" w:rsidR="006E2E98" w:rsidRDefault="006E2E98" w:rsidP="00824386">
      <w:r>
        <w:t>It provides a check on executive power by drawing lines that should not be crossed — such as locking vulnerable citizens out of their own country. It ensures that responses to emergencies are humane.</w:t>
      </w:r>
    </w:p>
    <w:p w14:paraId="1E375D81" w14:textId="6DEA28C7" w:rsidR="006E2E98" w:rsidRDefault="006E2E98" w:rsidP="00824386">
      <w:r>
        <w:t>A Human Rights Act may not lead to perfect results, but it would help us make better decisions. COVID-19 has highlighted the need for a shared set of rights and values to guide us through difficult times.</w:t>
      </w:r>
    </w:p>
    <w:p w14:paraId="4748368B" w14:textId="58A552D5" w:rsidR="00694317" w:rsidRDefault="00694317" w:rsidP="00694317">
      <w:pPr>
        <w:keepLines w:val="0"/>
        <w:spacing w:after="0" w:line="240" w:lineRule="auto"/>
      </w:pPr>
      <w:r>
        <w:br w:type="page"/>
      </w:r>
    </w:p>
    <w:p w14:paraId="4D0ADBAE" w14:textId="2FB28D94" w:rsidR="006E2E98" w:rsidRPr="000C751A" w:rsidRDefault="006E2E98" w:rsidP="0092496E">
      <w:pPr>
        <w:pStyle w:val="Titolo3"/>
      </w:pPr>
      <w:bookmarkStart w:id="31" w:name="_Toc121381293"/>
      <w:r w:rsidRPr="000C751A">
        <w:lastRenderedPageBreak/>
        <w:t>Examples of how Human Rights Acts have been used to address COVID-19</w:t>
      </w:r>
      <w:bookmarkEnd w:id="31"/>
    </w:p>
    <w:p w14:paraId="6EABD171" w14:textId="7498A5F5" w:rsidR="006A7726" w:rsidRPr="008724E5" w:rsidRDefault="006E2E98" w:rsidP="00824386">
      <w:r w:rsidRPr="008724E5">
        <w:t xml:space="preserve">The following case studies </w:t>
      </w:r>
      <w:r>
        <w:t>provide examples of</w:t>
      </w:r>
      <w:r w:rsidRPr="008724E5">
        <w:t xml:space="preserve"> how </w:t>
      </w:r>
      <w:r w:rsidRPr="00113DCC">
        <w:t>H</w:t>
      </w:r>
      <w:r>
        <w:t>uman Rights Act</w:t>
      </w:r>
      <w:r w:rsidRPr="008724E5">
        <w:t>s have helped protect rights during COVID-19.</w:t>
      </w:r>
    </w:p>
    <w:tbl>
      <w:tblPr>
        <w:tblStyle w:val="TabellaGrigia"/>
        <w:tblW w:w="0" w:type="auto"/>
        <w:tblLook w:val="04A0" w:firstRow="1" w:lastRow="0" w:firstColumn="1" w:lastColumn="0" w:noHBand="0" w:noVBand="1"/>
      </w:tblPr>
      <w:tblGrid>
        <w:gridCol w:w="9070"/>
      </w:tblGrid>
      <w:tr w:rsidR="006E2E98" w:rsidRPr="00811803" w14:paraId="136069EF" w14:textId="77777777" w:rsidTr="006943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1" w:type="dxa"/>
          </w:tcPr>
          <w:p w14:paraId="24BE3A19" w14:textId="77777777" w:rsidR="006E2E98" w:rsidRDefault="006E2E98" w:rsidP="00AD1394">
            <w:pPr>
              <w:pStyle w:val="Titolo5"/>
            </w:pPr>
            <w:r>
              <w:t>UK: Protecting the rights of those in care facilities</w:t>
            </w:r>
          </w:p>
          <w:p w14:paraId="30C78648" w14:textId="29F28237" w:rsidR="006E2E98" w:rsidRPr="00323CF6" w:rsidRDefault="006E2E98">
            <w:pPr>
              <w:rPr>
                <w:rFonts w:cs="Open Sans"/>
              </w:rPr>
            </w:pPr>
            <w:r w:rsidRPr="00323CF6">
              <w:rPr>
                <w:rFonts w:cs="Open Sans"/>
              </w:rPr>
              <w:t>Edna is 83 and lives in residential care, her daughter Emily visits most days after</w:t>
            </w:r>
            <w:r>
              <w:rPr>
                <w:rFonts w:cs="Open Sans"/>
              </w:rPr>
              <w:t xml:space="preserve"> </w:t>
            </w:r>
            <w:r w:rsidRPr="00323CF6">
              <w:rPr>
                <w:rFonts w:cs="Open Sans"/>
              </w:rPr>
              <w:t>work. Following a C</w:t>
            </w:r>
            <w:r>
              <w:rPr>
                <w:rFonts w:cs="Open Sans"/>
              </w:rPr>
              <w:t>OVID-</w:t>
            </w:r>
            <w:r w:rsidRPr="00323CF6">
              <w:rPr>
                <w:rFonts w:cs="Open Sans"/>
              </w:rPr>
              <w:t>19 outbreak</w:t>
            </w:r>
            <w:r>
              <w:rPr>
                <w:rFonts w:cs="Open Sans"/>
              </w:rPr>
              <w:t>,</w:t>
            </w:r>
            <w:r w:rsidRPr="00323CF6">
              <w:rPr>
                <w:rFonts w:cs="Open Sans"/>
              </w:rPr>
              <w:t xml:space="preserve"> the home put a </w:t>
            </w:r>
            <w:r>
              <w:rPr>
                <w:rFonts w:cs="Open Sans"/>
              </w:rPr>
              <w:t>‘</w:t>
            </w:r>
            <w:r w:rsidRPr="00323CF6">
              <w:rPr>
                <w:rFonts w:cs="Open Sans"/>
              </w:rPr>
              <w:t>no visiting</w:t>
            </w:r>
            <w:r>
              <w:rPr>
                <w:rFonts w:cs="Open Sans"/>
              </w:rPr>
              <w:t>’</w:t>
            </w:r>
            <w:r w:rsidRPr="00323CF6">
              <w:rPr>
                <w:rFonts w:cs="Open Sans"/>
              </w:rPr>
              <w:t xml:space="preserve"> policy in place. It has</w:t>
            </w:r>
            <w:r>
              <w:rPr>
                <w:rFonts w:cs="Open Sans"/>
              </w:rPr>
              <w:t xml:space="preserve"> </w:t>
            </w:r>
            <w:r w:rsidRPr="00323CF6">
              <w:rPr>
                <w:rFonts w:cs="Open Sans"/>
              </w:rPr>
              <w:t>now been 34 days, and Edna is isolated and lonely, missing Emily hugely. Emily had</w:t>
            </w:r>
            <w:r>
              <w:rPr>
                <w:rFonts w:cs="Open Sans"/>
              </w:rPr>
              <w:t xml:space="preserve"> </w:t>
            </w:r>
            <w:r w:rsidRPr="00323CF6">
              <w:rPr>
                <w:rFonts w:cs="Open Sans"/>
              </w:rPr>
              <w:t xml:space="preserve">accessed some support on the </w:t>
            </w:r>
            <w:r w:rsidRPr="00113DCC">
              <w:t>H</w:t>
            </w:r>
            <w:r>
              <w:t>uman Rights Act</w:t>
            </w:r>
            <w:r w:rsidRPr="00323CF6">
              <w:rPr>
                <w:rFonts w:cs="Open Sans"/>
              </w:rPr>
              <w:t xml:space="preserve"> and speaks to the care home manager about</w:t>
            </w:r>
            <w:r>
              <w:rPr>
                <w:rFonts w:cs="Open Sans"/>
              </w:rPr>
              <w:t xml:space="preserve"> </w:t>
            </w:r>
            <w:r w:rsidRPr="00323CF6">
              <w:rPr>
                <w:rFonts w:cs="Open Sans"/>
              </w:rPr>
              <w:t>her m</w:t>
            </w:r>
            <w:r>
              <w:rPr>
                <w:rFonts w:cs="Open Sans"/>
              </w:rPr>
              <w:t>other</w:t>
            </w:r>
            <w:r w:rsidRPr="00323CF6">
              <w:rPr>
                <w:rFonts w:cs="Open Sans"/>
              </w:rPr>
              <w:t>’s right to priva</w:t>
            </w:r>
            <w:r>
              <w:rPr>
                <w:rFonts w:cs="Open Sans"/>
              </w:rPr>
              <w:t xml:space="preserve">cy, </w:t>
            </w:r>
            <w:r w:rsidRPr="00323CF6">
              <w:rPr>
                <w:rFonts w:cs="Open Sans"/>
              </w:rPr>
              <w:t xml:space="preserve">family life, </w:t>
            </w:r>
            <w:proofErr w:type="gramStart"/>
            <w:r w:rsidRPr="00323CF6">
              <w:rPr>
                <w:rFonts w:cs="Open Sans"/>
              </w:rPr>
              <w:t>home</w:t>
            </w:r>
            <w:proofErr w:type="gramEnd"/>
            <w:r w:rsidRPr="00323CF6">
              <w:rPr>
                <w:rFonts w:cs="Open Sans"/>
              </w:rPr>
              <w:t xml:space="preserve"> and correspondence, w</w:t>
            </w:r>
            <w:r>
              <w:rPr>
                <w:rFonts w:cs="Open Sans"/>
              </w:rPr>
              <w:t>hich</w:t>
            </w:r>
            <w:r w:rsidRPr="00323CF6">
              <w:rPr>
                <w:rFonts w:cs="Open Sans"/>
              </w:rPr>
              <w:t xml:space="preserve"> the home is</w:t>
            </w:r>
            <w:r>
              <w:rPr>
                <w:rFonts w:cs="Open Sans"/>
              </w:rPr>
              <w:t xml:space="preserve"> </w:t>
            </w:r>
            <w:r w:rsidRPr="00323CF6">
              <w:rPr>
                <w:rFonts w:cs="Open Sans"/>
              </w:rPr>
              <w:t>legally obliged to respect</w:t>
            </w:r>
            <w:r>
              <w:rPr>
                <w:rFonts w:cs="Open Sans"/>
              </w:rPr>
              <w:t xml:space="preserve">. </w:t>
            </w:r>
            <w:r w:rsidRPr="00323CF6">
              <w:rPr>
                <w:rFonts w:cs="Open Sans"/>
              </w:rPr>
              <w:t xml:space="preserve">Emily discusses how this right includes mental and physical wellbeing, </w:t>
            </w:r>
            <w:proofErr w:type="gramStart"/>
            <w:r w:rsidRPr="00323CF6">
              <w:rPr>
                <w:rFonts w:cs="Open Sans"/>
              </w:rPr>
              <w:t>family</w:t>
            </w:r>
            <w:proofErr w:type="gramEnd"/>
            <w:r w:rsidRPr="00323CF6">
              <w:rPr>
                <w:rFonts w:cs="Open Sans"/>
              </w:rPr>
              <w:t xml:space="preserve"> and other relationships, and whil</w:t>
            </w:r>
            <w:r>
              <w:rPr>
                <w:rFonts w:cs="Open Sans"/>
              </w:rPr>
              <w:t>e</w:t>
            </w:r>
            <w:r w:rsidRPr="00323CF6">
              <w:rPr>
                <w:rFonts w:cs="Open Sans"/>
              </w:rPr>
              <w:t xml:space="preserve"> it can be</w:t>
            </w:r>
            <w:r>
              <w:rPr>
                <w:rFonts w:cs="Open Sans"/>
              </w:rPr>
              <w:t xml:space="preserve"> </w:t>
            </w:r>
            <w:r w:rsidRPr="00323CF6">
              <w:rPr>
                <w:rFonts w:cs="Open Sans"/>
              </w:rPr>
              <w:t>restricted to protect her mum and/or others from harm, this needs to be proportionate.</w:t>
            </w:r>
          </w:p>
          <w:p w14:paraId="717750A5" w14:textId="77777777" w:rsidR="006E2E98" w:rsidRPr="00323CF6" w:rsidRDefault="006E2E98">
            <w:pPr>
              <w:rPr>
                <w:rFonts w:cs="Open Sans"/>
              </w:rPr>
            </w:pPr>
            <w:r w:rsidRPr="00323CF6">
              <w:rPr>
                <w:rFonts w:cs="Open Sans"/>
              </w:rPr>
              <w:t>With no consideration of Edna’s ability to keep in touch with Emily, the manager</w:t>
            </w:r>
            <w:r>
              <w:rPr>
                <w:rFonts w:cs="Open Sans"/>
              </w:rPr>
              <w:t xml:space="preserve"> </w:t>
            </w:r>
            <w:r w:rsidRPr="00323CF6">
              <w:rPr>
                <w:rFonts w:cs="Open Sans"/>
              </w:rPr>
              <w:t>recognises that a blanket ban on visiting is not the least restrictive option. Knowing</w:t>
            </w:r>
            <w:r>
              <w:rPr>
                <w:rFonts w:cs="Open Sans"/>
              </w:rPr>
              <w:t xml:space="preserve"> </w:t>
            </w:r>
            <w:r w:rsidRPr="00323CF6">
              <w:rPr>
                <w:rFonts w:cs="Open Sans"/>
              </w:rPr>
              <w:t>that they have legal duties</w:t>
            </w:r>
            <w:r>
              <w:rPr>
                <w:rFonts w:cs="Open Sans"/>
              </w:rPr>
              <w:t xml:space="preserve"> to act in accordance with human rights,</w:t>
            </w:r>
            <w:r w:rsidRPr="00EF6C09">
              <w:rPr>
                <w:rStyle w:val="Rimandonotadichiusura"/>
              </w:rPr>
              <w:endnoteReference w:id="34"/>
            </w:r>
            <w:r w:rsidRPr="00323CF6">
              <w:rPr>
                <w:rFonts w:cs="Open Sans"/>
              </w:rPr>
              <w:t xml:space="preserve"> a meeting is called to agree</w:t>
            </w:r>
            <w:r>
              <w:rPr>
                <w:rFonts w:cs="Open Sans"/>
              </w:rPr>
              <w:t xml:space="preserve"> </w:t>
            </w:r>
            <w:r w:rsidRPr="00323CF6">
              <w:rPr>
                <w:rFonts w:cs="Open Sans"/>
              </w:rPr>
              <w:t>what alternatives can be put in place whilst they deal with the current outbreak. After the meeting, staff put in place several measures which</w:t>
            </w:r>
            <w:r>
              <w:rPr>
                <w:rFonts w:cs="Open Sans"/>
              </w:rPr>
              <w:t xml:space="preserve"> </w:t>
            </w:r>
            <w:r w:rsidRPr="00323CF6">
              <w:rPr>
                <w:rFonts w:cs="Open Sans"/>
              </w:rPr>
              <w:t>are less restrictive to support people’s mental and physical wellbeing whil</w:t>
            </w:r>
            <w:r>
              <w:rPr>
                <w:rFonts w:cs="Open Sans"/>
              </w:rPr>
              <w:t xml:space="preserve">e </w:t>
            </w:r>
            <w:r w:rsidRPr="00323CF6">
              <w:rPr>
                <w:rFonts w:cs="Open Sans"/>
              </w:rPr>
              <w:t>still</w:t>
            </w:r>
            <w:r>
              <w:rPr>
                <w:rFonts w:cs="Open Sans"/>
              </w:rPr>
              <w:t xml:space="preserve"> </w:t>
            </w:r>
            <w:r w:rsidRPr="00323CF6">
              <w:rPr>
                <w:rFonts w:cs="Open Sans"/>
              </w:rPr>
              <w:t>protecting the right to life</w:t>
            </w:r>
            <w:r>
              <w:rPr>
                <w:rFonts w:cs="Open Sans"/>
              </w:rPr>
              <w:t>.</w:t>
            </w:r>
          </w:p>
          <w:p w14:paraId="095DB7A4" w14:textId="023B55EB" w:rsidR="006E2E98" w:rsidRPr="00B63111" w:rsidRDefault="006E2E98">
            <w:pPr>
              <w:rPr>
                <w:rFonts w:cs="Open Sans"/>
              </w:rPr>
            </w:pPr>
            <w:r w:rsidRPr="00323CF6">
              <w:rPr>
                <w:rFonts w:cs="Open Sans"/>
              </w:rPr>
              <w:t>The measures vary</w:t>
            </w:r>
            <w:r>
              <w:rPr>
                <w:rFonts w:cs="Open Sans"/>
              </w:rPr>
              <w:t>,</w:t>
            </w:r>
            <w:r w:rsidRPr="00323CF6">
              <w:rPr>
                <w:rFonts w:cs="Open Sans"/>
              </w:rPr>
              <w:t xml:space="preserve"> as staff know the same measure will not work for</w:t>
            </w:r>
            <w:r>
              <w:rPr>
                <w:rFonts w:cs="Open Sans"/>
              </w:rPr>
              <w:t xml:space="preserve"> </w:t>
            </w:r>
            <w:r w:rsidRPr="00323CF6">
              <w:rPr>
                <w:rFonts w:cs="Open Sans"/>
              </w:rPr>
              <w:t>everyone but include video calls, PPE provision for visitors of those for whom video</w:t>
            </w:r>
            <w:r>
              <w:rPr>
                <w:rFonts w:cs="Open Sans"/>
              </w:rPr>
              <w:t xml:space="preserve"> </w:t>
            </w:r>
            <w:r w:rsidRPr="00323CF6">
              <w:rPr>
                <w:rFonts w:cs="Open Sans"/>
              </w:rPr>
              <w:t>calls not possible, a gazebo in the garden and a floor-to-ceiling screen. Some</w:t>
            </w:r>
            <w:r>
              <w:rPr>
                <w:rFonts w:cs="Open Sans"/>
              </w:rPr>
              <w:t xml:space="preserve"> </w:t>
            </w:r>
            <w:r w:rsidRPr="00323CF6">
              <w:rPr>
                <w:rFonts w:cs="Open Sans"/>
              </w:rPr>
              <w:t>restrictions are still needed</w:t>
            </w:r>
            <w:r>
              <w:rPr>
                <w:rFonts w:cs="Open Sans"/>
              </w:rPr>
              <w:t>,</w:t>
            </w:r>
            <w:r w:rsidRPr="00323CF6">
              <w:rPr>
                <w:rFonts w:cs="Open Sans"/>
              </w:rPr>
              <w:t xml:space="preserve"> but applying the </w:t>
            </w:r>
            <w:r w:rsidRPr="00113DCC">
              <w:t>H</w:t>
            </w:r>
            <w:r>
              <w:t>uman Rights Act</w:t>
            </w:r>
            <w:r w:rsidRPr="00323CF6">
              <w:rPr>
                <w:rFonts w:cs="Open Sans"/>
              </w:rPr>
              <w:t xml:space="preserve"> in practice has ensured this is</w:t>
            </w:r>
            <w:r>
              <w:rPr>
                <w:rFonts w:cs="Open Sans"/>
              </w:rPr>
              <w:t xml:space="preserve"> </w:t>
            </w:r>
            <w:r w:rsidRPr="00323CF6">
              <w:rPr>
                <w:rFonts w:cs="Open Sans"/>
              </w:rPr>
              <w:t>based on each individual and is more proportionate. Emily now visits her mum every</w:t>
            </w:r>
            <w:r>
              <w:rPr>
                <w:rFonts w:cs="Open Sans"/>
              </w:rPr>
              <w:t xml:space="preserve"> </w:t>
            </w:r>
            <w:r w:rsidRPr="00323CF6">
              <w:rPr>
                <w:rFonts w:cs="Open Sans"/>
              </w:rPr>
              <w:t xml:space="preserve">Sunday, wearing full PPE, until the outbreak is contained. The </w:t>
            </w:r>
            <w:r w:rsidRPr="00113DCC">
              <w:t>H</w:t>
            </w:r>
            <w:r>
              <w:t>uman Rights Act</w:t>
            </w:r>
            <w:r w:rsidRPr="00323CF6">
              <w:rPr>
                <w:rFonts w:cs="Open Sans"/>
              </w:rPr>
              <w:t xml:space="preserve"> helped keep a</w:t>
            </w:r>
            <w:r>
              <w:rPr>
                <w:rFonts w:cs="Open Sans"/>
              </w:rPr>
              <w:t xml:space="preserve"> </w:t>
            </w:r>
            <w:r w:rsidRPr="00323CF6">
              <w:rPr>
                <w:rFonts w:cs="Open Sans"/>
              </w:rPr>
              <w:t>family together at a time when the</w:t>
            </w:r>
            <w:r>
              <w:rPr>
                <w:rFonts w:cs="Open Sans"/>
              </w:rPr>
              <w:t>y</w:t>
            </w:r>
            <w:r w:rsidRPr="00323CF6">
              <w:rPr>
                <w:rFonts w:cs="Open Sans"/>
              </w:rPr>
              <w:t xml:space="preserve"> need </w:t>
            </w:r>
            <w:r w:rsidRPr="00B63111">
              <w:rPr>
                <w:rFonts w:cs="Open Sans"/>
              </w:rPr>
              <w:t>each other the most.</w:t>
            </w:r>
          </w:p>
          <w:p w14:paraId="6B5ABF0E" w14:textId="38254F92" w:rsidR="006E2E98" w:rsidRPr="000A692B" w:rsidRDefault="006E2E98" w:rsidP="00AD1394">
            <w:pPr>
              <w:pStyle w:val="Didascalia"/>
            </w:pPr>
            <w:r>
              <w:t>Sourced</w:t>
            </w:r>
            <w:r w:rsidRPr="00B63111">
              <w:t xml:space="preserve"> from British Institute of Human Rights.</w:t>
            </w:r>
            <w:r w:rsidRPr="00AD1394">
              <w:rPr>
                <w:rStyle w:val="Rimandonotadichiusura"/>
              </w:rPr>
              <w:endnoteReference w:id="35"/>
            </w:r>
          </w:p>
        </w:tc>
      </w:tr>
    </w:tbl>
    <w:p w14:paraId="74CCB463" w14:textId="233E32DA" w:rsidR="00782F2F" w:rsidRDefault="00782F2F" w:rsidP="000768D5"/>
    <w:p w14:paraId="09808A16" w14:textId="20AA62BB" w:rsidR="006E2E98" w:rsidRPr="000768D5" w:rsidRDefault="00782F2F" w:rsidP="00782F2F">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3F79BFD9" w14:textId="77777777" w:rsidTr="000768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35AB8B4D" w14:textId="77777777" w:rsidR="006E2E98" w:rsidRPr="008B251C" w:rsidRDefault="006E2E98" w:rsidP="008B251C">
            <w:pPr>
              <w:rPr>
                <w:rStyle w:val="Enfasigrassetto"/>
              </w:rPr>
            </w:pPr>
            <w:r w:rsidRPr="008B251C">
              <w:rPr>
                <w:rStyle w:val="Enfasigrassetto"/>
              </w:rPr>
              <w:lastRenderedPageBreak/>
              <w:t>Victoria: Accountability for public housing lockdown</w:t>
            </w:r>
          </w:p>
          <w:p w14:paraId="110BCFEF" w14:textId="439A51FC" w:rsidR="006E2E98" w:rsidRPr="00E74F08" w:rsidRDefault="006E2E98">
            <w:pPr>
              <w:rPr>
                <w:rFonts w:cs="Open Sans"/>
              </w:rPr>
            </w:pPr>
            <w:r w:rsidRPr="00E74F08">
              <w:rPr>
                <w:rFonts w:cs="Open Sans"/>
              </w:rPr>
              <w:t>In 2020, after COVID-19 cases began emerging in nine high-rise public housing towers in inner north Melbourne, the Victorian Government imposed, without notice to residents, an extremely hard lockdown, detaining around 3,000 people in nine public housing towers. Restrictions were eased in several days for most of the towers, however, 400 people in one tower remained in hard lockdown for two weeks in total, unable to attend work, visit the supermarket or, for the most part, access fresh air and outdoor exercise. People subjected to the lockdown complained to the Victorian Ombudsman which investigated whether the lockdown complied with the Victorian Charter.</w:t>
            </w:r>
          </w:p>
          <w:p w14:paraId="0D34B7D4" w14:textId="77777777" w:rsidR="006E2E98" w:rsidRPr="00E74F08" w:rsidRDefault="006E2E98">
            <w:pPr>
              <w:rPr>
                <w:rFonts w:cs="Open Sans"/>
              </w:rPr>
            </w:pPr>
            <w:r w:rsidRPr="00E74F08">
              <w:rPr>
                <w:rFonts w:cs="Open Sans"/>
              </w:rPr>
              <w:t>Despite the obvious risk posed by COVID-19 in high-rise public housing towers, the Victorian Government had not prepared a COVID-19 outbreak management plan for the relevant public housing estates or for high-density public housing more broadly. When cases began emerging, senior health officials were worried about the situation and began discussing using public health powers to put the towers into quarantine with notice to the residents. Following a crisis cabinet meeting, the timeline for the quarantine was brought forward and no notice was proposed. The Deputy Chief Health Officer, who had the power to detain people in quarantine, was given 15 minutes before a press conference to consider the potential human rights impacts and sign the directions imposing the lockdown. The immediacy of the lockdown was not on her advice.</w:t>
            </w:r>
          </w:p>
          <w:p w14:paraId="6BE807A2" w14:textId="4CC2FCE0" w:rsidR="006E2E98" w:rsidRPr="000768D5" w:rsidRDefault="006E2E98" w:rsidP="000768D5">
            <w:pPr>
              <w:rPr>
                <w:rFonts w:cs="Open Sans"/>
              </w:rPr>
            </w:pPr>
            <w:r w:rsidRPr="00E74F08">
              <w:rPr>
                <w:rFonts w:cs="Open Sans"/>
              </w:rPr>
              <w:t>The Victorian Government had no contingency plans for the imposition of a building-wide ‘hard lockdown’ to manage an outbreak of COVID-19 within the Victorian community, let alone one imposed without notice late on a Saturday afternoon. When the lockdown was announced to the media, hundreds of police officers were immediately deployed to the public housing estates and directed people to remain in their homes. Chaos followed. People did not have access to food or medication. Urgent requests for medication were delayed or neglected. Information was confused, incomprehensible, or non-existent, especially for people from culturally diverse backgrounds. People did not know who was in charge. No access to fresh air and outdoor exercise was provided for over a week.</w:t>
            </w:r>
          </w:p>
        </w:tc>
      </w:tr>
    </w:tbl>
    <w:p w14:paraId="3C2E4E15" w14:textId="77777777" w:rsidR="006A7726" w:rsidRDefault="006A7726"/>
    <w:tbl>
      <w:tblPr>
        <w:tblStyle w:val="TabellaGrigia"/>
        <w:tblW w:w="0" w:type="auto"/>
        <w:tblLook w:val="04A0" w:firstRow="1" w:lastRow="0" w:firstColumn="1" w:lastColumn="0" w:noHBand="0" w:noVBand="1"/>
      </w:tblPr>
      <w:tblGrid>
        <w:gridCol w:w="9070"/>
      </w:tblGrid>
      <w:tr w:rsidR="00782F2F" w:rsidRPr="00811803" w14:paraId="263BF0CD" w14:textId="77777777" w:rsidTr="000768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280F092" w14:textId="77777777" w:rsidR="00782F2F" w:rsidRPr="00E74F08" w:rsidRDefault="00782F2F" w:rsidP="00782F2F">
            <w:pPr>
              <w:rPr>
                <w:rFonts w:cs="Open Sans"/>
              </w:rPr>
            </w:pPr>
            <w:r w:rsidRPr="00E74F08">
              <w:rPr>
                <w:rFonts w:cs="Open Sans"/>
              </w:rPr>
              <w:lastRenderedPageBreak/>
              <w:t xml:space="preserve">The Ombudsman concluded that while swift action to address the public health risk in the towers was necessary, the immediacy of the lockdown was not justified, was not based on the advice of public health </w:t>
            </w:r>
            <w:proofErr w:type="gramStart"/>
            <w:r w:rsidRPr="00E74F08">
              <w:rPr>
                <w:rFonts w:cs="Open Sans"/>
              </w:rPr>
              <w:t>officials</w:t>
            </w:r>
            <w:proofErr w:type="gramEnd"/>
            <w:r w:rsidRPr="00E74F08">
              <w:rPr>
                <w:rFonts w:cs="Open Sans"/>
              </w:rPr>
              <w:t xml:space="preserve"> and led to many of the problems in the treatment of the residents. By imposing the lockdown without notice, the Ombudsman concluded that the Victorian Government had breached the residents’ right to humane treatment when deprived of liberty. The Ombudsman stated that proper consideration was not given to the residents’ rights when imposing the restrictions, as required by the Charter.</w:t>
            </w:r>
          </w:p>
          <w:p w14:paraId="079A0C73" w14:textId="77777777" w:rsidR="00782F2F" w:rsidRPr="00E74F08" w:rsidRDefault="00782F2F" w:rsidP="00782F2F">
            <w:pPr>
              <w:rPr>
                <w:rFonts w:cs="Open Sans"/>
              </w:rPr>
            </w:pPr>
            <w:r w:rsidRPr="00E74F08">
              <w:rPr>
                <w:rFonts w:cs="Open Sans"/>
              </w:rPr>
              <w:t>The Ombudsman made recommendations including that the Victorian Government apologise to the residents and introduce greater detention review safeguards into public health legislation. While the Victorian Government refused to apologise, it did support amendments to public health legislation.</w:t>
            </w:r>
          </w:p>
          <w:p w14:paraId="3BDC5179" w14:textId="77777777" w:rsidR="00782F2F" w:rsidRPr="00E74F08" w:rsidRDefault="00782F2F" w:rsidP="00782F2F">
            <w:pPr>
              <w:rPr>
                <w:rFonts w:cs="Open Sans"/>
              </w:rPr>
            </w:pPr>
            <w:r w:rsidRPr="00E74F08">
              <w:rPr>
                <w:rFonts w:cs="Open Sans"/>
              </w:rPr>
              <w:t>Inner Melbourne Community Legal provided legal support to residents of the towers during the hard lockdown and has monitored Victorian Government responses to subsequent outbreaks in the towers in 2021. It reports that, while the government’s refusal to apologise continues to impede the rebuilding of trust required to respond to the pandemic, and accessible timely communication in community languages remains problematic, there have been significant improvements in the way government has responded to concerns about outbreaks in the last year. Notably, government has favoured a health response driven by community organisations and abandoned the heavy-handed police response that was a feature of the 2020 lockdown.</w:t>
            </w:r>
          </w:p>
          <w:p w14:paraId="72B1B364" w14:textId="0E2E638E" w:rsidR="00782F2F" w:rsidRPr="00782F2F" w:rsidRDefault="00782F2F" w:rsidP="00782F2F">
            <w:pPr>
              <w:pStyle w:val="Didascalia"/>
            </w:pPr>
            <w:r w:rsidRPr="00887F74">
              <w:t>Extracted from Human Rights Law Centre, 101 Charter Cases</w:t>
            </w:r>
            <w:r>
              <w:t>, 2022</w:t>
            </w:r>
            <w:r w:rsidRPr="00887F74">
              <w:t>.</w:t>
            </w:r>
            <w:r w:rsidRPr="00AD1394">
              <w:rPr>
                <w:rStyle w:val="Rimandonotadichiusura"/>
              </w:rPr>
              <w:endnoteReference w:id="36"/>
            </w:r>
          </w:p>
        </w:tc>
      </w:tr>
    </w:tbl>
    <w:p w14:paraId="6E2A4C6F" w14:textId="595705EC" w:rsidR="00782F2F" w:rsidRDefault="00782F2F" w:rsidP="00824386"/>
    <w:p w14:paraId="48EA233F" w14:textId="429863CA" w:rsidR="006E2E98" w:rsidRDefault="00782F2F" w:rsidP="00782F2F">
      <w:pPr>
        <w:keepLines w:val="0"/>
        <w:spacing w:after="0" w:line="240" w:lineRule="auto"/>
      </w:pPr>
      <w:r>
        <w:br w:type="page"/>
      </w:r>
    </w:p>
    <w:tbl>
      <w:tblPr>
        <w:tblStyle w:val="TabellaGrigia"/>
        <w:tblW w:w="0" w:type="auto"/>
        <w:tblLook w:val="04A0" w:firstRow="1" w:lastRow="0" w:firstColumn="1" w:lastColumn="0" w:noHBand="0" w:noVBand="1"/>
      </w:tblPr>
      <w:tblGrid>
        <w:gridCol w:w="9070"/>
      </w:tblGrid>
      <w:tr w:rsidR="006E2E98" w:rsidRPr="00811803" w14:paraId="2F2BE672" w14:textId="77777777" w:rsidTr="005055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0" w:type="dxa"/>
          </w:tcPr>
          <w:p w14:paraId="67C32499" w14:textId="77777777" w:rsidR="006E2E98" w:rsidRDefault="006E2E98" w:rsidP="00AD1394">
            <w:pPr>
              <w:pStyle w:val="Titolo5"/>
            </w:pPr>
            <w:r>
              <w:lastRenderedPageBreak/>
              <w:t>Queensland: Quarantine exemption for woman with disability</w:t>
            </w:r>
          </w:p>
          <w:p w14:paraId="445FFF89" w14:textId="69F6AE01" w:rsidR="006E2E98" w:rsidRPr="000A7E61" w:rsidRDefault="006E2E98">
            <w:pPr>
              <w:rPr>
                <w:rFonts w:cs="Open Sans"/>
              </w:rPr>
            </w:pPr>
            <w:r w:rsidRPr="000A7E61">
              <w:rPr>
                <w:rFonts w:cs="Open Sans"/>
              </w:rPr>
              <w:t>A woman planned to visit Queensland from interstate to pick up her assistance dog, with her mother and her carer, during a period of COVID-19 border restrictions. She was granted an exemption to enter Queensland where she agreed to isolate for 14</w:t>
            </w:r>
            <w:r w:rsidR="00036569">
              <w:rPr>
                <w:rFonts w:cs="Open Sans"/>
              </w:rPr>
              <w:t> </w:t>
            </w:r>
            <w:r w:rsidRPr="000A7E61">
              <w:rPr>
                <w:rFonts w:cs="Open Sans"/>
              </w:rPr>
              <w:t>days and then spend a week receiving placement of the dog. However, when they tried to arrange for accessible quarantine accommodation, they were told the woman’s needs could not be met and her exemption approval was withdrawn. The assistance dog had been trained specifically for the woman’s needs at substantial cost and they were concerned that she would lose the dog allocated to her if she was unable to visit Queensland.</w:t>
            </w:r>
          </w:p>
          <w:p w14:paraId="31DB1193" w14:textId="77777777" w:rsidR="006E2E98" w:rsidRPr="000A7E61" w:rsidRDefault="006E2E98">
            <w:pPr>
              <w:rPr>
                <w:rFonts w:cs="Open Sans"/>
              </w:rPr>
            </w:pPr>
            <w:r w:rsidRPr="000A7E61">
              <w:rPr>
                <w:rFonts w:cs="Open Sans"/>
              </w:rPr>
              <w:t xml:space="preserve">The complainant chose to have this matter dealt with under the Queensland Human Rights Act. Through early intervention, the complaint was successfully resolved for the woman. Her exemption application to enter Queensland was re-approved. Queensland Health organised suitable accommodation for her, her </w:t>
            </w:r>
            <w:proofErr w:type="gramStart"/>
            <w:r w:rsidRPr="000A7E61">
              <w:rPr>
                <w:rFonts w:cs="Open Sans"/>
              </w:rPr>
              <w:t>mother</w:t>
            </w:r>
            <w:proofErr w:type="gramEnd"/>
            <w:r w:rsidRPr="000A7E61">
              <w:rPr>
                <w:rFonts w:cs="Open Sans"/>
              </w:rPr>
              <w:t xml:space="preserve"> and her carer to complete 14-day hotel quarantine.</w:t>
            </w:r>
          </w:p>
          <w:p w14:paraId="3C3DEFF9" w14:textId="77777777" w:rsidR="006E2E98" w:rsidRPr="00887F74" w:rsidRDefault="006E2E98" w:rsidP="00C91462">
            <w:pPr>
              <w:pStyle w:val="Didascalia"/>
            </w:pPr>
            <w:r w:rsidRPr="00887F74">
              <w:t>Extracted from Human Rights Law Centre, 101 Charter Cases</w:t>
            </w:r>
            <w:r>
              <w:t>, 2022</w:t>
            </w:r>
            <w:r w:rsidRPr="00887F74">
              <w:t>.</w:t>
            </w:r>
            <w:r w:rsidRPr="00505563">
              <w:rPr>
                <w:rStyle w:val="Rimandonotadichiusura"/>
              </w:rPr>
              <w:endnoteReference w:id="37"/>
            </w:r>
          </w:p>
        </w:tc>
      </w:tr>
    </w:tbl>
    <w:p w14:paraId="1D9FF3E8" w14:textId="75F8A57B" w:rsidR="00C91462" w:rsidRDefault="00C91462" w:rsidP="00C91462"/>
    <w:p w14:paraId="4E65227A" w14:textId="77777777" w:rsidR="00A50AF4" w:rsidRDefault="00A50AF4">
      <w:pPr>
        <w:keepLines w:val="0"/>
        <w:spacing w:after="0" w:line="240" w:lineRule="auto"/>
      </w:pPr>
    </w:p>
    <w:p w14:paraId="5BD422A0" w14:textId="3EA6EDAB" w:rsidR="00177466" w:rsidRDefault="00782F2F">
      <w:pPr>
        <w:keepLines w:val="0"/>
        <w:spacing w:after="0" w:line="240" w:lineRule="auto"/>
      </w:pPr>
      <w:r>
        <w:br w:type="page"/>
      </w:r>
    </w:p>
    <w:p w14:paraId="2713618D" w14:textId="2B12D9C4" w:rsidR="00782F2F" w:rsidRDefault="00782F2F">
      <w:pPr>
        <w:keepLines w:val="0"/>
        <w:spacing w:after="0" w:line="240" w:lineRule="auto"/>
        <w:sectPr w:rsidR="00782F2F" w:rsidSect="00DE5D9A">
          <w:footerReference w:type="even" r:id="rId27"/>
          <w:footerReference w:type="default" r:id="rId28"/>
          <w:footerReference w:type="first" r:id="rId29"/>
          <w:endnotePr>
            <w:numFmt w:val="decimal"/>
            <w:numRestart w:val="eachSect"/>
          </w:endnotePr>
          <w:pgSz w:w="11906" w:h="16838" w:code="9"/>
          <w:pgMar w:top="1418" w:right="1418" w:bottom="1418" w:left="1418" w:header="851" w:footer="567" w:gutter="0"/>
          <w:cols w:space="708"/>
          <w:docGrid w:linePitch="360"/>
        </w:sectPr>
      </w:pPr>
      <w:r w:rsidRPr="00782F2F">
        <w:rPr>
          <w:rStyle w:val="Enfasigrassetto"/>
        </w:rPr>
        <w:lastRenderedPageBreak/>
        <w:t xml:space="preserve">Chapter </w:t>
      </w:r>
      <w:r>
        <w:rPr>
          <w:rStyle w:val="Enfasigrassetto"/>
        </w:rPr>
        <w:t>1</w:t>
      </w:r>
      <w:r w:rsidRPr="00782F2F">
        <w:rPr>
          <w:rStyle w:val="Enfasigrassetto"/>
        </w:rPr>
        <w:t>: Endnote</w:t>
      </w:r>
    </w:p>
    <w:p w14:paraId="4DB00F01" w14:textId="77777777" w:rsidR="00AD40BD" w:rsidRPr="001034B9" w:rsidRDefault="00AD40BD" w:rsidP="001034B9"/>
    <w:sectPr w:rsidR="00AD40BD" w:rsidRPr="001034B9" w:rsidSect="00F545B1">
      <w:endnotePr>
        <w:numFmt w:val="decimal"/>
        <w:numRestart w:val="eachSect"/>
      </w:endnotePr>
      <w:pgSz w:w="11906" w:h="16838" w:code="9"/>
      <w:pgMar w:top="1418" w:right="1418" w:bottom="1418"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9324E" w14:textId="77777777" w:rsidR="00A55B0B" w:rsidRDefault="00A55B0B" w:rsidP="00F14C6D">
      <w:r>
        <w:separator/>
      </w:r>
    </w:p>
  </w:endnote>
  <w:endnote w:type="continuationSeparator" w:id="0">
    <w:p w14:paraId="0E895A9E" w14:textId="77777777" w:rsidR="00A55B0B" w:rsidRDefault="00A55B0B" w:rsidP="00F14C6D">
      <w:r>
        <w:continuationSeparator/>
      </w:r>
    </w:p>
  </w:endnote>
  <w:endnote w:type="continuationNotice" w:id="1">
    <w:p w14:paraId="579DEE23" w14:textId="77777777" w:rsidR="00A55B0B" w:rsidRDefault="00A55B0B">
      <w:pPr>
        <w:spacing w:after="0"/>
      </w:pPr>
    </w:p>
  </w:endnote>
  <w:endnote w:id="2">
    <w:p w14:paraId="2E4247F3" w14:textId="39856A07" w:rsidR="006E2E98" w:rsidRDefault="006E2E98" w:rsidP="0A47D3D2">
      <w:pPr>
        <w:pStyle w:val="Testonotadichiusura"/>
        <w:rPr>
          <w:highlight w:val="yellow"/>
          <w:lang w:val="en-US"/>
        </w:rPr>
      </w:pPr>
      <w:r w:rsidRPr="00A50AF4">
        <w:rPr>
          <w:rStyle w:val="Rimandonotadichiusura"/>
        </w:rPr>
        <w:endnoteRef/>
      </w:r>
      <w:r>
        <w:t xml:space="preserve"> </w:t>
      </w:r>
      <w:r w:rsidR="00A50AF4">
        <w:tab/>
      </w:r>
      <w:r>
        <w:t xml:space="preserve">Australian Human Rights Commission, </w:t>
      </w:r>
      <w:r w:rsidRPr="00861DD3">
        <w:rPr>
          <w:rStyle w:val="Enfasicorsivo"/>
        </w:rPr>
        <w:t xml:space="preserve">Free and Equal: Issues Paper </w:t>
      </w:r>
      <w:r>
        <w:t>(April 2019) &lt;</w:t>
      </w:r>
      <w:hyperlink r:id="rId1">
        <w:r w:rsidRPr="0A47D3D2">
          <w:rPr>
            <w:rStyle w:val="Collegamentoipertestuale"/>
            <w:lang w:val="en-US"/>
          </w:rPr>
          <w:t>https://humanrights.gov.au/sites/default/files/document/publication/ahrc_free_equal_issues_paper_2019_final.pdf</w:t>
        </w:r>
      </w:hyperlink>
      <w:r w:rsidRPr="0A47D3D2">
        <w:rPr>
          <w:lang w:val="en-US"/>
        </w:rPr>
        <w:t>&gt;.</w:t>
      </w:r>
    </w:p>
  </w:endnote>
  <w:endnote w:id="3">
    <w:p w14:paraId="34ABD8EF" w14:textId="4895E52A" w:rsidR="006E2E98" w:rsidRDefault="006E2E98" w:rsidP="0A47D3D2">
      <w:pPr>
        <w:pStyle w:val="Testonotadichiusura"/>
      </w:pPr>
      <w:r w:rsidRPr="00A50AF4">
        <w:rPr>
          <w:rStyle w:val="Rimandonotadichiusura"/>
        </w:rPr>
        <w:endnoteRef/>
      </w:r>
      <w:r>
        <w:t xml:space="preserve"> </w:t>
      </w:r>
      <w:r w:rsidR="00A50AF4">
        <w:tab/>
      </w:r>
      <w:r>
        <w:t xml:space="preserve">Australian Human Rights Commission, </w:t>
      </w:r>
      <w:r w:rsidRPr="00861DD3">
        <w:rPr>
          <w:rStyle w:val="Enfasicorsivo"/>
        </w:rPr>
        <w:t xml:space="preserve">Discussion Paper: Priorities for federal discrimination law reform </w:t>
      </w:r>
      <w:r>
        <w:t>(August 2019) &lt;</w:t>
      </w:r>
      <w:hyperlink r:id="rId2">
        <w:r w:rsidRPr="0A47D3D2">
          <w:rPr>
            <w:rStyle w:val="Collegamentoipertestuale"/>
          </w:rPr>
          <w:t>https://humanrights.gov.au/our-work/rights-and-freedoms/publications/discussion-paper-priorities-federal-discrimination-law</w:t>
        </w:r>
      </w:hyperlink>
      <w:r w:rsidRPr="0A47D3D2">
        <w:rPr>
          <w:rStyle w:val="Collegamentoipertestuale"/>
        </w:rPr>
        <w:t>&gt;</w:t>
      </w:r>
      <w:r>
        <w:t xml:space="preserve">; Australian Human Rights Commission, </w:t>
      </w:r>
      <w:r w:rsidRPr="00861DD3">
        <w:rPr>
          <w:rStyle w:val="Enfasicorsivo"/>
        </w:rPr>
        <w:t>Discussion paper: A</w:t>
      </w:r>
      <w:r w:rsidR="002E0083">
        <w:rPr>
          <w:rStyle w:val="Enfasicorsivo"/>
        </w:rPr>
        <w:t> </w:t>
      </w:r>
      <w:r w:rsidRPr="00861DD3">
        <w:rPr>
          <w:rStyle w:val="Enfasicorsivo"/>
        </w:rPr>
        <w:t xml:space="preserve">model for positive human rights reform </w:t>
      </w:r>
      <w:r>
        <w:t>(August 2019) &lt;</w:t>
      </w:r>
      <w:hyperlink r:id="rId3" w:history="1">
        <w:r w:rsidRPr="00A50AF4">
          <w:rPr>
            <w:rStyle w:val="Collegamentoipertestuale"/>
          </w:rPr>
          <w:t>https://humanrights.gov.au/our-work/rights-and-freedoms/publications/discussion-paper-model-positive-human-rights-reform-2019</w:t>
        </w:r>
      </w:hyperlink>
      <w:r>
        <w:t>&gt;;</w:t>
      </w:r>
      <w:r w:rsidRPr="008B251C">
        <w:t xml:space="preserve"> </w:t>
      </w:r>
      <w:r>
        <w:t xml:space="preserve">Australian Human Rights Commission, </w:t>
      </w:r>
      <w:r w:rsidRPr="00861DD3">
        <w:rPr>
          <w:rStyle w:val="Enfasicorsivo"/>
        </w:rPr>
        <w:t xml:space="preserve">Discussion paper:  Ensuring effective national accountability for human rights </w:t>
      </w:r>
      <w:r>
        <w:t>(August 2019) &lt;</w:t>
      </w:r>
      <w:hyperlink r:id="rId4" w:history="1">
        <w:r w:rsidRPr="00A50AF4">
          <w:rPr>
            <w:rStyle w:val="Collegamentoipertestuale"/>
          </w:rPr>
          <w:t>https://humanrights.gov.au/sites/default/files/19.10.14_discussion_paper-ensuring_effective_national_accountability_final.pdf</w:t>
        </w:r>
      </w:hyperlink>
      <w:r>
        <w:t>&gt;.</w:t>
      </w:r>
    </w:p>
  </w:endnote>
  <w:endnote w:id="4">
    <w:p w14:paraId="62C684CD" w14:textId="0F1D1F4E" w:rsidR="006E2E98" w:rsidRDefault="006E2E98" w:rsidP="0A47D3D2">
      <w:pPr>
        <w:pStyle w:val="Testonotadichiusura"/>
        <w:rPr>
          <w:lang w:val="en-US"/>
        </w:rPr>
      </w:pPr>
      <w:r w:rsidRPr="00A50AF4">
        <w:rPr>
          <w:rStyle w:val="Rimandonotadichiusura"/>
        </w:rPr>
        <w:endnoteRef/>
      </w:r>
      <w:r>
        <w:t xml:space="preserve"> </w:t>
      </w:r>
      <w:r w:rsidR="00A50AF4">
        <w:tab/>
      </w:r>
      <w:r>
        <w:t xml:space="preserve">‘Free and Equal Conference’, </w:t>
      </w:r>
      <w:r w:rsidRPr="00861DD3">
        <w:rPr>
          <w:rStyle w:val="Enfasicorsivo"/>
        </w:rPr>
        <w:t xml:space="preserve">Australian Human Rights Commission </w:t>
      </w:r>
      <w:r>
        <w:t>(Web Page, 2019) &lt;</w:t>
      </w:r>
      <w:hyperlink r:id="rId5" w:anchor=":~:text=The%20Free%20and%20Equal%20conference,rights%20into%20the%2021st%20Century" w:history="1">
        <w:r w:rsidRPr="00A50AF4">
          <w:rPr>
            <w:rStyle w:val="Collegamentoipertestuale"/>
          </w:rPr>
          <w:t>https://humanrights.gov.au/free-and-equal-conference#:~:text=The%20Free%20and%20Equal%20conference,rights%20into%20the%2021st%20Century</w:t>
        </w:r>
      </w:hyperlink>
      <w:r>
        <w:t>&gt;.</w:t>
      </w:r>
    </w:p>
  </w:endnote>
  <w:endnote w:id="5">
    <w:p w14:paraId="10D58064" w14:textId="261C624F" w:rsidR="006E2E98" w:rsidRDefault="006E2E98" w:rsidP="0A47D3D2">
      <w:pPr>
        <w:pStyle w:val="Testonotadichiusura"/>
      </w:pPr>
      <w:r w:rsidRPr="00A50AF4">
        <w:rPr>
          <w:rStyle w:val="Rimandonotadichiusura"/>
        </w:rPr>
        <w:endnoteRef/>
      </w:r>
      <w:r>
        <w:t xml:space="preserve"> </w:t>
      </w:r>
      <w:r w:rsidR="00A50AF4">
        <w:tab/>
      </w:r>
      <w:r>
        <w:t xml:space="preserve">Roundtables: with the United Nations High Commissioner for Human Rights, Dr Michelle Bachelet and Professor Manfred Nowak; </w:t>
      </w:r>
      <w:r w:rsidRPr="0A47D3D2">
        <w:rPr>
          <w:lang w:eastAsia="en-GB"/>
        </w:rPr>
        <w:t>Ensuring Effective National Accountability for Human Rights Workshop convened in partnership with the Human Rights Institute at UNSW</w:t>
      </w:r>
      <w:r>
        <w:t xml:space="preserve"> (August 2019); Technical workshop on improving parliamentary scrutiny of human rights, convened in partnership with the Castan Centre for Human Rights at Monash University and the University of Adelaide (May 2021); roundtables on the positive framing of human rights and the key elements of a federal Human Rights Act (April–June 2021).</w:t>
      </w:r>
    </w:p>
  </w:endnote>
  <w:endnote w:id="6">
    <w:p w14:paraId="5CF969DC" w14:textId="29F4400D" w:rsidR="006E2E98" w:rsidRPr="00BE5F64" w:rsidRDefault="006E2E98">
      <w:pPr>
        <w:pStyle w:val="Testonotadichiusura"/>
      </w:pPr>
      <w:r w:rsidRPr="00A50AF4">
        <w:rPr>
          <w:rStyle w:val="Rimandonotadichiusura"/>
        </w:rPr>
        <w:endnoteRef/>
      </w:r>
      <w:r>
        <w:t xml:space="preserve"> </w:t>
      </w:r>
      <w:r w:rsidR="00A50AF4">
        <w:tab/>
      </w:r>
      <w:r w:rsidRPr="006862AC">
        <w:t>Co-regulation refers to the situation where industry develops and administers its own arrangements, but government provides legislative backing to enable the arrangements to be enforced</w:t>
      </w:r>
      <w:r>
        <w:t xml:space="preserve">. See discussion in Australian Human Rights Commission, </w:t>
      </w:r>
      <w:r w:rsidRPr="00861DD3">
        <w:rPr>
          <w:rStyle w:val="Enfasicorsivo"/>
        </w:rPr>
        <w:t xml:space="preserve">Free &amp; Equal: A reform agenda for federal discrimination laws </w:t>
      </w:r>
      <w:r>
        <w:t xml:space="preserve">(December 2021) 99. </w:t>
      </w:r>
    </w:p>
  </w:endnote>
  <w:endnote w:id="7">
    <w:p w14:paraId="4828143B" w14:textId="74C1A676" w:rsidR="006E2E98" w:rsidRPr="001B0012" w:rsidRDefault="006E2E98" w:rsidP="00600885">
      <w:pPr>
        <w:pStyle w:val="Testonotadichiusura"/>
      </w:pPr>
      <w:r w:rsidRPr="00A50AF4">
        <w:rPr>
          <w:rStyle w:val="Rimandonotadichiusura"/>
        </w:rPr>
        <w:endnoteRef/>
      </w:r>
      <w:r w:rsidRPr="001B0012">
        <w:t xml:space="preserve"> </w:t>
      </w:r>
      <w:r>
        <w:tab/>
      </w:r>
      <w:r w:rsidRPr="001B0012">
        <w:t xml:space="preserve">Frank Brennan et al, </w:t>
      </w:r>
      <w:r w:rsidRPr="00861DD3">
        <w:rPr>
          <w:rStyle w:val="Enfasicorsivo"/>
        </w:rPr>
        <w:t>National Human Rights Consultation Committee Report</w:t>
      </w:r>
      <w:r w:rsidRPr="001B0012">
        <w:t xml:space="preserve"> (Attorney-General’s Department, September 2009</w:t>
      </w:r>
      <w:r w:rsidRPr="00956E92">
        <w:t>)</w:t>
      </w:r>
      <w:r>
        <w:t>.</w:t>
      </w:r>
    </w:p>
  </w:endnote>
  <w:endnote w:id="8">
    <w:p w14:paraId="449CF8AF" w14:textId="441BF67A" w:rsidR="006E2E98" w:rsidRPr="001B0012" w:rsidRDefault="006E2E98" w:rsidP="00600885">
      <w:pPr>
        <w:pStyle w:val="Testonotadichiusura"/>
      </w:pPr>
      <w:r w:rsidRPr="00600885">
        <w:rPr>
          <w:rStyle w:val="Rimandonotadichiusura"/>
        </w:rPr>
        <w:endnoteRef/>
      </w:r>
      <w:r w:rsidRPr="001B0012">
        <w:t xml:space="preserve"> </w:t>
      </w:r>
      <w:r>
        <w:tab/>
      </w:r>
      <w:r w:rsidRPr="001B0012">
        <w:t xml:space="preserve">Human Rights Act 2004 (ACT); Charter of Human Rights and Responsibilities </w:t>
      </w:r>
      <w:r>
        <w:t xml:space="preserve">Act </w:t>
      </w:r>
      <w:r w:rsidRPr="001B0012">
        <w:t>2006 (Vic); Human Rights Act 2019 (Qld).</w:t>
      </w:r>
    </w:p>
  </w:endnote>
  <w:endnote w:id="9">
    <w:p w14:paraId="5B398241" w14:textId="7FCB78AA" w:rsidR="006E2E98" w:rsidRPr="001B0012" w:rsidRDefault="006E2E98" w:rsidP="00600885">
      <w:pPr>
        <w:pStyle w:val="Testonotadichiusura"/>
        <w:rPr>
          <w:rFonts w:cs="Open Sans"/>
        </w:rPr>
      </w:pPr>
      <w:r w:rsidRPr="00600885">
        <w:rPr>
          <w:rStyle w:val="Rimandonotadichiusura"/>
        </w:rPr>
        <w:endnoteRef/>
      </w:r>
      <w:r w:rsidRPr="001B0012">
        <w:rPr>
          <w:rFonts w:cs="Open Sans"/>
        </w:rPr>
        <w:t xml:space="preserve"> </w:t>
      </w:r>
      <w:r>
        <w:rPr>
          <w:rFonts w:cs="Open Sans"/>
        </w:rPr>
        <w:tab/>
      </w:r>
      <w:r w:rsidRPr="001B0012">
        <w:rPr>
          <w:rFonts w:cs="Open Sans"/>
        </w:rPr>
        <w:t xml:space="preserve">See, eg, ‘Australian values’ </w:t>
      </w:r>
      <w:r w:rsidRPr="00861DD3">
        <w:rPr>
          <w:rStyle w:val="Enfasicorsivo"/>
        </w:rPr>
        <w:t xml:space="preserve">Home Affairs </w:t>
      </w:r>
      <w:r w:rsidRPr="001B0012">
        <w:rPr>
          <w:rFonts w:cs="Open Sans"/>
        </w:rPr>
        <w:t>(Web Page) &lt;</w:t>
      </w:r>
      <w:r w:rsidRPr="00600885">
        <w:rPr>
          <w:rStyle w:val="Collegamentoipertestuale"/>
        </w:rPr>
        <w:t>https://www.homeaffairs.gov.au/about-us/our-portfolios/social-cohesion/australian-values</w:t>
      </w:r>
      <w:r w:rsidRPr="001B0012">
        <w:rPr>
          <w:rFonts w:cs="Open Sans"/>
        </w:rPr>
        <w:t>&gt;.</w:t>
      </w:r>
    </w:p>
  </w:endnote>
  <w:endnote w:id="10">
    <w:p w14:paraId="4846D580" w14:textId="10EBB169" w:rsidR="006E2E98" w:rsidRPr="001B0012" w:rsidRDefault="006E2E98" w:rsidP="00600885">
      <w:pPr>
        <w:pStyle w:val="Testonotadichiusura"/>
      </w:pPr>
      <w:r w:rsidRPr="00600885">
        <w:rPr>
          <w:rStyle w:val="Rimandonotadichiusura"/>
        </w:rPr>
        <w:endnoteRef/>
      </w:r>
      <w:r w:rsidRPr="001B0012">
        <w:t xml:space="preserve"> </w:t>
      </w:r>
      <w:r>
        <w:tab/>
      </w:r>
      <w:r w:rsidRPr="001B0012">
        <w:t xml:space="preserve">George Williams and Daniel Reynolds, </w:t>
      </w:r>
      <w:r w:rsidRPr="00861DD3">
        <w:rPr>
          <w:rStyle w:val="Enfasicorsivo"/>
        </w:rPr>
        <w:t>A Charter of Rights for Australia</w:t>
      </w:r>
      <w:r w:rsidRPr="001B0012">
        <w:t xml:space="preserve"> (UNSW Press, 4th ed, 2017) 7.</w:t>
      </w:r>
    </w:p>
  </w:endnote>
  <w:endnote w:id="11">
    <w:p w14:paraId="607959D4" w14:textId="3EE6A26B" w:rsidR="006E2E98" w:rsidRDefault="006E2E98" w:rsidP="00AC759C">
      <w:pPr>
        <w:pStyle w:val="Testonotadichiusura"/>
        <w:rPr>
          <w:rFonts w:cs="Open Sans"/>
        </w:rPr>
      </w:pPr>
      <w:r w:rsidRPr="00A50AF4">
        <w:rPr>
          <w:rStyle w:val="Rimandonotadichiusura"/>
        </w:rPr>
        <w:endnoteRef/>
      </w:r>
      <w:r w:rsidRPr="017E0E5C">
        <w:rPr>
          <w:rFonts w:cs="Open Sans"/>
        </w:rPr>
        <w:t xml:space="preserve"> </w:t>
      </w:r>
      <w:r w:rsidR="00A50AF4">
        <w:rPr>
          <w:rFonts w:cs="Open Sans"/>
        </w:rPr>
        <w:tab/>
      </w:r>
      <w:r w:rsidRPr="017E0E5C">
        <w:rPr>
          <w:rFonts w:cs="Open Sans"/>
        </w:rPr>
        <w:t xml:space="preserve">More than half of Australians believe we </w:t>
      </w:r>
      <w:r w:rsidRPr="004C4ED4">
        <w:rPr>
          <w:rFonts w:cs="Open Sans"/>
        </w:rPr>
        <w:t>already have</w:t>
      </w:r>
      <w:r w:rsidRPr="017E0E5C">
        <w:rPr>
          <w:rFonts w:cs="Open Sans"/>
        </w:rPr>
        <w:t xml:space="preserve"> a national Human Rights Act: ‘Australia’s Human Rights Barometer: Overwhelming support for a Human Rights Act’ </w:t>
      </w:r>
      <w:r w:rsidRPr="00861DD3">
        <w:rPr>
          <w:rStyle w:val="Enfasicorsivo"/>
        </w:rPr>
        <w:t xml:space="preserve">Amnesty International </w:t>
      </w:r>
      <w:r w:rsidRPr="017E0E5C">
        <w:rPr>
          <w:rFonts w:cs="Open Sans"/>
        </w:rPr>
        <w:t>(Web Page, 16</w:t>
      </w:r>
      <w:r w:rsidR="002E0083">
        <w:rPr>
          <w:rFonts w:cs="Open Sans"/>
        </w:rPr>
        <w:t> </w:t>
      </w:r>
      <w:r w:rsidRPr="017E0E5C">
        <w:rPr>
          <w:rFonts w:cs="Open Sans"/>
        </w:rPr>
        <w:t>August 2021) &lt;</w:t>
      </w:r>
      <w:hyperlink r:id="rId6" w:history="1">
        <w:r w:rsidRPr="017E0E5C">
          <w:rPr>
            <w:rStyle w:val="Collegamentoipertestuale"/>
            <w:rFonts w:cs="Open Sans"/>
          </w:rPr>
          <w:t>https://www.amnesty.org.au/australias-human-rights-barometer-overwhelming-support-for-a-human-rights-act/</w:t>
        </w:r>
      </w:hyperlink>
      <w:r w:rsidRPr="017E0E5C">
        <w:rPr>
          <w:rFonts w:cs="Open Sans"/>
        </w:rPr>
        <w:t>&gt;.</w:t>
      </w:r>
    </w:p>
  </w:endnote>
  <w:endnote w:id="12">
    <w:p w14:paraId="501F63B2" w14:textId="331950EE"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See</w:t>
      </w:r>
      <w:r>
        <w:rPr>
          <w:rFonts w:cs="Open Sans"/>
        </w:rPr>
        <w:t>,</w:t>
      </w:r>
      <w:r w:rsidRPr="001B0012">
        <w:rPr>
          <w:rFonts w:cs="Open Sans"/>
        </w:rPr>
        <w:t xml:space="preserve"> eg</w:t>
      </w:r>
      <w:r>
        <w:rPr>
          <w:rFonts w:cs="Open Sans"/>
        </w:rPr>
        <w:t>,</w:t>
      </w:r>
      <w:r w:rsidRPr="001B0012">
        <w:rPr>
          <w:rFonts w:cs="Open Sans"/>
        </w:rPr>
        <w:t xml:space="preserve"> discussion in Sarah Joseph, ‘COVID-19, risk and rights: the ‘wicked’ balancing act for</w:t>
      </w:r>
      <w:r w:rsidR="00A50AF4">
        <w:rPr>
          <w:rFonts w:cs="Open Sans"/>
        </w:rPr>
        <w:t xml:space="preserve"> </w:t>
      </w:r>
      <w:r w:rsidRPr="001B0012">
        <w:rPr>
          <w:rFonts w:cs="Open Sans"/>
        </w:rPr>
        <w:t>governments’</w:t>
      </w:r>
      <w:r w:rsidRPr="008B251C">
        <w:t xml:space="preserve"> </w:t>
      </w:r>
      <w:r w:rsidRPr="00861DD3">
        <w:rPr>
          <w:rStyle w:val="Enfasicorsivo"/>
        </w:rPr>
        <w:t xml:space="preserve">The Conversation </w:t>
      </w:r>
      <w:r w:rsidRPr="001B0012">
        <w:rPr>
          <w:rFonts w:cs="Open Sans"/>
        </w:rPr>
        <w:t>(Online) 16 September 2020 &lt;</w:t>
      </w:r>
      <w:hyperlink r:id="rId7" w:history="1">
        <w:r w:rsidRPr="00A50AF4">
          <w:rPr>
            <w:rStyle w:val="Collegamentoipertestuale"/>
            <w:rFonts w:cs="Open Sans"/>
          </w:rPr>
          <w:t>https://theconversation.com/covid-19-risk-and-rights-the-wicked-balancing-act-for-governments-146014</w:t>
        </w:r>
      </w:hyperlink>
      <w:r w:rsidRPr="001B0012">
        <w:rPr>
          <w:rFonts w:cs="Open Sans"/>
        </w:rPr>
        <w:t>&gt;.</w:t>
      </w:r>
    </w:p>
  </w:endnote>
  <w:endnote w:id="13">
    <w:p w14:paraId="5F408359" w14:textId="16DC46C6" w:rsidR="006E2E98" w:rsidRPr="001B0012" w:rsidRDefault="006E2E98" w:rsidP="00824386">
      <w:pPr>
        <w:pStyle w:val="Testonotadichiusura"/>
        <w:rPr>
          <w:rFonts w:cs="Open Sans"/>
        </w:rPr>
      </w:pPr>
      <w:r w:rsidRPr="00A50AF4">
        <w:rPr>
          <w:rStyle w:val="Rimandonotadichiusura"/>
        </w:rPr>
        <w:endnoteRef/>
      </w:r>
      <w:r w:rsidRPr="001B43C0">
        <w:rPr>
          <w:rFonts w:cs="Open Sans"/>
        </w:rPr>
        <w:t xml:space="preserve"> </w:t>
      </w:r>
      <w:r w:rsidR="00A50AF4">
        <w:rPr>
          <w:rFonts w:cs="Open Sans"/>
        </w:rPr>
        <w:tab/>
      </w:r>
      <w:r w:rsidRPr="00861DD3">
        <w:rPr>
          <w:rStyle w:val="Enfasicorsivo"/>
        </w:rPr>
        <w:t>International Covenant on Civil and Political Rights,</w:t>
      </w:r>
      <w:r w:rsidR="00A50AF4">
        <w:rPr>
          <w:rFonts w:cs="Open Sans"/>
        </w:rPr>
        <w:t xml:space="preserve"> </w:t>
      </w:r>
      <w:r w:rsidRPr="001B43C0">
        <w:rPr>
          <w:rFonts w:cs="Open Sans"/>
        </w:rPr>
        <w:t>opened for signature 16 December 1966, 999 UNTS 171</w:t>
      </w:r>
      <w:r w:rsidRPr="00433581">
        <w:rPr>
          <w:rFonts w:cs="Open Sans"/>
        </w:rPr>
        <w:t xml:space="preserve"> (entered into force 23 March 1976) art </w:t>
      </w:r>
      <w:r>
        <w:rPr>
          <w:rFonts w:cs="Open Sans"/>
        </w:rPr>
        <w:t>12, 4(2)</w:t>
      </w:r>
      <w:r w:rsidRPr="00433581">
        <w:rPr>
          <w:rFonts w:cs="Open Sans"/>
        </w:rPr>
        <w:t xml:space="preserve"> (ICCPR)</w:t>
      </w:r>
      <w:r>
        <w:rPr>
          <w:rFonts w:cs="Open Sans"/>
        </w:rPr>
        <w:t xml:space="preserve">; </w:t>
      </w:r>
      <w:r w:rsidRPr="001B43C0">
        <w:rPr>
          <w:rFonts w:cs="Open Sans"/>
        </w:rPr>
        <w:t>International Covenant on Economic, Social and Cultural Rights,</w:t>
      </w:r>
      <w:r w:rsidR="00A50AF4">
        <w:rPr>
          <w:rFonts w:cs="Open Sans"/>
        </w:rPr>
        <w:t xml:space="preserve"> </w:t>
      </w:r>
      <w:r w:rsidRPr="001B43C0">
        <w:rPr>
          <w:rFonts w:cs="Open Sans"/>
        </w:rPr>
        <w:t>opened for signature 16 December 1966, 993 UNTS 3</w:t>
      </w:r>
      <w:r w:rsidR="00A50AF4">
        <w:rPr>
          <w:rFonts w:cs="Open Sans"/>
        </w:rPr>
        <w:t xml:space="preserve"> </w:t>
      </w:r>
      <w:r w:rsidRPr="001B43C0">
        <w:rPr>
          <w:rFonts w:cs="Open Sans"/>
        </w:rPr>
        <w:t>(entered into force 3 January 1976</w:t>
      </w:r>
      <w:r>
        <w:rPr>
          <w:rFonts w:cs="Open Sans"/>
        </w:rPr>
        <w:t>) a</w:t>
      </w:r>
      <w:r w:rsidRPr="001B0012">
        <w:rPr>
          <w:rFonts w:cs="Open Sans"/>
        </w:rPr>
        <w:t>rt 4(2)</w:t>
      </w:r>
      <w:r>
        <w:rPr>
          <w:rFonts w:cs="Open Sans"/>
        </w:rPr>
        <w:t xml:space="preserve"> (ICESCR); </w:t>
      </w:r>
      <w:r w:rsidRPr="001B0012">
        <w:rPr>
          <w:rFonts w:cs="Open Sans"/>
        </w:rPr>
        <w:t xml:space="preserve">CESCR Committee, </w:t>
      </w:r>
      <w:r w:rsidRPr="00861DD3">
        <w:rPr>
          <w:rStyle w:val="Enfasicorsivo"/>
        </w:rPr>
        <w:t xml:space="preserve">General Comment No 14: The right to the highest attainable standard of health, </w:t>
      </w:r>
      <w:r w:rsidRPr="001B0012">
        <w:rPr>
          <w:rFonts w:cs="Open Sans"/>
        </w:rPr>
        <w:t>UN Doc E/C.12/2000/4,</w:t>
      </w:r>
      <w:r w:rsidRPr="008B251C">
        <w:t xml:space="preserve"> </w:t>
      </w:r>
      <w:r w:rsidRPr="009D4246">
        <w:rPr>
          <w:rFonts w:cs="Open Sans"/>
        </w:rPr>
        <w:t>August 2000</w:t>
      </w:r>
      <w:r w:rsidRPr="001B0012">
        <w:rPr>
          <w:rFonts w:cs="Open Sans"/>
        </w:rPr>
        <w:t xml:space="preserve"> [16].</w:t>
      </w:r>
    </w:p>
  </w:endnote>
  <w:endnote w:id="14">
    <w:p w14:paraId="48FBC573" w14:textId="1B93CC49"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European Parliament, </w:t>
      </w:r>
      <w:r w:rsidRPr="00861DD3">
        <w:rPr>
          <w:rStyle w:val="Enfasicorsivo"/>
        </w:rPr>
        <w:t xml:space="preserve">EU Covid-19 Certificate: A Tool to Help Restore the Free Movement of People across the European Union </w:t>
      </w:r>
      <w:r w:rsidRPr="001B0012">
        <w:rPr>
          <w:rFonts w:cs="Open Sans"/>
        </w:rPr>
        <w:t>(Briefing Paper, May 2021) 2, 3.</w:t>
      </w:r>
    </w:p>
  </w:endnote>
  <w:endnote w:id="15">
    <w:p w14:paraId="7DD297A1" w14:textId="09109685"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Australia has implemented a number of restrictions in response to the COVID-19 pandemic including significant restrictions on freedom of assembly and freedom of movement, often accompanied by increased police enforcement powers. Many measures and restrictions have been introduced through delegated legislation which has not been subject to oversight of </w:t>
      </w:r>
      <w:r>
        <w:rPr>
          <w:rFonts w:cs="Open Sans"/>
        </w:rPr>
        <w:t>P</w:t>
      </w:r>
      <w:r w:rsidRPr="001B0012">
        <w:rPr>
          <w:rFonts w:cs="Open Sans"/>
        </w:rPr>
        <w:t xml:space="preserve">arliament. At the federal level, this has included changes to visa arrangements and restricting travel overseas. See, </w:t>
      </w:r>
      <w:r>
        <w:rPr>
          <w:rFonts w:cs="Open Sans"/>
        </w:rPr>
        <w:t>eg</w:t>
      </w:r>
      <w:r w:rsidRPr="001B0012">
        <w:rPr>
          <w:rFonts w:cs="Open Sans"/>
        </w:rPr>
        <w:t xml:space="preserve">, </w:t>
      </w:r>
      <w:r w:rsidRPr="00861DD3">
        <w:rPr>
          <w:rStyle w:val="Enfasicorsivo"/>
        </w:rPr>
        <w:t xml:space="preserve">Migration (LIN 20/122: COVID-19 Pandemic event for Subclass 408 (Temporary Activity) visa and visa application charge for Temporary Activity (Class GG) visa) Instrument 2020 </w:t>
      </w:r>
      <w:r w:rsidRPr="001B0012">
        <w:rPr>
          <w:rFonts w:cs="Open Sans"/>
        </w:rPr>
        <w:t xml:space="preserve">(Cth) and </w:t>
      </w:r>
      <w:r w:rsidRPr="00861DD3">
        <w:rPr>
          <w:rStyle w:val="Enfasicorsivo"/>
        </w:rPr>
        <w:t xml:space="preserve">Biosecurity (Human Biosecurity Emergency) (Human Coronavirus with Pandemic Potential) (Overseas Travel Ban Emergency Requirements) Determination 2020 </w:t>
      </w:r>
      <w:r w:rsidRPr="001B0012">
        <w:rPr>
          <w:rFonts w:cs="Open Sans"/>
        </w:rPr>
        <w:t>(Cth). At a State and Territory level, delegated legislation has been used to implement measure</w:t>
      </w:r>
      <w:r>
        <w:rPr>
          <w:rFonts w:cs="Open Sans"/>
        </w:rPr>
        <w:t>s</w:t>
      </w:r>
      <w:r w:rsidRPr="001B0012">
        <w:rPr>
          <w:rFonts w:cs="Open Sans"/>
        </w:rPr>
        <w:t xml:space="preserve"> including self-isolation orders, restrictions of visitors to aged care facilities and restrictions on the size and place of gatherings. See, </w:t>
      </w:r>
      <w:r>
        <w:rPr>
          <w:rFonts w:cs="Open Sans"/>
        </w:rPr>
        <w:t>eg</w:t>
      </w:r>
      <w:r w:rsidRPr="001B0012">
        <w:rPr>
          <w:rFonts w:cs="Open Sans"/>
        </w:rPr>
        <w:t xml:space="preserve">, </w:t>
      </w:r>
      <w:r w:rsidRPr="00861DD3">
        <w:rPr>
          <w:rStyle w:val="Enfasicorsivo"/>
        </w:rPr>
        <w:t>Public Health (COVID-19 Gatherings) Order (No</w:t>
      </w:r>
      <w:r w:rsidRPr="001B0012">
        <w:rPr>
          <w:rFonts w:cs="Open Sans"/>
        </w:rPr>
        <w:t> </w:t>
      </w:r>
      <w:r w:rsidRPr="00861DD3">
        <w:rPr>
          <w:rStyle w:val="Enfasicorsivo"/>
        </w:rPr>
        <w:t xml:space="preserve">3) 2020 </w:t>
      </w:r>
      <w:r w:rsidRPr="001B0012">
        <w:rPr>
          <w:rFonts w:cs="Open Sans"/>
        </w:rPr>
        <w:t xml:space="preserve">(NSW) and </w:t>
      </w:r>
      <w:r w:rsidRPr="00861DD3">
        <w:rPr>
          <w:rStyle w:val="Enfasicorsivo"/>
        </w:rPr>
        <w:t>COVID-19 Emergency Response (Schedule 1) Regulations 2020</w:t>
      </w:r>
      <w:r w:rsidRPr="001B0012">
        <w:rPr>
          <w:rFonts w:cs="Open Sans"/>
        </w:rPr>
        <w:t xml:space="preserve"> (SA). Other legislated restrictions have often been passed quickly with minimal parliamentary scrutiny and have included increased powers for police.</w:t>
      </w:r>
    </w:p>
  </w:endnote>
  <w:endnote w:id="16">
    <w:p w14:paraId="130FE6F0" w14:textId="7F5CB9FB"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 xml:space="preserve">(April 2022) [5.15]. See also, Paul Karp, ‘Human rights commission says national cabinet should not be covered by secrecy laws’ </w:t>
      </w:r>
      <w:r w:rsidRPr="00861DD3">
        <w:rPr>
          <w:rStyle w:val="Enfasicorsivo"/>
        </w:rPr>
        <w:t xml:space="preserve">The Guardian </w:t>
      </w:r>
      <w:r w:rsidRPr="001B0012">
        <w:rPr>
          <w:rFonts w:cs="Open Sans"/>
        </w:rPr>
        <w:t>(Online) 17 September 2021 &lt;</w:t>
      </w:r>
      <w:hyperlink r:id="rId8" w:history="1">
        <w:r w:rsidRPr="00A50AF4">
          <w:rPr>
            <w:rStyle w:val="Collegamentoipertestuale"/>
            <w:rFonts w:cs="Open Sans"/>
          </w:rPr>
          <w:t>https://www.theguardian.com/australia-news/2021/sep/17/human-rights-commission-says-national-cabinet-should-not-be-covered-by-secrecy-laws</w:t>
        </w:r>
      </w:hyperlink>
      <w:r w:rsidRPr="001B0012">
        <w:rPr>
          <w:rFonts w:cs="Open Sans"/>
        </w:rPr>
        <w:t>&gt;.</w:t>
      </w:r>
    </w:p>
  </w:endnote>
  <w:endnote w:id="17">
    <w:p w14:paraId="641B4AF2" w14:textId="235D48D8"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See, eg, Elias Visontay, ‘More than 45,000 Australians stranded overseas registered for government help’ </w:t>
      </w:r>
      <w:r w:rsidRPr="00861DD3">
        <w:rPr>
          <w:rStyle w:val="Enfasicorsivo"/>
        </w:rPr>
        <w:t xml:space="preserve">The Guardian </w:t>
      </w:r>
      <w:r w:rsidRPr="001B0012">
        <w:rPr>
          <w:rFonts w:cs="Open Sans"/>
        </w:rPr>
        <w:t>(Online</w:t>
      </w:r>
      <w:r>
        <w:rPr>
          <w:rFonts w:cs="Open Sans"/>
        </w:rPr>
        <w:t>)</w:t>
      </w:r>
      <w:r w:rsidRPr="001B0012">
        <w:rPr>
          <w:rFonts w:cs="Open Sans"/>
        </w:rPr>
        <w:t xml:space="preserve"> 21 September 2021 &lt;</w:t>
      </w:r>
      <w:hyperlink r:id="rId9" w:history="1">
        <w:r w:rsidRPr="001B0012">
          <w:rPr>
            <w:rStyle w:val="Collegamentoipertestuale"/>
            <w:rFonts w:cs="Open Sans"/>
          </w:rPr>
          <w:t>https://www.theguardian.com/business/2021/sep/21/more-than-45000-australians-stranded-overseas-registered-for-government-help</w:t>
        </w:r>
      </w:hyperlink>
      <w:r w:rsidRPr="00F545B1">
        <w:t>&gt;.</w:t>
      </w:r>
    </w:p>
  </w:endnote>
  <w:endnote w:id="18">
    <w:p w14:paraId="061703E1" w14:textId="7B912317"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Daniel Hurst, ‘UN raises serious human rights concerns over Australia’s India travel ban’ </w:t>
      </w:r>
      <w:r w:rsidRPr="00861DD3">
        <w:rPr>
          <w:rStyle w:val="Enfasicorsivo"/>
        </w:rPr>
        <w:t xml:space="preserve">The Guardian </w:t>
      </w:r>
      <w:r w:rsidRPr="001B0012">
        <w:rPr>
          <w:rFonts w:cs="Open Sans"/>
        </w:rPr>
        <w:t>(Online</w:t>
      </w:r>
      <w:r>
        <w:rPr>
          <w:rFonts w:cs="Open Sans"/>
        </w:rPr>
        <w:t>)</w:t>
      </w:r>
      <w:r w:rsidRPr="001B0012">
        <w:rPr>
          <w:rFonts w:cs="Open Sans"/>
        </w:rPr>
        <w:t xml:space="preserve"> 5 May 2021 &lt;</w:t>
      </w:r>
      <w:hyperlink r:id="rId10" w:history="1">
        <w:r w:rsidRPr="00A50AF4">
          <w:rPr>
            <w:rStyle w:val="Collegamentoipertestuale"/>
            <w:rFonts w:cs="Open Sans"/>
          </w:rPr>
          <w:t>https://www.theguardian.com/australia-news/2021/may/05/un-raises-serious-human-rights-concerns-over-australia-india-travel-ban</w:t>
        </w:r>
      </w:hyperlink>
      <w:r w:rsidRPr="001B0012">
        <w:rPr>
          <w:rFonts w:cs="Open Sans"/>
        </w:rPr>
        <w:t>&gt;.</w:t>
      </w:r>
    </w:p>
  </w:endnote>
  <w:endnote w:id="19">
    <w:p w14:paraId="3BFC79AC" w14:textId="68DD33DC"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The Chief Medical Officer</w:t>
      </w:r>
      <w:r>
        <w:rPr>
          <w:rFonts w:cs="Open Sans"/>
        </w:rPr>
        <w:t>’</w:t>
      </w:r>
      <w:r w:rsidRPr="001B0012">
        <w:rPr>
          <w:rFonts w:cs="Open Sans"/>
        </w:rPr>
        <w:t>s advice on the implementation of the travel restrictions stated that potential consequences for Australians stranded in India included a risk of serious illness without access to health care and</w:t>
      </w:r>
      <w:r>
        <w:rPr>
          <w:rFonts w:cs="Open Sans"/>
        </w:rPr>
        <w:t>,</w:t>
      </w:r>
      <w:r w:rsidRPr="001B0012">
        <w:rPr>
          <w:rFonts w:cs="Open Sans"/>
        </w:rPr>
        <w:t xml:space="preserve"> in the worst-case scenario, death: Senate Select Committee on COVID-19, </w:t>
      </w:r>
      <w:r w:rsidRPr="00861DD3">
        <w:rPr>
          <w:rStyle w:val="Enfasicorsivo"/>
        </w:rPr>
        <w:t xml:space="preserve">Final Report </w:t>
      </w:r>
      <w:r w:rsidRPr="001B0012">
        <w:rPr>
          <w:rFonts w:cs="Open Sans"/>
        </w:rPr>
        <w:t>(April 2022) [3.28].</w:t>
      </w:r>
    </w:p>
  </w:endnote>
  <w:endnote w:id="20">
    <w:p w14:paraId="5FD49865" w14:textId="48AB5B70"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[3.19].</w:t>
      </w:r>
    </w:p>
  </w:endnote>
  <w:endnote w:id="21">
    <w:p w14:paraId="3730078F" w14:textId="2099EB5D"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‘Vaccination numbers and statistics’ </w:t>
      </w:r>
      <w:r w:rsidRPr="00861DD3">
        <w:rPr>
          <w:rStyle w:val="Enfasicorsivo"/>
        </w:rPr>
        <w:t xml:space="preserve">Department of Health </w:t>
      </w:r>
      <w:r w:rsidRPr="001B0012">
        <w:rPr>
          <w:rFonts w:cs="Open Sans"/>
        </w:rPr>
        <w:t>(Web Page) &lt;</w:t>
      </w:r>
      <w:hyperlink r:id="rId11" w:history="1">
        <w:r w:rsidRPr="00A50AF4">
          <w:rPr>
            <w:rStyle w:val="Collegamentoipertestuale"/>
            <w:rFonts w:cs="Open Sans"/>
          </w:rPr>
          <w:t>https://www.health.gov.au/initiatives-and-programs/covid-19-vaccines/numbers-statistics</w:t>
        </w:r>
      </w:hyperlink>
      <w:r w:rsidRPr="001B0012">
        <w:rPr>
          <w:rFonts w:cs="Open Sans"/>
        </w:rPr>
        <w:t>&gt;.</w:t>
      </w:r>
    </w:p>
  </w:endnote>
  <w:endnote w:id="22">
    <w:p w14:paraId="489ED6AF" w14:textId="15F0B803"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See Michael Buckland, Felix Zerbib</w:t>
      </w:r>
      <w:r>
        <w:rPr>
          <w:rFonts w:cs="Open Sans"/>
        </w:rPr>
        <w:t xml:space="preserve"> and</w:t>
      </w:r>
      <w:r w:rsidRPr="001B0012">
        <w:rPr>
          <w:rFonts w:cs="Open Sans"/>
        </w:rPr>
        <w:t xml:space="preserve"> Connor Wherrett, </w:t>
      </w:r>
      <w:r w:rsidRPr="00861DD3">
        <w:rPr>
          <w:rStyle w:val="Enfasicorsivo"/>
        </w:rPr>
        <w:t xml:space="preserve">Counting the cost of Australia’s delayed vaccine rollout </w:t>
      </w:r>
      <w:r w:rsidRPr="001B0012">
        <w:rPr>
          <w:rFonts w:cs="Open Sans"/>
        </w:rPr>
        <w:t>(APO Report, April 2021) &lt;</w:t>
      </w:r>
      <w:hyperlink r:id="rId12" w:history="1">
        <w:r w:rsidRPr="001B0012">
          <w:rPr>
            <w:rStyle w:val="Collegamentoipertestuale"/>
            <w:rFonts w:cs="Open Sans"/>
          </w:rPr>
          <w:t>https://apo.org.au/node/311761</w:t>
        </w:r>
      </w:hyperlink>
      <w:r w:rsidRPr="001B0012">
        <w:rPr>
          <w:rFonts w:cs="Open Sans"/>
        </w:rPr>
        <w:t>&gt;.</w:t>
      </w:r>
    </w:p>
  </w:endnote>
  <w:endnote w:id="23">
    <w:p w14:paraId="109EDA55" w14:textId="21E6085A"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‘Australia: Protect At-Risk Communities from Covid-19’ </w:t>
      </w:r>
      <w:r w:rsidRPr="00861DD3">
        <w:rPr>
          <w:rStyle w:val="Enfasicorsivo"/>
        </w:rPr>
        <w:t>Human Rights Watch</w:t>
      </w:r>
      <w:r w:rsidRPr="001B0012">
        <w:rPr>
          <w:rFonts w:cs="Open Sans"/>
        </w:rPr>
        <w:t xml:space="preserve"> (Web Page, August 2021) &lt;</w:t>
      </w:r>
      <w:hyperlink r:id="rId13" w:history="1">
        <w:r w:rsidRPr="001B0012">
          <w:rPr>
            <w:rStyle w:val="Collegamentoipertestuale"/>
            <w:rFonts w:cs="Open Sans"/>
          </w:rPr>
          <w:t>https://www.hrw.org/news/2021/08/19/australia-protect-risk-communities-covid-19#</w:t>
        </w:r>
      </w:hyperlink>
      <w:r w:rsidRPr="001B0012">
        <w:rPr>
          <w:rFonts w:cs="Open Sans"/>
        </w:rPr>
        <w:t xml:space="preserve">&gt;; ‘PM urged to address low Indigenous vaccination rates’ </w:t>
      </w:r>
      <w:r w:rsidRPr="00861DD3">
        <w:rPr>
          <w:rStyle w:val="Enfasicorsivo"/>
        </w:rPr>
        <w:t>Australian National University</w:t>
      </w:r>
      <w:r w:rsidRPr="001B0012">
        <w:rPr>
          <w:rFonts w:cs="Open Sans"/>
        </w:rPr>
        <w:t xml:space="preserve"> (</w:t>
      </w:r>
      <w:r>
        <w:rPr>
          <w:rFonts w:cs="Open Sans"/>
        </w:rPr>
        <w:t xml:space="preserve">Web Page, </w:t>
      </w:r>
      <w:r w:rsidRPr="001B0012">
        <w:rPr>
          <w:rFonts w:cs="Open Sans"/>
        </w:rPr>
        <w:t>29 October 2021) &lt;</w:t>
      </w:r>
      <w:hyperlink r:id="rId14" w:history="1">
        <w:r w:rsidRPr="00A50AF4">
          <w:rPr>
            <w:rStyle w:val="Collegamentoipertestuale"/>
            <w:rFonts w:cs="Open Sans"/>
          </w:rPr>
          <w:t>https://www.anu.edu.au/news/all-news/pm-urged-to-address-low-indigenous-vaccination-rates</w:t>
        </w:r>
      </w:hyperlink>
      <w:r w:rsidRPr="001B0012">
        <w:rPr>
          <w:rFonts w:cs="Open Sans"/>
        </w:rPr>
        <w:t>&gt;.</w:t>
      </w:r>
    </w:p>
  </w:endnote>
  <w:endnote w:id="24">
    <w:p w14:paraId="35F37417" w14:textId="1ED88B0D" w:rsidR="006E2E98" w:rsidRPr="008B251C" w:rsidRDefault="006E2E98" w:rsidP="00824386">
      <w:pPr>
        <w:pStyle w:val="Testonotadichiusura"/>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‘Call for National Plan as children tell of lockdown toll’ </w:t>
      </w:r>
      <w:r w:rsidRPr="00861DD3">
        <w:rPr>
          <w:rStyle w:val="Enfasicorsivo"/>
        </w:rPr>
        <w:t xml:space="preserve">UNICEF </w:t>
      </w:r>
      <w:r w:rsidRPr="001B0012">
        <w:rPr>
          <w:rFonts w:cs="Open Sans"/>
        </w:rPr>
        <w:t>(Web Page, 25 October 2021) &lt;</w:t>
      </w:r>
      <w:hyperlink r:id="rId15" w:history="1">
        <w:r w:rsidRPr="001B0012">
          <w:rPr>
            <w:rStyle w:val="Collegamentoipertestuale"/>
            <w:rFonts w:cs="Open Sans"/>
          </w:rPr>
          <w:t>https://www.unicef.org.au/about-us/media/october-2021/call-for-national-plan-as-children-tell-of-lockdow</w:t>
        </w:r>
      </w:hyperlink>
      <w:r w:rsidRPr="001B0012">
        <w:rPr>
          <w:rFonts w:cs="Open Sans"/>
        </w:rPr>
        <w:t>&gt;; Kids Helpline and the Australian Human Rights Commission,</w:t>
      </w:r>
      <w:r w:rsidRPr="00861DD3">
        <w:rPr>
          <w:rStyle w:val="Enfasicorsivo"/>
        </w:rPr>
        <w:t xml:space="preserve"> Impacts of COVID-19 on children and young people who contact Kids Helpline</w:t>
      </w:r>
      <w:r w:rsidRPr="008B251C">
        <w:t xml:space="preserve"> </w:t>
      </w:r>
      <w:r w:rsidRPr="001B0012">
        <w:rPr>
          <w:rFonts w:cs="Open Sans"/>
        </w:rPr>
        <w:t>(September 2020) &lt;</w:t>
      </w:r>
      <w:hyperlink r:id="rId16" w:history="1">
        <w:r w:rsidRPr="00A50AF4">
          <w:rPr>
            <w:rStyle w:val="Collegamentoipertestuale"/>
            <w:rFonts w:cs="Open Sans"/>
          </w:rPr>
          <w:t>https://humanrights.gov.au/our-work/childrens-rights/publications/impacts-covid-19-children-and-young-people-who-contact-kids</w:t>
        </w:r>
      </w:hyperlink>
      <w:r w:rsidRPr="001B0012">
        <w:rPr>
          <w:rFonts w:cs="Open Sans"/>
        </w:rPr>
        <w:t>&gt;</w:t>
      </w:r>
      <w:r>
        <w:rPr>
          <w:rFonts w:cs="Open Sans"/>
        </w:rPr>
        <w:t>.</w:t>
      </w:r>
    </w:p>
  </w:endnote>
  <w:endnote w:id="25">
    <w:p w14:paraId="57B96ACC" w14:textId="745B38AD"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[4.63].</w:t>
      </w:r>
    </w:p>
  </w:endnote>
  <w:endnote w:id="26">
    <w:p w14:paraId="7F430925" w14:textId="3B9E8030" w:rsidR="006E2E98" w:rsidRPr="001B0012" w:rsidRDefault="006E2E98" w:rsidP="00824386">
      <w:pPr>
        <w:pStyle w:val="Testonotadichiusura"/>
        <w:rPr>
          <w:rFonts w:cs="Open Sans"/>
        </w:rPr>
      </w:pPr>
      <w:r w:rsidRPr="00A50AF4">
        <w:rPr>
          <w:rStyle w:val="Rimandonotadichiusura"/>
        </w:rPr>
        <w:endnoteRef/>
      </w:r>
      <w:r w:rsidR="00A50AF4">
        <w:rPr>
          <w:rFonts w:cs="Open Sans"/>
        </w:rPr>
        <w:t xml:space="preserve"> </w:t>
      </w:r>
      <w:r w:rsidR="00A50AF4">
        <w:rPr>
          <w:rFonts w:cs="Open Sans"/>
        </w:rPr>
        <w:tab/>
      </w:r>
      <w:r w:rsidRPr="001B0012">
        <w:rPr>
          <w:rFonts w:cs="Open Sans"/>
        </w:rPr>
        <w:t xml:space="preserve">‘Australia: Protect At-Risk Communities from Covid-19’ </w:t>
      </w:r>
      <w:r w:rsidRPr="00861DD3">
        <w:rPr>
          <w:rStyle w:val="Enfasicorsivo"/>
        </w:rPr>
        <w:t>Human Rights Watch</w:t>
      </w:r>
      <w:r w:rsidRPr="001B0012">
        <w:rPr>
          <w:rFonts w:cs="Open Sans"/>
        </w:rPr>
        <w:t xml:space="preserve"> (Web Page, August 2021) &lt;</w:t>
      </w:r>
      <w:hyperlink r:id="rId17" w:history="1">
        <w:r w:rsidRPr="001B0012">
          <w:rPr>
            <w:rStyle w:val="Collegamentoipertestuale"/>
            <w:rFonts w:cs="Open Sans"/>
          </w:rPr>
          <w:t>https://www.hrw.org/news/2021/08/19/australia-protect-risk-communities-covid-19#</w:t>
        </w:r>
      </w:hyperlink>
      <w:r w:rsidRPr="001B0012">
        <w:rPr>
          <w:rFonts w:cs="Open Sans"/>
        </w:rPr>
        <w:t xml:space="preserve">&gt;; ‘Australia: Prisoners Denied Vaccine Access’ </w:t>
      </w:r>
      <w:r w:rsidRPr="00861DD3">
        <w:rPr>
          <w:rStyle w:val="Enfasicorsivo"/>
        </w:rPr>
        <w:t xml:space="preserve">Human Rights Watch </w:t>
      </w:r>
      <w:r w:rsidRPr="001B0012">
        <w:rPr>
          <w:rFonts w:cs="Open Sans"/>
        </w:rPr>
        <w:t>(Web Page, September 2021) &lt;</w:t>
      </w:r>
      <w:hyperlink r:id="rId18" w:history="1">
        <w:r w:rsidRPr="001B0012">
          <w:rPr>
            <w:rStyle w:val="Collegamentoipertestuale"/>
            <w:rFonts w:cs="Open Sans"/>
          </w:rPr>
          <w:t>https://www.hrw.org/news/2021/09/01/australia-prisoners-denied-vaccine-access</w:t>
        </w:r>
      </w:hyperlink>
      <w:r w:rsidRPr="001B0012">
        <w:rPr>
          <w:rFonts w:cs="Open Sans"/>
        </w:rPr>
        <w:t xml:space="preserve">&gt;; Denham Sadler, ‘Delays in vaccinating prisoners’ </w:t>
      </w:r>
      <w:r w:rsidRPr="00861DD3">
        <w:rPr>
          <w:rStyle w:val="Enfasicorsivo"/>
        </w:rPr>
        <w:t xml:space="preserve">The Saturday Paper </w:t>
      </w:r>
      <w:r w:rsidRPr="001B0012">
        <w:rPr>
          <w:rFonts w:cs="Open Sans"/>
        </w:rPr>
        <w:t>(online, 12 June 2021) &lt;</w:t>
      </w:r>
      <w:hyperlink r:id="rId19" w:history="1">
        <w:r w:rsidRPr="001B0012">
          <w:rPr>
            <w:rStyle w:val="Collegamentoipertestuale"/>
            <w:rFonts w:cs="Open Sans"/>
          </w:rPr>
          <w:t>https://www.thesaturdaypaper.com.au/news/politics/2021/06/12/delays-vaccinating-prisoners/162342000011860</w:t>
        </w:r>
      </w:hyperlink>
      <w:r w:rsidRPr="001B0012">
        <w:rPr>
          <w:rFonts w:cs="Open Sans"/>
        </w:rPr>
        <w:t>&gt;.</w:t>
      </w:r>
    </w:p>
  </w:endnote>
  <w:endnote w:id="27">
    <w:p w14:paraId="1FAD5356" w14:textId="6D68448E" w:rsidR="006E2E98" w:rsidRDefault="006E2E98">
      <w:pPr>
        <w:pStyle w:val="Testonotadichiusura"/>
      </w:pPr>
      <w:r w:rsidRPr="00A50AF4">
        <w:rPr>
          <w:rStyle w:val="Rimandonotadichiusura"/>
        </w:rPr>
        <w:endnoteRef/>
      </w:r>
      <w:r>
        <w:t xml:space="preserve"> </w:t>
      </w:r>
      <w:r w:rsidR="00A50AF4">
        <w:tab/>
      </w:r>
      <w:r>
        <w:t xml:space="preserve">See </w:t>
      </w:r>
      <w:r w:rsidRPr="004649F9">
        <w:t xml:space="preserve">Australian Human Rights Commission, </w:t>
      </w:r>
      <w:r w:rsidRPr="00861DD3">
        <w:rPr>
          <w:rStyle w:val="Enfasicorsivo"/>
        </w:rPr>
        <w:t>Management of COVID-19 risks in immigration detention</w:t>
      </w:r>
      <w:r w:rsidRPr="004649F9">
        <w:t xml:space="preserve"> (June 2021) &lt;</w:t>
      </w:r>
      <w:hyperlink r:id="rId20" w:history="1">
        <w:r w:rsidRPr="00A50AF4">
          <w:rPr>
            <w:rStyle w:val="Collegamentoipertestuale"/>
          </w:rPr>
          <w:t>https://humanrights.gov.au/our-work/asylum-seekers-and-refugees/publications/management-covid-19-risks-immigration-detention</w:t>
        </w:r>
      </w:hyperlink>
      <w:r w:rsidRPr="004649F9">
        <w:t>&gt;</w:t>
      </w:r>
      <w:r>
        <w:t>; Ben Doherty, ‘”</w:t>
      </w:r>
      <w:r w:rsidRPr="00CA5018">
        <w:t>Rampant</w:t>
      </w:r>
      <w:r>
        <w:t>”</w:t>
      </w:r>
      <w:r w:rsidRPr="00CA5018">
        <w:t>: fears over growing Covid outbreak at Sydney’s Villawood detention centre</w:t>
      </w:r>
      <w:r>
        <w:t xml:space="preserve">’ </w:t>
      </w:r>
      <w:r w:rsidRPr="00861DD3">
        <w:rPr>
          <w:rStyle w:val="Enfasicorsivo"/>
        </w:rPr>
        <w:t xml:space="preserve">The Guardian </w:t>
      </w:r>
      <w:r>
        <w:t>(Online) 13 January 2022 &lt;</w:t>
      </w:r>
      <w:hyperlink r:id="rId21" w:history="1">
        <w:r w:rsidRPr="00A50AF4">
          <w:rPr>
            <w:rStyle w:val="Collegamentoipertestuale"/>
          </w:rPr>
          <w:t>https://www.theguardian.com/australia-news/2022/jan/13/rampant-nearly-70-people-have-covid-at-sydneys-villawood-detention-centre-sources-say</w:t>
        </w:r>
      </w:hyperlink>
      <w:r>
        <w:t>&gt;</w:t>
      </w:r>
      <w:r w:rsidRPr="004649F9">
        <w:t>.</w:t>
      </w:r>
    </w:p>
  </w:endnote>
  <w:endnote w:id="28">
    <w:p w14:paraId="49C2C601" w14:textId="541AEFE0"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Diane Taylor, ‘Home Office releases 300 from detention centres amid Covid-19 pandemic’, </w:t>
      </w:r>
      <w:r w:rsidRPr="00861DD3">
        <w:rPr>
          <w:rStyle w:val="Enfasicorsivo"/>
        </w:rPr>
        <w:t>The Guardian</w:t>
      </w:r>
      <w:r w:rsidRPr="001B0012">
        <w:rPr>
          <w:rFonts w:cs="Open Sans"/>
        </w:rPr>
        <w:t xml:space="preserve"> (online</w:t>
      </w:r>
      <w:r>
        <w:rPr>
          <w:rFonts w:cs="Open Sans"/>
        </w:rPr>
        <w:t>)</w:t>
      </w:r>
      <w:r w:rsidRPr="001B0012">
        <w:rPr>
          <w:rFonts w:cs="Open Sans"/>
        </w:rPr>
        <w:t xml:space="preserve"> 22 March 2020.</w:t>
      </w:r>
    </w:p>
  </w:endnote>
  <w:endnote w:id="29">
    <w:p w14:paraId="5032EE0D" w14:textId="2768124B"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[4.46].</w:t>
      </w:r>
    </w:p>
  </w:endnote>
  <w:endnote w:id="30">
    <w:p w14:paraId="4CE352D2" w14:textId="5E927C38" w:rsidR="006E2E98" w:rsidRPr="001B0012" w:rsidRDefault="006E2E98" w:rsidP="00824386">
      <w:pPr>
        <w:pStyle w:val="Testonotadichiusura"/>
        <w:rPr>
          <w:rFonts w:cs="Open Sans"/>
        </w:rPr>
      </w:pPr>
      <w:r w:rsidRPr="00A50AF4">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[2.78].</w:t>
      </w:r>
    </w:p>
  </w:endnote>
  <w:endnote w:id="31">
    <w:p w14:paraId="47ED23EC" w14:textId="502D215B" w:rsidR="006E2E98" w:rsidRPr="001B0012" w:rsidRDefault="006E2E98" w:rsidP="00824386">
      <w:pPr>
        <w:pStyle w:val="Testonotadichiusura"/>
        <w:rPr>
          <w:rFonts w:cs="Open Sans"/>
        </w:rPr>
      </w:pPr>
      <w:r w:rsidRPr="00A50AF4">
        <w:rPr>
          <w:rStyle w:val="Rimandonotadichiusura"/>
        </w:rPr>
        <w:endnoteRef/>
      </w:r>
      <w:r w:rsidR="00A50AF4">
        <w:rPr>
          <w:rFonts w:cs="Open Sans"/>
        </w:rPr>
        <w:t xml:space="preserve"> </w:t>
      </w:r>
      <w:r w:rsidR="00A50AF4">
        <w:rPr>
          <w:rFonts w:cs="Open Sans"/>
        </w:rPr>
        <w:tab/>
      </w:r>
      <w:r w:rsidRPr="001B0012">
        <w:rPr>
          <w:rFonts w:cs="Open Sans"/>
        </w:rPr>
        <w:t>‘Statement of concern</w:t>
      </w:r>
      <w:r>
        <w:rPr>
          <w:rFonts w:cs="Open Sans"/>
        </w:rPr>
        <w:t>:</w:t>
      </w:r>
      <w:r w:rsidRPr="001B0012">
        <w:rPr>
          <w:rFonts w:cs="Open Sans"/>
        </w:rPr>
        <w:t xml:space="preserve"> The response to the COVID-19 pandemic for people with disability’ </w:t>
      </w:r>
      <w:r w:rsidRPr="00861DD3">
        <w:rPr>
          <w:rStyle w:val="Enfasicorsivo"/>
        </w:rPr>
        <w:t xml:space="preserve">Royal Commission into Violence, Abuse, Neglect and Exploitation of People with Disability </w:t>
      </w:r>
      <w:r w:rsidRPr="001B0012">
        <w:rPr>
          <w:rFonts w:cs="Open Sans"/>
        </w:rPr>
        <w:t>(Web Page</w:t>
      </w:r>
      <w:r>
        <w:rPr>
          <w:rFonts w:cs="Open Sans"/>
        </w:rPr>
        <w:t xml:space="preserve">, </w:t>
      </w:r>
      <w:r w:rsidRPr="001B0012">
        <w:rPr>
          <w:rFonts w:cs="Open Sans"/>
        </w:rPr>
        <w:t>26 March 2020</w:t>
      </w:r>
      <w:r>
        <w:rPr>
          <w:rFonts w:cs="Open Sans"/>
        </w:rPr>
        <w:t>)</w:t>
      </w:r>
      <w:r w:rsidRPr="001B0012">
        <w:rPr>
          <w:rFonts w:cs="Open Sans"/>
        </w:rPr>
        <w:t xml:space="preserve"> &lt;</w:t>
      </w:r>
      <w:hyperlink r:id="rId22" w:history="1">
        <w:r w:rsidRPr="00A50AF4">
          <w:rPr>
            <w:rStyle w:val="Collegamentoipertestuale"/>
            <w:rFonts w:cs="Open Sans"/>
          </w:rPr>
          <w:t>https://disability.royalcommission.gov.au/publications/statement-concern-response-covid-19-pandemic-people-disability</w:t>
        </w:r>
      </w:hyperlink>
      <w:r w:rsidRPr="001B0012">
        <w:rPr>
          <w:rFonts w:cs="Open Sans"/>
        </w:rPr>
        <w:t>&gt;.</w:t>
      </w:r>
    </w:p>
  </w:endnote>
  <w:endnote w:id="32">
    <w:p w14:paraId="6F87E235" w14:textId="49355B0D"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Recommendation 1.</w:t>
      </w:r>
    </w:p>
  </w:endnote>
  <w:endnote w:id="33">
    <w:p w14:paraId="4AFE046A" w14:textId="1EF2E5FB"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A50AF4">
        <w:rPr>
          <w:rFonts w:cs="Open Sans"/>
        </w:rPr>
        <w:tab/>
      </w:r>
      <w:r w:rsidRPr="001B0012">
        <w:rPr>
          <w:rFonts w:cs="Open Sans"/>
        </w:rPr>
        <w:t xml:space="preserve">Senate Select Committee on COVID-19, </w:t>
      </w:r>
      <w:r w:rsidRPr="00861DD3">
        <w:rPr>
          <w:rStyle w:val="Enfasicorsivo"/>
        </w:rPr>
        <w:t xml:space="preserve">Final Report </w:t>
      </w:r>
      <w:r w:rsidRPr="001B0012">
        <w:rPr>
          <w:rFonts w:cs="Open Sans"/>
        </w:rPr>
        <w:t>(April 2022) Recommendation 2.</w:t>
      </w:r>
    </w:p>
  </w:endnote>
  <w:endnote w:id="34">
    <w:p w14:paraId="0DFC2569" w14:textId="042B49D0"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CC279D">
        <w:rPr>
          <w:rFonts w:cs="Open Sans"/>
        </w:rPr>
        <w:tab/>
      </w:r>
      <w:r w:rsidRPr="00861DD3">
        <w:rPr>
          <w:rStyle w:val="Enfasicorsivo"/>
        </w:rPr>
        <w:t>Human Rights Act 19</w:t>
      </w:r>
      <w:r w:rsidRPr="00CC279D">
        <w:rPr>
          <w:rStyle w:val="Enfasicorsivo"/>
        </w:rPr>
        <w:t>98</w:t>
      </w:r>
      <w:r>
        <w:rPr>
          <w:rFonts w:cs="Open Sans"/>
        </w:rPr>
        <w:t xml:space="preserve"> (UK)</w:t>
      </w:r>
      <w:r w:rsidRPr="001B0012">
        <w:rPr>
          <w:rFonts w:cs="Open Sans"/>
        </w:rPr>
        <w:t xml:space="preserve"> s 6.</w:t>
      </w:r>
    </w:p>
  </w:endnote>
  <w:endnote w:id="35">
    <w:p w14:paraId="1D33EAE3" w14:textId="0BBB5BE0" w:rsidR="006E2E98" w:rsidRPr="001B0012" w:rsidRDefault="006E2E98" w:rsidP="00824386">
      <w:pPr>
        <w:pStyle w:val="Testonotadichiusura"/>
        <w:rPr>
          <w:rFonts w:cs="Open Sans"/>
        </w:rPr>
      </w:pPr>
      <w:r w:rsidRPr="00CC279D">
        <w:rPr>
          <w:rStyle w:val="Rimandonotadichiusura"/>
        </w:rPr>
        <w:endnoteRef/>
      </w:r>
      <w:r w:rsidRPr="001B0012">
        <w:rPr>
          <w:rFonts w:cs="Open Sans"/>
        </w:rPr>
        <w:t xml:space="preserve"> </w:t>
      </w:r>
      <w:r w:rsidR="00CC279D">
        <w:rPr>
          <w:rFonts w:cs="Open Sans"/>
        </w:rPr>
        <w:tab/>
      </w:r>
      <w:r w:rsidRPr="001B0012">
        <w:rPr>
          <w:rFonts w:cs="Open Sans"/>
        </w:rPr>
        <w:t xml:space="preserve">British Institute of Human Rights submission to the Joint Committee on Human Rights, </w:t>
      </w:r>
      <w:r w:rsidRPr="00861DD3">
        <w:rPr>
          <w:rStyle w:val="Enfasicorsivo"/>
        </w:rPr>
        <w:t>Call for Evidence: Independent Review of the Human Rights Act</w:t>
      </w:r>
      <w:r w:rsidRPr="001B0012">
        <w:rPr>
          <w:rFonts w:cs="Open Sans"/>
        </w:rPr>
        <w:t>, March 2021 &lt;</w:t>
      </w:r>
      <w:hyperlink r:id="rId23" w:history="1">
        <w:r w:rsidRPr="001B0012">
          <w:rPr>
            <w:rStyle w:val="Collegamentoipertestuale"/>
            <w:rFonts w:cs="Open Sans"/>
          </w:rPr>
          <w:t>https://www.bihr.org.uk/Handlers/Download.ashx?IDMF=6efd6aef-3bc3-4c75-867c-d744ede5d0c9</w:t>
        </w:r>
      </w:hyperlink>
      <w:r w:rsidRPr="00CC279D">
        <w:t>&gt;.</w:t>
      </w:r>
    </w:p>
  </w:endnote>
  <w:endnote w:id="36">
    <w:p w14:paraId="24ADF4D6" w14:textId="77777777" w:rsidR="00782F2F" w:rsidRPr="001B0012" w:rsidRDefault="00782F2F" w:rsidP="00782F2F">
      <w:pPr>
        <w:pStyle w:val="Testonotadichiusura"/>
        <w:rPr>
          <w:rFonts w:cs="Open Sans"/>
        </w:rPr>
      </w:pPr>
      <w:r w:rsidRPr="005C2EFF">
        <w:rPr>
          <w:rStyle w:val="Rimandonotadichiusura"/>
        </w:rPr>
        <w:endnoteRef/>
      </w:r>
      <w:r w:rsidRPr="001B0012">
        <w:rPr>
          <w:rFonts w:cs="Open Sans"/>
        </w:rPr>
        <w:t xml:space="preserve"> </w:t>
      </w:r>
      <w:r>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24" w:history="1">
        <w:r w:rsidRPr="00CC279D">
          <w:rPr>
            <w:rStyle w:val="Collegamentoipertestuale"/>
            <w:rFonts w:cs="Open Sans"/>
          </w:rPr>
          <w:t>https://www.hrlc.org.au/reports/2022/6/2/charters-of-human-rights-make-our-lives-better</w:t>
        </w:r>
      </w:hyperlink>
      <w:r w:rsidRPr="001B0012">
        <w:rPr>
          <w:rFonts w:cs="Open Sans"/>
        </w:rPr>
        <w:t>&gt; Original source: Victorian Ombudsman, Investigation into the detention and treatment of public housing residents arising from a COVID-19 ‘hard lockdown’ in July 2020, 2020, Inner Melbourne Community Legal Centre.</w:t>
      </w:r>
    </w:p>
  </w:endnote>
  <w:endnote w:id="37">
    <w:p w14:paraId="45B4F7BC" w14:textId="5EC87235" w:rsidR="006E2E98" w:rsidRPr="001B0012" w:rsidRDefault="006E2E98" w:rsidP="00824386">
      <w:pPr>
        <w:pStyle w:val="Testonotadichiusura"/>
        <w:rPr>
          <w:rFonts w:cs="Open Sans"/>
        </w:rPr>
      </w:pPr>
      <w:r w:rsidRPr="005C2EFF">
        <w:rPr>
          <w:rStyle w:val="Rimandonotadichiusura"/>
        </w:rPr>
        <w:endnoteRef/>
      </w:r>
      <w:r w:rsidRPr="001B0012">
        <w:rPr>
          <w:rFonts w:cs="Open Sans"/>
        </w:rPr>
        <w:t xml:space="preserve"> </w:t>
      </w:r>
      <w:r w:rsidR="005C2EFF">
        <w:rPr>
          <w:rFonts w:cs="Open Sans"/>
        </w:rPr>
        <w:tab/>
      </w:r>
      <w:r w:rsidRPr="001B0012">
        <w:rPr>
          <w:rFonts w:cs="Open Sans"/>
        </w:rPr>
        <w:t xml:space="preserve">Human Rights Law Centre, </w:t>
      </w:r>
      <w:r w:rsidRPr="00861DD3">
        <w:rPr>
          <w:rStyle w:val="Enfasicorsivo"/>
        </w:rPr>
        <w:t xml:space="preserve">Charters of Human Rights make our lives Better: 101 Cases showing how </w:t>
      </w:r>
      <w:r w:rsidRPr="001B0012">
        <w:rPr>
          <w:rFonts w:cs="Open Sans"/>
        </w:rPr>
        <w:t>(2022) &lt;</w:t>
      </w:r>
      <w:hyperlink r:id="rId25" w:history="1">
        <w:r w:rsidRPr="005C2EFF">
          <w:rPr>
            <w:rStyle w:val="Collegamentoipertestuale"/>
            <w:rFonts w:cs="Open Sans"/>
          </w:rPr>
          <w:t>https://www.hrlc.org.au/reports/2022/6/2/charters-of-human-rights-make-our-lives-better</w:t>
        </w:r>
      </w:hyperlink>
      <w:r w:rsidRPr="001B0012">
        <w:rPr>
          <w:rFonts w:cs="Open Sans"/>
        </w:rPr>
        <w:t xml:space="preserve">&gt; Original source: Queensland Human Rights Commission, </w:t>
      </w:r>
      <w:r w:rsidRPr="00861DD3">
        <w:rPr>
          <w:rStyle w:val="Enfasicorsivo"/>
        </w:rPr>
        <w:t>The Second Annual Report on the Operation of Queensland’s Human Rights Act 2020–21</w:t>
      </w:r>
      <w:r w:rsidRPr="001B0012">
        <w:rPr>
          <w:rFonts w:cs="Open Sans"/>
        </w:rPr>
        <w:t>, 157.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pen Sans">
    <w:altName w:val="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OpenSans">
    <w:altName w:val="Calibri"/>
    <w:panose1 w:val="020B0606030504020204"/>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0B86" w14:textId="133673A4" w:rsidR="00DC343B" w:rsidRDefault="00DD0877" w:rsidP="009500F7">
    <w:pPr>
      <w:pStyle w:val="Pidipagina"/>
    </w:pPr>
    <w:r>
      <w:t>Free and Equal</w:t>
    </w:r>
    <w:r w:rsidR="009500F7">
      <w:t xml:space="preserve"> • </w:t>
    </w:r>
    <w:r w:rsidR="009500F7" w:rsidRPr="00DD0877">
      <w:t>A Human Rights Act for Australia</w:t>
    </w:r>
    <w:r>
      <w:t xml:space="preserve"> • 2022</w:t>
    </w:r>
    <w:r w:rsidR="009500F7" w:rsidRPr="009500F7">
      <w:rPr>
        <w:rStyle w:val="Reporttitleinheader"/>
        <w:b w:val="0"/>
        <w:bCs/>
      </w:rPr>
      <w:t xml:space="preserve"> |</w:t>
    </w:r>
    <w:r w:rsidR="009500F7">
      <w:rPr>
        <w:color w:val="2B579A"/>
        <w:shd w:val="clear" w:color="auto" w:fill="E6E6E6"/>
      </w:rPr>
      <w:t xml:space="preserve"> </w:t>
    </w:r>
    <w:r w:rsidR="009500F7">
      <w:rPr>
        <w:color w:val="2B579A"/>
        <w:shd w:val="clear" w:color="auto" w:fill="E6E6E6"/>
      </w:rPr>
      <w:fldChar w:fldCharType="begin"/>
    </w:r>
    <w:r w:rsidR="009500F7">
      <w:instrText xml:space="preserve"> PAGE   \* MERGEFORMAT </w:instrText>
    </w:r>
    <w:r w:rsidR="009500F7">
      <w:rPr>
        <w:color w:val="2B579A"/>
        <w:shd w:val="clear" w:color="auto" w:fill="E6E6E6"/>
      </w:rPr>
      <w:fldChar w:fldCharType="separate"/>
    </w:r>
    <w:r w:rsidR="009500F7">
      <w:rPr>
        <w:color w:val="2B579A"/>
        <w:shd w:val="clear" w:color="auto" w:fill="E6E6E6"/>
      </w:rPr>
      <w:t>3</w:t>
    </w:r>
    <w:r w:rsidR="009500F7">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2185" w14:textId="7ED05DCB" w:rsidR="00DA1D32" w:rsidRPr="00245F51" w:rsidRDefault="00DD0877" w:rsidP="005F4C65">
    <w:pPr>
      <w:pStyle w:val="Pidipagina"/>
    </w:pPr>
    <w:r w:rsidRPr="00245F51">
      <w:t xml:space="preserve">Free and Equal • A Human Rights Act </w:t>
    </w:r>
    <w:r w:rsidRPr="005F4C65">
      <w:t>for</w:t>
    </w:r>
    <w:r w:rsidRPr="00245F51">
      <w:t xml:space="preserve"> Australia • </w:t>
    </w:r>
    <w:r w:rsidR="001A5535">
      <w:t xml:space="preserve">Summary </w:t>
    </w:r>
    <w:r w:rsidR="00DE5D9A">
      <w:t>r</w:t>
    </w:r>
    <w:r w:rsidR="001A5535">
      <w:t>eport</w:t>
    </w:r>
    <w:r w:rsidRPr="005F4C65">
      <w:t xml:space="preserve"> | </w:t>
    </w:r>
    <w:r w:rsidRPr="00245F51">
      <w:rPr>
        <w:color w:val="2B579A"/>
        <w:shd w:val="clear" w:color="auto" w:fill="E6E6E6"/>
      </w:rPr>
      <w:fldChar w:fldCharType="begin"/>
    </w:r>
    <w:r w:rsidRPr="00245F51">
      <w:instrText xml:space="preserve"> PAGE   \* MERGEFORMAT </w:instrText>
    </w:r>
    <w:r w:rsidRPr="00245F51">
      <w:rPr>
        <w:color w:val="2B579A"/>
        <w:shd w:val="clear" w:color="auto" w:fill="E6E6E6"/>
      </w:rPr>
      <w:fldChar w:fldCharType="separate"/>
    </w:r>
    <w:r w:rsidRPr="00245F51">
      <w:rPr>
        <w:color w:val="2B579A"/>
        <w:shd w:val="clear" w:color="auto" w:fill="E6E6E6"/>
      </w:rPr>
      <w:t>80</w:t>
    </w:r>
    <w:r w:rsidRPr="00245F51">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F6C2" w14:textId="6A0C5D26" w:rsidR="0063009F" w:rsidRDefault="009500F7" w:rsidP="009500F7">
    <w:pPr>
      <w:pStyle w:val="Pidipagina"/>
    </w:pPr>
    <w:r w:rsidRPr="00902EC3">
      <w:t>Australian Human Rights Commission</w:t>
    </w:r>
    <w:r>
      <w:t xml:space="preserve"> • </w:t>
    </w:r>
    <w:r>
      <w:rPr>
        <w:rStyle w:val="Reporttitleinheader"/>
      </w:rPr>
      <w:t>A Human Rights Act for Australia</w:t>
    </w:r>
    <w:r w:rsidRPr="009500F7">
      <w:rPr>
        <w:rStyle w:val="Reporttitleinheader"/>
        <w:b w:val="0"/>
        <w:bCs/>
      </w:rPr>
      <w:t xml:space="preserve"> |</w:t>
    </w:r>
    <w:r>
      <w:rPr>
        <w:color w:val="2B579A"/>
        <w:shd w:val="clear" w:color="auto" w:fill="E6E6E6"/>
      </w:rPr>
      <w:t xml:space="preserve"> </w:t>
    </w:r>
    <w:r w:rsidR="00CF52CF">
      <w:rPr>
        <w:color w:val="2B579A"/>
        <w:shd w:val="clear" w:color="auto" w:fill="E6E6E6"/>
      </w:rPr>
      <w:fldChar w:fldCharType="begin"/>
    </w:r>
    <w:r w:rsidR="00CF52CF">
      <w:instrText xml:space="preserve"> PAGE   \* MERGEFORMAT </w:instrText>
    </w:r>
    <w:r w:rsidR="00CF52CF">
      <w:rPr>
        <w:color w:val="2B579A"/>
        <w:shd w:val="clear" w:color="auto" w:fill="E6E6E6"/>
      </w:rPr>
      <w:fldChar w:fldCharType="separate"/>
    </w:r>
    <w:r w:rsidR="00CF52CF">
      <w:rPr>
        <w:noProof/>
      </w:rPr>
      <w:t>2</w:t>
    </w:r>
    <w:r w:rsidR="00CF52CF">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2DDE1" w14:textId="77777777" w:rsidR="00A55B0B" w:rsidRDefault="00A55B0B" w:rsidP="00F14C6D">
      <w:r>
        <w:separator/>
      </w:r>
    </w:p>
  </w:footnote>
  <w:footnote w:type="continuationSeparator" w:id="0">
    <w:p w14:paraId="4B3879EB" w14:textId="77777777" w:rsidR="00A55B0B" w:rsidRDefault="00A55B0B" w:rsidP="00F14C6D">
      <w:r>
        <w:continuationSeparator/>
      </w:r>
    </w:p>
  </w:footnote>
  <w:footnote w:type="continuationNotice" w:id="1">
    <w:p w14:paraId="23811107" w14:textId="77777777" w:rsidR="00A55B0B" w:rsidRDefault="00A55B0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3AA5F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1E9C9090"/>
    <w:lvl w:ilvl="0">
      <w:start w:val="1"/>
      <w:numFmt w:val="upperLetter"/>
      <w:pStyle w:val="Numeroelenco5"/>
      <w:lvlText w:val="%1."/>
      <w:lvlJc w:val="left"/>
      <w:pPr>
        <w:ind w:left="851" w:hanging="284"/>
      </w:pPr>
      <w:rPr>
        <w:b w:val="0"/>
        <w:bCs w:val="0"/>
      </w:rPr>
    </w:lvl>
  </w:abstractNum>
  <w:abstractNum w:abstractNumId="2"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3" w15:restartNumberingAfterBreak="0">
    <w:nsid w:val="FFFFFF7F"/>
    <w:multiLevelType w:val="singleLevel"/>
    <w:tmpl w:val="94FC1C0A"/>
    <w:lvl w:ilvl="0">
      <w:start w:val="1"/>
      <w:numFmt w:val="decimal"/>
      <w:pStyle w:val="Numeroelenco2"/>
      <w:lvlText w:val="%1."/>
      <w:lvlJc w:val="left"/>
      <w:pPr>
        <w:tabs>
          <w:tab w:val="num" w:pos="643"/>
        </w:tabs>
        <w:ind w:left="643" w:hanging="360"/>
      </w:pPr>
      <w:rPr>
        <w:b w:val="0"/>
        <w:bCs w:val="0"/>
      </w:rPr>
    </w:lvl>
  </w:abstractNum>
  <w:abstractNum w:abstractNumId="4" w15:restartNumberingAfterBreak="0">
    <w:nsid w:val="FFFFFF80"/>
    <w:multiLevelType w:val="singleLevel"/>
    <w:tmpl w:val="A29A5AC0"/>
    <w:lvl w:ilvl="0">
      <w:start w:val="1"/>
      <w:numFmt w:val="bullet"/>
      <w:pStyle w:val="Puntoelenco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05F6E72C"/>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6C8D5C"/>
    <w:lvl w:ilvl="0">
      <w:start w:val="1"/>
      <w:numFmt w:val="bullet"/>
      <w:pStyle w:val="Puntoelenco3"/>
      <w:lvlText w:val="o"/>
      <w:lvlJc w:val="left"/>
      <w:pPr>
        <w:tabs>
          <w:tab w:val="num" w:pos="1418"/>
        </w:tabs>
        <w:ind w:left="1418" w:hanging="284"/>
      </w:pPr>
      <w:rPr>
        <w:rFonts w:ascii="Courier New" w:hAnsi="Courier New" w:hint="default"/>
      </w:rPr>
    </w:lvl>
  </w:abstractNum>
  <w:abstractNum w:abstractNumId="7" w15:restartNumberingAfterBreak="0">
    <w:nsid w:val="FFFFFF83"/>
    <w:multiLevelType w:val="singleLevel"/>
    <w:tmpl w:val="EF96EA3A"/>
    <w:lvl w:ilvl="0">
      <w:start w:val="1"/>
      <w:numFmt w:val="bullet"/>
      <w:pStyle w:val="Puntoelenco2"/>
      <w:lvlText w:val=""/>
      <w:lvlJc w:val="left"/>
      <w:pPr>
        <w:tabs>
          <w:tab w:val="num" w:pos="1134"/>
        </w:tabs>
        <w:ind w:left="1134" w:hanging="283"/>
      </w:pPr>
      <w:rPr>
        <w:rFonts w:ascii="Symbol" w:hAnsi="Symbol" w:hint="default"/>
      </w:rPr>
    </w:lvl>
  </w:abstractNum>
  <w:abstractNum w:abstractNumId="8" w15:restartNumberingAfterBreak="0">
    <w:nsid w:val="FFFFFF88"/>
    <w:multiLevelType w:val="singleLevel"/>
    <w:tmpl w:val="156419F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24A328C"/>
    <w:lvl w:ilvl="0">
      <w:start w:val="1"/>
      <w:numFmt w:val="bullet"/>
      <w:pStyle w:val="Puntoelenco"/>
      <w:lvlText w:val=""/>
      <w:lvlJc w:val="left"/>
      <w:pPr>
        <w:tabs>
          <w:tab w:val="num" w:pos="287"/>
        </w:tabs>
        <w:ind w:left="287" w:hanging="3"/>
      </w:pPr>
      <w:rPr>
        <w:rFonts w:ascii="Symbol" w:hAnsi="Symbol" w:hint="default"/>
      </w:rPr>
    </w:lvl>
  </w:abstractNum>
  <w:abstractNum w:abstractNumId="10" w15:restartNumberingAfterBreak="0">
    <w:nsid w:val="00631461"/>
    <w:multiLevelType w:val="hybridMultilevel"/>
    <w:tmpl w:val="95F41810"/>
    <w:styleLink w:val="Style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07A7D19"/>
    <w:multiLevelType w:val="multilevel"/>
    <w:tmpl w:val="9EB4F65A"/>
    <w:styleLink w:val="Elencocorrente15"/>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64E0EA6"/>
    <w:multiLevelType w:val="hybridMultilevel"/>
    <w:tmpl w:val="2BB06A3A"/>
    <w:lvl w:ilvl="0" w:tplc="05388B28">
      <w:start w:val="1"/>
      <w:numFmt w:val="lowerLetter"/>
      <w:pStyle w:val="Paragrafoelenco"/>
      <w:lvlText w:val="%1)"/>
      <w:lvlJc w:val="left"/>
      <w:pPr>
        <w:tabs>
          <w:tab w:val="num" w:pos="851"/>
        </w:tabs>
        <w:ind w:left="851"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B8D5499"/>
    <w:multiLevelType w:val="multilevel"/>
    <w:tmpl w:val="F8847D06"/>
    <w:lvl w:ilvl="0">
      <w:numFmt w:val="decimal"/>
      <w:pStyle w:val="NormalIndent1"/>
      <w:lvlText w:val=""/>
      <w:lvlJc w:val="left"/>
    </w:lvl>
    <w:lvl w:ilvl="1">
      <w:start w:val="1"/>
      <w:numFmt w:val="bullet"/>
      <w:lvlText w:val=""/>
      <w:lvlJc w:val="left"/>
      <w:pPr>
        <w:ind w:left="72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F85337"/>
    <w:multiLevelType w:val="hybridMultilevel"/>
    <w:tmpl w:val="39946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3A3C7E"/>
    <w:multiLevelType w:val="multilevel"/>
    <w:tmpl w:val="D46241FE"/>
    <w:styleLink w:val="Elencocorrente17"/>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17277F2"/>
    <w:multiLevelType w:val="hybridMultilevel"/>
    <w:tmpl w:val="B3124472"/>
    <w:lvl w:ilvl="0" w:tplc="A202B9BA">
      <w:start w:val="1"/>
      <w:numFmt w:val="bullet"/>
      <w:pStyle w:val="CopyrightTextBullets"/>
      <w:lvlText w:val=""/>
      <w:lvlJc w:val="left"/>
      <w:pPr>
        <w:tabs>
          <w:tab w:val="num" w:pos="851"/>
        </w:tabs>
        <w:ind w:left="851"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24A54FE"/>
    <w:multiLevelType w:val="hybridMultilevel"/>
    <w:tmpl w:val="9FEE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D20327"/>
    <w:multiLevelType w:val="multilevel"/>
    <w:tmpl w:val="9EB4F65A"/>
    <w:styleLink w:val="Elencocorrente1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C9A7F35"/>
    <w:multiLevelType w:val="hybridMultilevel"/>
    <w:tmpl w:val="AD4CE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3C3DAB"/>
    <w:multiLevelType w:val="hybridMultilevel"/>
    <w:tmpl w:val="C700EAD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757755B"/>
    <w:multiLevelType w:val="hybridMultilevel"/>
    <w:tmpl w:val="5CF45036"/>
    <w:lvl w:ilvl="0" w:tplc="982E8BD4">
      <w:start w:val="1"/>
      <w:numFmt w:val="decimal"/>
      <w:pStyle w:val="Numeroelenco3"/>
      <w:lvlText w:val="%1"/>
      <w:lvlJc w:val="left"/>
      <w:pPr>
        <w:tabs>
          <w:tab w:val="num" w:pos="1134"/>
        </w:tabs>
        <w:ind w:left="1134" w:hanging="283"/>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86E48A6"/>
    <w:multiLevelType w:val="multilevel"/>
    <w:tmpl w:val="3092BFD8"/>
    <w:styleLink w:val="ArticoloSezione"/>
    <w:lvl w:ilvl="0">
      <w:start w:val="1"/>
      <w:numFmt w:val="decimal"/>
      <w:lvlText w:val="%1"/>
      <w:lvlJc w:val="left"/>
      <w:pPr>
        <w:ind w:left="720" w:hanging="360"/>
      </w:pPr>
      <w:rPr>
        <w:rFonts w:hint="default"/>
      </w:rPr>
    </w:lvl>
    <w:lvl w:ilvl="1">
      <w:start w:val="1"/>
      <w:numFmt w:val="decimal"/>
      <w:pStyle w:val="AHRCHeading2"/>
      <w:isLg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8AD20F9"/>
    <w:multiLevelType w:val="multilevel"/>
    <w:tmpl w:val="22F810EC"/>
    <w:styleLink w:val="Elencocorrente9"/>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C986DFA"/>
    <w:multiLevelType w:val="hybridMultilevel"/>
    <w:tmpl w:val="C1AC9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C16DE5"/>
    <w:multiLevelType w:val="multilevel"/>
    <w:tmpl w:val="E8CC8226"/>
    <w:styleLink w:val="Elencocorrente7"/>
    <w:lvl w:ilvl="0">
      <w:start w:val="1"/>
      <w:numFmt w:val="decimal"/>
      <w:lvlText w:val="%1"/>
      <w:lvlJc w:val="left"/>
      <w:pPr>
        <w:tabs>
          <w:tab w:val="num" w:pos="1134"/>
        </w:tabs>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221D82"/>
    <w:multiLevelType w:val="hybridMultilevel"/>
    <w:tmpl w:val="D0F00990"/>
    <w:lvl w:ilvl="0" w:tplc="FFFFFFFF">
      <w:start w:val="1"/>
      <w:numFmt w:val="bullet"/>
      <w:lvlText w:val="•"/>
      <w:lvlJc w:val="left"/>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DBA5235"/>
    <w:multiLevelType w:val="hybridMultilevel"/>
    <w:tmpl w:val="4B1CCB14"/>
    <w:lvl w:ilvl="0" w:tplc="5DB2CBE4">
      <w:start w:val="1"/>
      <w:numFmt w:val="lowerLetter"/>
      <w:pStyle w:val="Titolo3"/>
      <w:lvlText w:val="(%1)"/>
      <w:lvlJc w:val="left"/>
      <w:pPr>
        <w:ind w:left="397" w:hanging="39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EC42FE8"/>
    <w:multiLevelType w:val="hybridMultilevel"/>
    <w:tmpl w:val="43B4AC8C"/>
    <w:styleLink w:val="1ai"/>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3567BFD"/>
    <w:multiLevelType w:val="multilevel"/>
    <w:tmpl w:val="854883A4"/>
    <w:styleLink w:val="Elencocorren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8903D8"/>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5BB577B"/>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7A37607"/>
    <w:multiLevelType w:val="multilevel"/>
    <w:tmpl w:val="07326B6E"/>
    <w:styleLink w:val="Elencocorrente5"/>
    <w:lvl w:ilvl="0">
      <w:start w:val="1"/>
      <w:numFmt w:val="decimal"/>
      <w:lvlText w:val="%1"/>
      <w:lvlJc w:val="left"/>
      <w:pPr>
        <w:tabs>
          <w:tab w:val="num" w:pos="1134"/>
        </w:tabs>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B583B4B"/>
    <w:multiLevelType w:val="multilevel"/>
    <w:tmpl w:val="9EB4F65A"/>
    <w:styleLink w:val="Elencocorrente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C796E59"/>
    <w:multiLevelType w:val="hybridMultilevel"/>
    <w:tmpl w:val="86D8B0C4"/>
    <w:lvl w:ilvl="0" w:tplc="C876D4F0">
      <w:start w:val="1"/>
      <w:numFmt w:val="bullet"/>
      <w:lvlText w:val=""/>
      <w:lvlJc w:val="left"/>
      <w:pPr>
        <w:ind w:left="720" w:hanging="360"/>
      </w:pPr>
      <w:rPr>
        <w:rFonts w:ascii="Symbol" w:hAnsi="Symbol" w:hint="default"/>
      </w:rPr>
    </w:lvl>
    <w:lvl w:ilvl="1" w:tplc="7B2CBCE8">
      <w:start w:val="1"/>
      <w:numFmt w:val="bullet"/>
      <w:lvlText w:val="o"/>
      <w:lvlJc w:val="left"/>
      <w:pPr>
        <w:ind w:left="1440" w:hanging="360"/>
      </w:pPr>
      <w:rPr>
        <w:rFonts w:ascii="Courier New" w:hAnsi="Courier New" w:hint="default"/>
      </w:rPr>
    </w:lvl>
    <w:lvl w:ilvl="2" w:tplc="84DC72B2">
      <w:start w:val="1"/>
      <w:numFmt w:val="bullet"/>
      <w:lvlText w:val=""/>
      <w:lvlJc w:val="left"/>
      <w:pPr>
        <w:ind w:left="2160" w:hanging="360"/>
      </w:pPr>
      <w:rPr>
        <w:rFonts w:ascii="Wingdings" w:hAnsi="Wingdings" w:hint="default"/>
      </w:rPr>
    </w:lvl>
    <w:lvl w:ilvl="3" w:tplc="A41A1104">
      <w:start w:val="1"/>
      <w:numFmt w:val="bullet"/>
      <w:lvlText w:val=""/>
      <w:lvlJc w:val="left"/>
      <w:pPr>
        <w:ind w:left="2880" w:hanging="360"/>
      </w:pPr>
      <w:rPr>
        <w:rFonts w:ascii="Symbol" w:hAnsi="Symbol" w:hint="default"/>
      </w:rPr>
    </w:lvl>
    <w:lvl w:ilvl="4" w:tplc="1AC08DC2">
      <w:start w:val="1"/>
      <w:numFmt w:val="bullet"/>
      <w:lvlText w:val="o"/>
      <w:lvlJc w:val="left"/>
      <w:pPr>
        <w:ind w:left="3600" w:hanging="360"/>
      </w:pPr>
      <w:rPr>
        <w:rFonts w:ascii="Courier New" w:hAnsi="Courier New" w:hint="default"/>
      </w:rPr>
    </w:lvl>
    <w:lvl w:ilvl="5" w:tplc="F856B5C8">
      <w:start w:val="1"/>
      <w:numFmt w:val="bullet"/>
      <w:lvlText w:val=""/>
      <w:lvlJc w:val="left"/>
      <w:pPr>
        <w:ind w:left="4320" w:hanging="360"/>
      </w:pPr>
      <w:rPr>
        <w:rFonts w:ascii="Wingdings" w:hAnsi="Wingdings" w:hint="default"/>
      </w:rPr>
    </w:lvl>
    <w:lvl w:ilvl="6" w:tplc="4844DF50">
      <w:start w:val="1"/>
      <w:numFmt w:val="bullet"/>
      <w:lvlText w:val=""/>
      <w:lvlJc w:val="left"/>
      <w:pPr>
        <w:ind w:left="5040" w:hanging="360"/>
      </w:pPr>
      <w:rPr>
        <w:rFonts w:ascii="Symbol" w:hAnsi="Symbol" w:hint="default"/>
      </w:rPr>
    </w:lvl>
    <w:lvl w:ilvl="7" w:tplc="82F0BDE6">
      <w:start w:val="1"/>
      <w:numFmt w:val="bullet"/>
      <w:lvlText w:val="o"/>
      <w:lvlJc w:val="left"/>
      <w:pPr>
        <w:ind w:left="5760" w:hanging="360"/>
      </w:pPr>
      <w:rPr>
        <w:rFonts w:ascii="Courier New" w:hAnsi="Courier New" w:hint="default"/>
      </w:rPr>
    </w:lvl>
    <w:lvl w:ilvl="8" w:tplc="A7E0F12E">
      <w:start w:val="1"/>
      <w:numFmt w:val="bullet"/>
      <w:lvlText w:val=""/>
      <w:lvlJc w:val="left"/>
      <w:pPr>
        <w:ind w:left="6480" w:hanging="360"/>
      </w:pPr>
      <w:rPr>
        <w:rFonts w:ascii="Wingdings" w:hAnsi="Wingdings" w:hint="default"/>
      </w:rPr>
    </w:lvl>
  </w:abstractNum>
  <w:abstractNum w:abstractNumId="35" w15:restartNumberingAfterBreak="0">
    <w:nsid w:val="4E4322A8"/>
    <w:multiLevelType w:val="multilevel"/>
    <w:tmpl w:val="9FE8224E"/>
    <w:styleLink w:val="111111"/>
    <w:lvl w:ilvl="0">
      <w:start w:val="1"/>
      <w:numFmt w:val="bullet"/>
      <w:lvlText w:val=""/>
      <w:lvlJc w:val="left"/>
      <w:pPr>
        <w:tabs>
          <w:tab w:val="num" w:pos="1074"/>
        </w:tabs>
        <w:ind w:left="1074" w:hanging="360"/>
      </w:pPr>
      <w:rPr>
        <w:rFonts w:ascii="Symbol" w:hAnsi="Symbol" w:hint="default"/>
        <w:sz w:val="20"/>
      </w:rPr>
    </w:lvl>
    <w:lvl w:ilvl="1" w:tentative="1">
      <w:start w:val="1"/>
      <w:numFmt w:val="bullet"/>
      <w:lvlText w:val="o"/>
      <w:lvlJc w:val="left"/>
      <w:pPr>
        <w:tabs>
          <w:tab w:val="num" w:pos="1794"/>
        </w:tabs>
        <w:ind w:left="1794" w:hanging="360"/>
      </w:pPr>
      <w:rPr>
        <w:rFonts w:ascii="Courier New" w:hAnsi="Courier New" w:hint="default"/>
        <w:sz w:val="20"/>
      </w:rPr>
    </w:lvl>
    <w:lvl w:ilvl="2" w:tentative="1">
      <w:start w:val="1"/>
      <w:numFmt w:val="bullet"/>
      <w:lvlText w:val=""/>
      <w:lvlJc w:val="left"/>
      <w:pPr>
        <w:tabs>
          <w:tab w:val="num" w:pos="2514"/>
        </w:tabs>
        <w:ind w:left="2514" w:hanging="360"/>
      </w:pPr>
      <w:rPr>
        <w:rFonts w:ascii="Wingdings" w:hAnsi="Wingdings" w:hint="default"/>
        <w:sz w:val="20"/>
      </w:rPr>
    </w:lvl>
    <w:lvl w:ilvl="3" w:tentative="1">
      <w:start w:val="1"/>
      <w:numFmt w:val="bullet"/>
      <w:lvlText w:val=""/>
      <w:lvlJc w:val="left"/>
      <w:pPr>
        <w:tabs>
          <w:tab w:val="num" w:pos="3234"/>
        </w:tabs>
        <w:ind w:left="3234" w:hanging="360"/>
      </w:pPr>
      <w:rPr>
        <w:rFonts w:ascii="Wingdings" w:hAnsi="Wingdings" w:hint="default"/>
        <w:sz w:val="20"/>
      </w:rPr>
    </w:lvl>
    <w:lvl w:ilvl="4" w:tentative="1">
      <w:start w:val="1"/>
      <w:numFmt w:val="bullet"/>
      <w:lvlText w:val=""/>
      <w:lvlJc w:val="left"/>
      <w:pPr>
        <w:tabs>
          <w:tab w:val="num" w:pos="3954"/>
        </w:tabs>
        <w:ind w:left="3954" w:hanging="360"/>
      </w:pPr>
      <w:rPr>
        <w:rFonts w:ascii="Wingdings" w:hAnsi="Wingdings" w:hint="default"/>
        <w:sz w:val="20"/>
      </w:rPr>
    </w:lvl>
    <w:lvl w:ilvl="5" w:tentative="1">
      <w:start w:val="1"/>
      <w:numFmt w:val="bullet"/>
      <w:lvlText w:val=""/>
      <w:lvlJc w:val="left"/>
      <w:pPr>
        <w:tabs>
          <w:tab w:val="num" w:pos="4674"/>
        </w:tabs>
        <w:ind w:left="4674" w:hanging="360"/>
      </w:pPr>
      <w:rPr>
        <w:rFonts w:ascii="Wingdings" w:hAnsi="Wingdings" w:hint="default"/>
        <w:sz w:val="20"/>
      </w:rPr>
    </w:lvl>
    <w:lvl w:ilvl="6" w:tentative="1">
      <w:start w:val="1"/>
      <w:numFmt w:val="bullet"/>
      <w:lvlText w:val=""/>
      <w:lvlJc w:val="left"/>
      <w:pPr>
        <w:tabs>
          <w:tab w:val="num" w:pos="5394"/>
        </w:tabs>
        <w:ind w:left="5394" w:hanging="360"/>
      </w:pPr>
      <w:rPr>
        <w:rFonts w:ascii="Wingdings" w:hAnsi="Wingdings" w:hint="default"/>
        <w:sz w:val="20"/>
      </w:rPr>
    </w:lvl>
    <w:lvl w:ilvl="7" w:tentative="1">
      <w:start w:val="1"/>
      <w:numFmt w:val="bullet"/>
      <w:lvlText w:val=""/>
      <w:lvlJc w:val="left"/>
      <w:pPr>
        <w:tabs>
          <w:tab w:val="num" w:pos="6114"/>
        </w:tabs>
        <w:ind w:left="6114" w:hanging="360"/>
      </w:pPr>
      <w:rPr>
        <w:rFonts w:ascii="Wingdings" w:hAnsi="Wingdings" w:hint="default"/>
        <w:sz w:val="20"/>
      </w:rPr>
    </w:lvl>
    <w:lvl w:ilvl="8" w:tentative="1">
      <w:start w:val="1"/>
      <w:numFmt w:val="bullet"/>
      <w:lvlText w:val=""/>
      <w:lvlJc w:val="left"/>
      <w:pPr>
        <w:tabs>
          <w:tab w:val="num" w:pos="6834"/>
        </w:tabs>
        <w:ind w:left="6834" w:hanging="360"/>
      </w:pPr>
      <w:rPr>
        <w:rFonts w:ascii="Wingdings" w:hAnsi="Wingdings" w:hint="default"/>
        <w:sz w:val="20"/>
      </w:rPr>
    </w:lvl>
  </w:abstractNum>
  <w:abstractNum w:abstractNumId="36" w15:restartNumberingAfterBreak="0">
    <w:nsid w:val="555012B7"/>
    <w:multiLevelType w:val="multilevel"/>
    <w:tmpl w:val="611A86D4"/>
    <w:styleLink w:val="AHRCReportHeadings"/>
    <w:lvl w:ilvl="0">
      <w:start w:val="1"/>
      <w:numFmt w:val="lowerLetter"/>
      <w:lvlText w:val="%1)"/>
      <w:lvlJc w:val="left"/>
      <w:pPr>
        <w:ind w:left="644"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37" w15:restartNumberingAfterBreak="0">
    <w:nsid w:val="572903D4"/>
    <w:multiLevelType w:val="multilevel"/>
    <w:tmpl w:val="4C4689DA"/>
    <w:styleLink w:val="Elencocorrente19"/>
    <w:lvl w:ilvl="0">
      <w:start w:val="1"/>
      <w:numFmt w:val="lowerLetter"/>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57772B"/>
    <w:multiLevelType w:val="hybridMultilevel"/>
    <w:tmpl w:val="1E4815A8"/>
    <w:lvl w:ilvl="0" w:tplc="4D54E390">
      <w:start w:val="1"/>
      <w:numFmt w:val="bullet"/>
      <w:pStyle w:val="Titolo4"/>
      <w:lvlText w:val=""/>
      <w:lvlJc w:val="left"/>
      <w:pPr>
        <w:tabs>
          <w:tab w:val="num" w:pos="284"/>
        </w:tabs>
        <w:ind w:left="284"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F871AC"/>
    <w:multiLevelType w:val="multilevel"/>
    <w:tmpl w:val="9EB4F65A"/>
    <w:styleLink w:val="Elencocorrente1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FD4E7F2"/>
    <w:multiLevelType w:val="hybridMultilevel"/>
    <w:tmpl w:val="21449E22"/>
    <w:lvl w:ilvl="0" w:tplc="2D1E5A22">
      <w:start w:val="1"/>
      <w:numFmt w:val="bullet"/>
      <w:lvlText w:val=""/>
      <w:lvlJc w:val="left"/>
      <w:pPr>
        <w:ind w:left="720" w:hanging="360"/>
      </w:pPr>
      <w:rPr>
        <w:rFonts w:ascii="Symbol" w:hAnsi="Symbol" w:hint="default"/>
      </w:rPr>
    </w:lvl>
    <w:lvl w:ilvl="1" w:tplc="1F566D20">
      <w:start w:val="1"/>
      <w:numFmt w:val="bullet"/>
      <w:lvlText w:val="o"/>
      <w:lvlJc w:val="left"/>
      <w:pPr>
        <w:ind w:left="1440" w:hanging="360"/>
      </w:pPr>
      <w:rPr>
        <w:rFonts w:ascii="Courier New" w:hAnsi="Courier New" w:hint="default"/>
      </w:rPr>
    </w:lvl>
    <w:lvl w:ilvl="2" w:tplc="CABC0ECE">
      <w:start w:val="1"/>
      <w:numFmt w:val="bullet"/>
      <w:lvlText w:val=""/>
      <w:lvlJc w:val="left"/>
      <w:pPr>
        <w:ind w:left="2160" w:hanging="360"/>
      </w:pPr>
      <w:rPr>
        <w:rFonts w:ascii="Wingdings" w:hAnsi="Wingdings" w:hint="default"/>
      </w:rPr>
    </w:lvl>
    <w:lvl w:ilvl="3" w:tplc="607843E2">
      <w:start w:val="1"/>
      <w:numFmt w:val="bullet"/>
      <w:lvlText w:val=""/>
      <w:lvlJc w:val="left"/>
      <w:pPr>
        <w:ind w:left="2880" w:hanging="360"/>
      </w:pPr>
      <w:rPr>
        <w:rFonts w:ascii="Symbol" w:hAnsi="Symbol" w:hint="default"/>
      </w:rPr>
    </w:lvl>
    <w:lvl w:ilvl="4" w:tplc="A1F826FE">
      <w:start w:val="1"/>
      <w:numFmt w:val="bullet"/>
      <w:lvlText w:val="o"/>
      <w:lvlJc w:val="left"/>
      <w:pPr>
        <w:ind w:left="3600" w:hanging="360"/>
      </w:pPr>
      <w:rPr>
        <w:rFonts w:ascii="Courier New" w:hAnsi="Courier New" w:hint="default"/>
      </w:rPr>
    </w:lvl>
    <w:lvl w:ilvl="5" w:tplc="25AEE816">
      <w:start w:val="1"/>
      <w:numFmt w:val="bullet"/>
      <w:lvlText w:val=""/>
      <w:lvlJc w:val="left"/>
      <w:pPr>
        <w:ind w:left="4320" w:hanging="360"/>
      </w:pPr>
      <w:rPr>
        <w:rFonts w:ascii="Wingdings" w:hAnsi="Wingdings" w:hint="default"/>
      </w:rPr>
    </w:lvl>
    <w:lvl w:ilvl="6" w:tplc="509CE862">
      <w:start w:val="1"/>
      <w:numFmt w:val="bullet"/>
      <w:lvlText w:val=""/>
      <w:lvlJc w:val="left"/>
      <w:pPr>
        <w:ind w:left="5040" w:hanging="360"/>
      </w:pPr>
      <w:rPr>
        <w:rFonts w:ascii="Symbol" w:hAnsi="Symbol" w:hint="default"/>
      </w:rPr>
    </w:lvl>
    <w:lvl w:ilvl="7" w:tplc="7692207C">
      <w:start w:val="1"/>
      <w:numFmt w:val="bullet"/>
      <w:lvlText w:val="o"/>
      <w:lvlJc w:val="left"/>
      <w:pPr>
        <w:ind w:left="5760" w:hanging="360"/>
      </w:pPr>
      <w:rPr>
        <w:rFonts w:ascii="Courier New" w:hAnsi="Courier New" w:hint="default"/>
      </w:rPr>
    </w:lvl>
    <w:lvl w:ilvl="8" w:tplc="8A381036">
      <w:start w:val="1"/>
      <w:numFmt w:val="bullet"/>
      <w:lvlText w:val=""/>
      <w:lvlJc w:val="left"/>
      <w:pPr>
        <w:ind w:left="6480" w:hanging="360"/>
      </w:pPr>
      <w:rPr>
        <w:rFonts w:ascii="Wingdings" w:hAnsi="Wingdings" w:hint="default"/>
      </w:rPr>
    </w:lvl>
  </w:abstractNum>
  <w:abstractNum w:abstractNumId="41" w15:restartNumberingAfterBreak="0">
    <w:nsid w:val="601549E8"/>
    <w:multiLevelType w:val="hybridMultilevel"/>
    <w:tmpl w:val="7F80B3EC"/>
    <w:lvl w:ilvl="0" w:tplc="08506490">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2" w15:restartNumberingAfterBreak="0">
    <w:nsid w:val="64DE5CC9"/>
    <w:multiLevelType w:val="hybridMultilevel"/>
    <w:tmpl w:val="C1125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AD122E"/>
    <w:multiLevelType w:val="multilevel"/>
    <w:tmpl w:val="1B329E54"/>
    <w:styleLink w:val="Elencocorrente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851" w:hanging="851"/>
      </w:pPr>
      <w:rPr>
        <w:rFonts w:hint="default"/>
      </w:rPr>
    </w:lvl>
    <w:lvl w:ilvl="3">
      <w:start w:val="1"/>
      <w:numFmt w:val="lowerRoman"/>
      <w:lvlText w:val="(%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85A0C3E"/>
    <w:multiLevelType w:val="multilevel"/>
    <w:tmpl w:val="D46241FE"/>
    <w:styleLink w:val="Elencocorrente1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6B7B2996"/>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C1A6F57"/>
    <w:multiLevelType w:val="hybridMultilevel"/>
    <w:tmpl w:val="5F04B5EA"/>
    <w:lvl w:ilvl="0" w:tplc="040487C2">
      <w:start w:val="1"/>
      <w:numFmt w:val="decimal"/>
      <w:pStyle w:val="NumeredList1"/>
      <w:lvlText w:val="(%1)"/>
      <w:lvlJc w:val="left"/>
      <w:pPr>
        <w:tabs>
          <w:tab w:val="num" w:pos="851"/>
        </w:tabs>
        <w:ind w:left="851"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2416BFD"/>
    <w:multiLevelType w:val="hybridMultilevel"/>
    <w:tmpl w:val="10C24BF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8" w15:restartNumberingAfterBreak="0">
    <w:nsid w:val="72503738"/>
    <w:multiLevelType w:val="multilevel"/>
    <w:tmpl w:val="9EB4F65A"/>
    <w:styleLink w:val="Elencocorrente1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35F60D6"/>
    <w:multiLevelType w:val="hybridMultilevel"/>
    <w:tmpl w:val="749C26EE"/>
    <w:lvl w:ilvl="0" w:tplc="0078582E">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0" w15:restartNumberingAfterBreak="0">
    <w:nsid w:val="73CD41E7"/>
    <w:multiLevelType w:val="multilevel"/>
    <w:tmpl w:val="7A8CD760"/>
    <w:styleLink w:val="Elencocorrente6"/>
    <w:lvl w:ilvl="0">
      <w:start w:val="1"/>
      <w:numFmt w:val="decimal"/>
      <w:lvlText w:val="%1"/>
      <w:lvlJc w:val="left"/>
      <w:pPr>
        <w:tabs>
          <w:tab w:val="num" w:pos="1134"/>
        </w:tabs>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56A4281"/>
    <w:multiLevelType w:val="multilevel"/>
    <w:tmpl w:val="248C6712"/>
    <w:styleLink w:val="Elencocorrente18"/>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6A0D6E"/>
    <w:multiLevelType w:val="multilevel"/>
    <w:tmpl w:val="92CE503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E792B92"/>
    <w:multiLevelType w:val="multilevel"/>
    <w:tmpl w:val="9EB4F65A"/>
    <w:styleLink w:val="Elencocorrente1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F1777D6"/>
    <w:multiLevelType w:val="hybridMultilevel"/>
    <w:tmpl w:val="2E7A7202"/>
    <w:lvl w:ilvl="0" w:tplc="5718CB96">
      <w:start w:val="1"/>
      <w:numFmt w:val="bullet"/>
      <w:pStyle w:val="Puntoelenco20"/>
      <w:lvlText w:val=""/>
      <w:lvlJc w:val="left"/>
      <w:pPr>
        <w:tabs>
          <w:tab w:val="num" w:pos="1134"/>
        </w:tabs>
        <w:ind w:left="1134" w:hanging="283"/>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F2F1138"/>
    <w:multiLevelType w:val="multilevel"/>
    <w:tmpl w:val="D46241FE"/>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lowerLetter"/>
      <w:lvlText w:val="(%3)"/>
      <w:lvlJc w:val="left"/>
      <w:pPr>
        <w:tabs>
          <w:tab w:val="num" w:pos="397"/>
        </w:tabs>
        <w:ind w:left="397" w:hanging="397"/>
      </w:pPr>
      <w:rPr>
        <w:rFonts w:hint="default"/>
      </w:rPr>
    </w:lvl>
    <w:lvl w:ilvl="3">
      <w:start w:val="1"/>
      <w:numFmt w:val="lowerRoman"/>
      <w:lvlText w:val="(%4)"/>
      <w:lvlJc w:val="left"/>
      <w:pPr>
        <w:tabs>
          <w:tab w:val="num" w:pos="397"/>
        </w:tabs>
        <w:ind w:left="397" w:hanging="3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num w:numId="1" w16cid:durableId="1519658575">
    <w:abstractNumId w:val="9"/>
  </w:num>
  <w:num w:numId="2" w16cid:durableId="528181128">
    <w:abstractNumId w:val="7"/>
  </w:num>
  <w:num w:numId="3" w16cid:durableId="1974747496">
    <w:abstractNumId w:val="6"/>
  </w:num>
  <w:num w:numId="4" w16cid:durableId="1128860515">
    <w:abstractNumId w:val="5"/>
  </w:num>
  <w:num w:numId="5" w16cid:durableId="577058368">
    <w:abstractNumId w:val="4"/>
  </w:num>
  <w:num w:numId="6" w16cid:durableId="84230544">
    <w:abstractNumId w:val="8"/>
  </w:num>
  <w:num w:numId="7" w16cid:durableId="1625962494">
    <w:abstractNumId w:val="2"/>
  </w:num>
  <w:num w:numId="8" w16cid:durableId="2044401474">
    <w:abstractNumId w:val="1"/>
  </w:num>
  <w:num w:numId="9" w16cid:durableId="1530340599">
    <w:abstractNumId w:val="3"/>
  </w:num>
  <w:num w:numId="10" w16cid:durableId="1827668351">
    <w:abstractNumId w:val="35"/>
  </w:num>
  <w:num w:numId="11" w16cid:durableId="1368069311">
    <w:abstractNumId w:val="28"/>
  </w:num>
  <w:num w:numId="12" w16cid:durableId="2063560262">
    <w:abstractNumId w:val="49"/>
  </w:num>
  <w:num w:numId="13" w16cid:durableId="1165121418">
    <w:abstractNumId w:val="41"/>
  </w:num>
  <w:num w:numId="14" w16cid:durableId="1376612955">
    <w:abstractNumId w:val="52"/>
    <w:lvlOverride w:ilvl="0"/>
    <w:lvlOverride w:ilvl="1"/>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16cid:durableId="199979376">
    <w:abstractNumId w:val="10"/>
  </w:num>
  <w:num w:numId="16" w16cid:durableId="448206314">
    <w:abstractNumId w:val="0"/>
  </w:num>
  <w:num w:numId="17" w16cid:durableId="1795949893">
    <w:abstractNumId w:val="26"/>
  </w:num>
  <w:num w:numId="18" w16cid:durableId="1811828824">
    <w:abstractNumId w:val="17"/>
  </w:num>
  <w:num w:numId="19" w16cid:durableId="421994880">
    <w:abstractNumId w:val="47"/>
  </w:num>
  <w:num w:numId="20" w16cid:durableId="1328482451">
    <w:abstractNumId w:val="22"/>
  </w:num>
  <w:num w:numId="21" w16cid:durableId="375738902">
    <w:abstractNumId w:val="13"/>
  </w:num>
  <w:num w:numId="22" w16cid:durableId="1999796607">
    <w:abstractNumId w:val="40"/>
  </w:num>
  <w:num w:numId="23" w16cid:durableId="7221270">
    <w:abstractNumId w:val="42"/>
  </w:num>
  <w:num w:numId="24" w16cid:durableId="1689597743">
    <w:abstractNumId w:val="24"/>
  </w:num>
  <w:num w:numId="25" w16cid:durableId="698169556">
    <w:abstractNumId w:val="19"/>
  </w:num>
  <w:num w:numId="26" w16cid:durableId="763645033">
    <w:abstractNumId w:val="14"/>
  </w:num>
  <w:num w:numId="27" w16cid:durableId="175507784">
    <w:abstractNumId w:val="34"/>
  </w:num>
  <w:num w:numId="28" w16cid:durableId="1755736126">
    <w:abstractNumId w:val="36"/>
  </w:num>
  <w:num w:numId="29" w16cid:durableId="1391809897">
    <w:abstractNumId w:val="55"/>
  </w:num>
  <w:num w:numId="30" w16cid:durableId="1945841739">
    <w:abstractNumId w:val="45"/>
  </w:num>
  <w:num w:numId="31" w16cid:durableId="408424680">
    <w:abstractNumId w:val="30"/>
  </w:num>
  <w:num w:numId="32" w16cid:durableId="1775006885">
    <w:abstractNumId w:val="29"/>
  </w:num>
  <w:num w:numId="33" w16cid:durableId="1471628841">
    <w:abstractNumId w:val="31"/>
  </w:num>
  <w:num w:numId="34" w16cid:durableId="1626080441">
    <w:abstractNumId w:val="21"/>
  </w:num>
  <w:num w:numId="35" w16cid:durableId="891189092">
    <w:abstractNumId w:val="32"/>
  </w:num>
  <w:num w:numId="36" w16cid:durableId="1666320363">
    <w:abstractNumId w:val="50"/>
  </w:num>
  <w:num w:numId="37" w16cid:durableId="56124728">
    <w:abstractNumId w:val="25"/>
  </w:num>
  <w:num w:numId="38" w16cid:durableId="936791321">
    <w:abstractNumId w:val="16"/>
  </w:num>
  <w:num w:numId="39" w16cid:durableId="832717809">
    <w:abstractNumId w:val="43"/>
  </w:num>
  <w:num w:numId="40" w16cid:durableId="778257039">
    <w:abstractNumId w:val="23"/>
  </w:num>
  <w:num w:numId="41" w16cid:durableId="281621323">
    <w:abstractNumId w:val="12"/>
  </w:num>
  <w:num w:numId="42" w16cid:durableId="1254894047">
    <w:abstractNumId w:val="13"/>
    <w:lvlOverride w:ilvl="0"/>
    <w:lvlOverride w:ilvl="1">
      <w:startOverride w:val="1"/>
    </w:lvlOverride>
    <w:lvlOverride w:ilvl="2"/>
    <w:lvlOverride w:ilvl="3"/>
    <w:lvlOverride w:ilvl="4"/>
    <w:lvlOverride w:ilvl="5"/>
    <w:lvlOverride w:ilvl="6"/>
    <w:lvlOverride w:ilvl="7"/>
    <w:lvlOverride w:ilvl="8"/>
  </w:num>
  <w:num w:numId="43" w16cid:durableId="1690522047">
    <w:abstractNumId w:val="13"/>
    <w:lvlOverride w:ilvl="0"/>
    <w:lvlOverride w:ilvl="1">
      <w:startOverride w:val="1"/>
    </w:lvlOverride>
    <w:lvlOverride w:ilvl="2"/>
    <w:lvlOverride w:ilvl="3"/>
    <w:lvlOverride w:ilvl="4"/>
    <w:lvlOverride w:ilvl="5"/>
    <w:lvlOverride w:ilvl="6"/>
    <w:lvlOverride w:ilvl="7"/>
    <w:lvlOverride w:ilvl="8"/>
  </w:num>
  <w:num w:numId="44" w16cid:durableId="301540074">
    <w:abstractNumId w:val="48"/>
  </w:num>
  <w:num w:numId="45" w16cid:durableId="388648168">
    <w:abstractNumId w:val="18"/>
  </w:num>
  <w:num w:numId="46" w16cid:durableId="796486604">
    <w:abstractNumId w:val="39"/>
  </w:num>
  <w:num w:numId="47" w16cid:durableId="1947536314">
    <w:abstractNumId w:val="33"/>
  </w:num>
  <w:num w:numId="48" w16cid:durableId="1521625417">
    <w:abstractNumId w:val="1"/>
    <w:lvlOverride w:ilvl="0">
      <w:startOverride w:val="1"/>
    </w:lvlOverride>
  </w:num>
  <w:num w:numId="49" w16cid:durableId="1523278530">
    <w:abstractNumId w:val="46"/>
  </w:num>
  <w:num w:numId="50" w16cid:durableId="822963104">
    <w:abstractNumId w:val="3"/>
    <w:lvlOverride w:ilvl="0">
      <w:startOverride w:val="1"/>
    </w:lvlOverride>
  </w:num>
  <w:num w:numId="51" w16cid:durableId="1092821448">
    <w:abstractNumId w:val="3"/>
    <w:lvlOverride w:ilvl="0">
      <w:startOverride w:val="1"/>
    </w:lvlOverride>
  </w:num>
  <w:num w:numId="52" w16cid:durableId="1632054032">
    <w:abstractNumId w:val="3"/>
    <w:lvlOverride w:ilvl="0">
      <w:startOverride w:val="1"/>
    </w:lvlOverride>
  </w:num>
  <w:num w:numId="53" w16cid:durableId="1295327745">
    <w:abstractNumId w:val="53"/>
  </w:num>
  <w:num w:numId="54" w16cid:durableId="2077510099">
    <w:abstractNumId w:val="11"/>
  </w:num>
  <w:num w:numId="55" w16cid:durableId="1310786264">
    <w:abstractNumId w:val="38"/>
  </w:num>
  <w:num w:numId="56" w16cid:durableId="1664698701">
    <w:abstractNumId w:val="44"/>
  </w:num>
  <w:num w:numId="57" w16cid:durableId="914555560">
    <w:abstractNumId w:val="20"/>
  </w:num>
  <w:num w:numId="58" w16cid:durableId="189731249">
    <w:abstractNumId w:val="13"/>
    <w:lvlOverride w:ilvl="0"/>
    <w:lvlOverride w:ilvl="1">
      <w:startOverride w:val="1"/>
    </w:lvlOverride>
    <w:lvlOverride w:ilvl="2"/>
    <w:lvlOverride w:ilvl="3"/>
    <w:lvlOverride w:ilvl="4"/>
    <w:lvlOverride w:ilvl="5"/>
    <w:lvlOverride w:ilvl="6"/>
    <w:lvlOverride w:ilvl="7"/>
    <w:lvlOverride w:ilvl="8"/>
  </w:num>
  <w:num w:numId="59" w16cid:durableId="592477063">
    <w:abstractNumId w:val="13"/>
    <w:lvlOverride w:ilvl="0"/>
    <w:lvlOverride w:ilvl="1">
      <w:startOverride w:val="1"/>
    </w:lvlOverride>
    <w:lvlOverride w:ilvl="2"/>
    <w:lvlOverride w:ilvl="3"/>
    <w:lvlOverride w:ilvl="4"/>
    <w:lvlOverride w:ilvl="5"/>
    <w:lvlOverride w:ilvl="6"/>
    <w:lvlOverride w:ilvl="7"/>
    <w:lvlOverride w:ilvl="8"/>
  </w:num>
  <w:num w:numId="60" w16cid:durableId="1974753152">
    <w:abstractNumId w:val="54"/>
  </w:num>
  <w:num w:numId="61" w16cid:durableId="1731033861">
    <w:abstractNumId w:val="15"/>
  </w:num>
  <w:num w:numId="62" w16cid:durableId="1714232533">
    <w:abstractNumId w:val="27"/>
  </w:num>
  <w:num w:numId="63" w16cid:durableId="256985146">
    <w:abstractNumId w:val="51"/>
  </w:num>
  <w:num w:numId="64" w16cid:durableId="51388112">
    <w:abstractNumId w:val="37"/>
  </w:num>
  <w:num w:numId="65" w16cid:durableId="728529164">
    <w:abstractNumId w:val="27"/>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62"/>
    <w:rsid w:val="000000C4"/>
    <w:rsid w:val="000002E4"/>
    <w:rsid w:val="00000376"/>
    <w:rsid w:val="0000053B"/>
    <w:rsid w:val="0000054E"/>
    <w:rsid w:val="00000666"/>
    <w:rsid w:val="000006CA"/>
    <w:rsid w:val="0000075A"/>
    <w:rsid w:val="0000077C"/>
    <w:rsid w:val="00000803"/>
    <w:rsid w:val="00000999"/>
    <w:rsid w:val="00000BC2"/>
    <w:rsid w:val="00000BEE"/>
    <w:rsid w:val="00000C5D"/>
    <w:rsid w:val="00000CD9"/>
    <w:rsid w:val="00000D65"/>
    <w:rsid w:val="00000D6F"/>
    <w:rsid w:val="00000D7A"/>
    <w:rsid w:val="00000FEB"/>
    <w:rsid w:val="0000108F"/>
    <w:rsid w:val="0000119F"/>
    <w:rsid w:val="0000131C"/>
    <w:rsid w:val="00001498"/>
    <w:rsid w:val="000015EC"/>
    <w:rsid w:val="0000191F"/>
    <w:rsid w:val="0000195E"/>
    <w:rsid w:val="00001B5E"/>
    <w:rsid w:val="00001BB1"/>
    <w:rsid w:val="00001BC2"/>
    <w:rsid w:val="00001C1F"/>
    <w:rsid w:val="00001D0A"/>
    <w:rsid w:val="00001D38"/>
    <w:rsid w:val="00001DF0"/>
    <w:rsid w:val="00001EEB"/>
    <w:rsid w:val="00001F21"/>
    <w:rsid w:val="00001F26"/>
    <w:rsid w:val="00002417"/>
    <w:rsid w:val="00002480"/>
    <w:rsid w:val="00002549"/>
    <w:rsid w:val="00002B1E"/>
    <w:rsid w:val="00002B81"/>
    <w:rsid w:val="00002D58"/>
    <w:rsid w:val="0000303D"/>
    <w:rsid w:val="000033F1"/>
    <w:rsid w:val="00003402"/>
    <w:rsid w:val="00003499"/>
    <w:rsid w:val="00003507"/>
    <w:rsid w:val="00003583"/>
    <w:rsid w:val="00003808"/>
    <w:rsid w:val="00003875"/>
    <w:rsid w:val="00003941"/>
    <w:rsid w:val="00003AB3"/>
    <w:rsid w:val="00003E5C"/>
    <w:rsid w:val="00003EA5"/>
    <w:rsid w:val="00003FB7"/>
    <w:rsid w:val="000040EE"/>
    <w:rsid w:val="00004225"/>
    <w:rsid w:val="000042DA"/>
    <w:rsid w:val="000043E3"/>
    <w:rsid w:val="00004508"/>
    <w:rsid w:val="00004770"/>
    <w:rsid w:val="00004A73"/>
    <w:rsid w:val="00004AC7"/>
    <w:rsid w:val="00004B34"/>
    <w:rsid w:val="00004B90"/>
    <w:rsid w:val="00004CAE"/>
    <w:rsid w:val="00004D32"/>
    <w:rsid w:val="000052D2"/>
    <w:rsid w:val="00005491"/>
    <w:rsid w:val="000056A9"/>
    <w:rsid w:val="000057CE"/>
    <w:rsid w:val="00005939"/>
    <w:rsid w:val="00005B2F"/>
    <w:rsid w:val="00005E3E"/>
    <w:rsid w:val="00006117"/>
    <w:rsid w:val="000061AA"/>
    <w:rsid w:val="0000627E"/>
    <w:rsid w:val="00006439"/>
    <w:rsid w:val="000064BB"/>
    <w:rsid w:val="000065C1"/>
    <w:rsid w:val="000065C3"/>
    <w:rsid w:val="000065C6"/>
    <w:rsid w:val="00006644"/>
    <w:rsid w:val="00006934"/>
    <w:rsid w:val="00006AA2"/>
    <w:rsid w:val="00006AB8"/>
    <w:rsid w:val="00006D4B"/>
    <w:rsid w:val="00007274"/>
    <w:rsid w:val="00007293"/>
    <w:rsid w:val="000072CB"/>
    <w:rsid w:val="00007411"/>
    <w:rsid w:val="00007446"/>
    <w:rsid w:val="0000747C"/>
    <w:rsid w:val="000074EF"/>
    <w:rsid w:val="0000764C"/>
    <w:rsid w:val="0000769B"/>
    <w:rsid w:val="00007A31"/>
    <w:rsid w:val="00007A44"/>
    <w:rsid w:val="00007CC0"/>
    <w:rsid w:val="00007CCD"/>
    <w:rsid w:val="00007F12"/>
    <w:rsid w:val="0001032F"/>
    <w:rsid w:val="00010387"/>
    <w:rsid w:val="000103B1"/>
    <w:rsid w:val="000103C3"/>
    <w:rsid w:val="000103CC"/>
    <w:rsid w:val="00010407"/>
    <w:rsid w:val="0001048F"/>
    <w:rsid w:val="000104CF"/>
    <w:rsid w:val="000105D9"/>
    <w:rsid w:val="000105E4"/>
    <w:rsid w:val="0001061B"/>
    <w:rsid w:val="000107C9"/>
    <w:rsid w:val="000107DA"/>
    <w:rsid w:val="0001080A"/>
    <w:rsid w:val="0001087E"/>
    <w:rsid w:val="0001088F"/>
    <w:rsid w:val="0001089D"/>
    <w:rsid w:val="00010A1F"/>
    <w:rsid w:val="00010A60"/>
    <w:rsid w:val="00010B70"/>
    <w:rsid w:val="00010DBD"/>
    <w:rsid w:val="00010E8E"/>
    <w:rsid w:val="000110E6"/>
    <w:rsid w:val="00011165"/>
    <w:rsid w:val="00011446"/>
    <w:rsid w:val="00011507"/>
    <w:rsid w:val="00011588"/>
    <w:rsid w:val="000115BF"/>
    <w:rsid w:val="00011602"/>
    <w:rsid w:val="0001164D"/>
    <w:rsid w:val="00011798"/>
    <w:rsid w:val="00011871"/>
    <w:rsid w:val="00011B08"/>
    <w:rsid w:val="00011B28"/>
    <w:rsid w:val="00011D14"/>
    <w:rsid w:val="00011D73"/>
    <w:rsid w:val="00012148"/>
    <w:rsid w:val="000121B9"/>
    <w:rsid w:val="000124E7"/>
    <w:rsid w:val="000124FD"/>
    <w:rsid w:val="00012524"/>
    <w:rsid w:val="000127BF"/>
    <w:rsid w:val="000128B7"/>
    <w:rsid w:val="00012933"/>
    <w:rsid w:val="00012C6E"/>
    <w:rsid w:val="000133F7"/>
    <w:rsid w:val="0001351E"/>
    <w:rsid w:val="00013538"/>
    <w:rsid w:val="00013645"/>
    <w:rsid w:val="0001378A"/>
    <w:rsid w:val="000137BE"/>
    <w:rsid w:val="00013875"/>
    <w:rsid w:val="00013986"/>
    <w:rsid w:val="000139B0"/>
    <w:rsid w:val="00013A74"/>
    <w:rsid w:val="00013B14"/>
    <w:rsid w:val="00013D25"/>
    <w:rsid w:val="00013D73"/>
    <w:rsid w:val="00013EFE"/>
    <w:rsid w:val="00013F1B"/>
    <w:rsid w:val="00013F5C"/>
    <w:rsid w:val="00013F8D"/>
    <w:rsid w:val="00014253"/>
    <w:rsid w:val="0001428D"/>
    <w:rsid w:val="00014297"/>
    <w:rsid w:val="00014562"/>
    <w:rsid w:val="000145DA"/>
    <w:rsid w:val="00014650"/>
    <w:rsid w:val="000146C7"/>
    <w:rsid w:val="0001474D"/>
    <w:rsid w:val="00014B67"/>
    <w:rsid w:val="00014CD8"/>
    <w:rsid w:val="00014EBC"/>
    <w:rsid w:val="00014F56"/>
    <w:rsid w:val="000152D6"/>
    <w:rsid w:val="000156D6"/>
    <w:rsid w:val="0001585D"/>
    <w:rsid w:val="0001589F"/>
    <w:rsid w:val="000158F4"/>
    <w:rsid w:val="00015A4B"/>
    <w:rsid w:val="00015AA4"/>
    <w:rsid w:val="00015C66"/>
    <w:rsid w:val="00015D2F"/>
    <w:rsid w:val="00015D7C"/>
    <w:rsid w:val="00015D99"/>
    <w:rsid w:val="00015EE4"/>
    <w:rsid w:val="00016120"/>
    <w:rsid w:val="00016134"/>
    <w:rsid w:val="000161C2"/>
    <w:rsid w:val="00016309"/>
    <w:rsid w:val="000163F1"/>
    <w:rsid w:val="00016401"/>
    <w:rsid w:val="0001651A"/>
    <w:rsid w:val="0001665C"/>
    <w:rsid w:val="0001667A"/>
    <w:rsid w:val="00016742"/>
    <w:rsid w:val="00016758"/>
    <w:rsid w:val="00016822"/>
    <w:rsid w:val="000168BD"/>
    <w:rsid w:val="00016A3F"/>
    <w:rsid w:val="00016A6C"/>
    <w:rsid w:val="00016B77"/>
    <w:rsid w:val="00016B87"/>
    <w:rsid w:val="00016DAA"/>
    <w:rsid w:val="00016F5F"/>
    <w:rsid w:val="00017176"/>
    <w:rsid w:val="00017341"/>
    <w:rsid w:val="0001745F"/>
    <w:rsid w:val="00017495"/>
    <w:rsid w:val="000174D6"/>
    <w:rsid w:val="0001751F"/>
    <w:rsid w:val="00017642"/>
    <w:rsid w:val="00017939"/>
    <w:rsid w:val="00017984"/>
    <w:rsid w:val="00017A7E"/>
    <w:rsid w:val="00017B52"/>
    <w:rsid w:val="00017B94"/>
    <w:rsid w:val="00017CAA"/>
    <w:rsid w:val="00017F9B"/>
    <w:rsid w:val="0002003C"/>
    <w:rsid w:val="0002006A"/>
    <w:rsid w:val="00020076"/>
    <w:rsid w:val="0002050B"/>
    <w:rsid w:val="0002066B"/>
    <w:rsid w:val="000206BC"/>
    <w:rsid w:val="00020852"/>
    <w:rsid w:val="00020912"/>
    <w:rsid w:val="0002095E"/>
    <w:rsid w:val="00020CC3"/>
    <w:rsid w:val="00020D40"/>
    <w:rsid w:val="00020DF1"/>
    <w:rsid w:val="00020EF7"/>
    <w:rsid w:val="000212D4"/>
    <w:rsid w:val="00021875"/>
    <w:rsid w:val="00021C32"/>
    <w:rsid w:val="00021C35"/>
    <w:rsid w:val="00021C85"/>
    <w:rsid w:val="00021D77"/>
    <w:rsid w:val="00021DB1"/>
    <w:rsid w:val="00021E04"/>
    <w:rsid w:val="00022055"/>
    <w:rsid w:val="000220D7"/>
    <w:rsid w:val="00022172"/>
    <w:rsid w:val="00022292"/>
    <w:rsid w:val="000223D5"/>
    <w:rsid w:val="00022418"/>
    <w:rsid w:val="000224E7"/>
    <w:rsid w:val="0002270B"/>
    <w:rsid w:val="0002275D"/>
    <w:rsid w:val="000228B9"/>
    <w:rsid w:val="000228E6"/>
    <w:rsid w:val="00022C21"/>
    <w:rsid w:val="00022CD3"/>
    <w:rsid w:val="00022D6A"/>
    <w:rsid w:val="00022E5E"/>
    <w:rsid w:val="000230AA"/>
    <w:rsid w:val="000230CD"/>
    <w:rsid w:val="00023159"/>
    <w:rsid w:val="00023370"/>
    <w:rsid w:val="00023407"/>
    <w:rsid w:val="000235AE"/>
    <w:rsid w:val="000236B7"/>
    <w:rsid w:val="00023797"/>
    <w:rsid w:val="000238AE"/>
    <w:rsid w:val="000238F4"/>
    <w:rsid w:val="00023A89"/>
    <w:rsid w:val="00023AA4"/>
    <w:rsid w:val="00023B34"/>
    <w:rsid w:val="00023E23"/>
    <w:rsid w:val="00023F15"/>
    <w:rsid w:val="00023F4E"/>
    <w:rsid w:val="00024260"/>
    <w:rsid w:val="0002436D"/>
    <w:rsid w:val="00024617"/>
    <w:rsid w:val="000246B8"/>
    <w:rsid w:val="000246D4"/>
    <w:rsid w:val="0002476A"/>
    <w:rsid w:val="000248A7"/>
    <w:rsid w:val="000248A8"/>
    <w:rsid w:val="000249A2"/>
    <w:rsid w:val="000249F0"/>
    <w:rsid w:val="00024A09"/>
    <w:rsid w:val="00024AD0"/>
    <w:rsid w:val="00024AE8"/>
    <w:rsid w:val="00024B2F"/>
    <w:rsid w:val="00024B44"/>
    <w:rsid w:val="00024B9E"/>
    <w:rsid w:val="00024D44"/>
    <w:rsid w:val="00024E36"/>
    <w:rsid w:val="00024EBB"/>
    <w:rsid w:val="0002512E"/>
    <w:rsid w:val="0002514B"/>
    <w:rsid w:val="000251D4"/>
    <w:rsid w:val="00025282"/>
    <w:rsid w:val="00025585"/>
    <w:rsid w:val="00025639"/>
    <w:rsid w:val="00025651"/>
    <w:rsid w:val="0002568C"/>
    <w:rsid w:val="0002590E"/>
    <w:rsid w:val="00025A68"/>
    <w:rsid w:val="00025B3D"/>
    <w:rsid w:val="00025B4E"/>
    <w:rsid w:val="00025D6A"/>
    <w:rsid w:val="00025E3B"/>
    <w:rsid w:val="00025E4D"/>
    <w:rsid w:val="00025F20"/>
    <w:rsid w:val="00026063"/>
    <w:rsid w:val="000263D5"/>
    <w:rsid w:val="000263E9"/>
    <w:rsid w:val="00026524"/>
    <w:rsid w:val="0002659A"/>
    <w:rsid w:val="000269F2"/>
    <w:rsid w:val="00026EC7"/>
    <w:rsid w:val="0002701A"/>
    <w:rsid w:val="00027160"/>
    <w:rsid w:val="00027268"/>
    <w:rsid w:val="000272CE"/>
    <w:rsid w:val="00027358"/>
    <w:rsid w:val="0002742B"/>
    <w:rsid w:val="0002746B"/>
    <w:rsid w:val="00027700"/>
    <w:rsid w:val="00027747"/>
    <w:rsid w:val="000278B2"/>
    <w:rsid w:val="00027A08"/>
    <w:rsid w:val="00027C00"/>
    <w:rsid w:val="00027CF8"/>
    <w:rsid w:val="00027E87"/>
    <w:rsid w:val="00027E9A"/>
    <w:rsid w:val="00030011"/>
    <w:rsid w:val="0003021E"/>
    <w:rsid w:val="00030380"/>
    <w:rsid w:val="00030575"/>
    <w:rsid w:val="00030616"/>
    <w:rsid w:val="000306EF"/>
    <w:rsid w:val="00030711"/>
    <w:rsid w:val="00030759"/>
    <w:rsid w:val="0003081F"/>
    <w:rsid w:val="000308D4"/>
    <w:rsid w:val="00030948"/>
    <w:rsid w:val="00030A10"/>
    <w:rsid w:val="00030BC0"/>
    <w:rsid w:val="00030C9D"/>
    <w:rsid w:val="000310AF"/>
    <w:rsid w:val="000310DB"/>
    <w:rsid w:val="000311CD"/>
    <w:rsid w:val="00031212"/>
    <w:rsid w:val="000314E9"/>
    <w:rsid w:val="00031567"/>
    <w:rsid w:val="000315DC"/>
    <w:rsid w:val="00031944"/>
    <w:rsid w:val="00031959"/>
    <w:rsid w:val="0003197E"/>
    <w:rsid w:val="000319D2"/>
    <w:rsid w:val="00031B7D"/>
    <w:rsid w:val="00031C47"/>
    <w:rsid w:val="00031DA5"/>
    <w:rsid w:val="00031E98"/>
    <w:rsid w:val="0003201C"/>
    <w:rsid w:val="0003216F"/>
    <w:rsid w:val="000322D3"/>
    <w:rsid w:val="00032485"/>
    <w:rsid w:val="000324F9"/>
    <w:rsid w:val="00032733"/>
    <w:rsid w:val="000327DE"/>
    <w:rsid w:val="000328F9"/>
    <w:rsid w:val="00032AE0"/>
    <w:rsid w:val="00032B02"/>
    <w:rsid w:val="00032C39"/>
    <w:rsid w:val="00032D21"/>
    <w:rsid w:val="00032E8A"/>
    <w:rsid w:val="00032E8E"/>
    <w:rsid w:val="00032FC7"/>
    <w:rsid w:val="00033056"/>
    <w:rsid w:val="000331B6"/>
    <w:rsid w:val="00033224"/>
    <w:rsid w:val="00033334"/>
    <w:rsid w:val="00033388"/>
    <w:rsid w:val="00033394"/>
    <w:rsid w:val="000333A1"/>
    <w:rsid w:val="000333EE"/>
    <w:rsid w:val="00033737"/>
    <w:rsid w:val="00033977"/>
    <w:rsid w:val="000339A6"/>
    <w:rsid w:val="00033A04"/>
    <w:rsid w:val="00033A60"/>
    <w:rsid w:val="00033B0A"/>
    <w:rsid w:val="00033BD9"/>
    <w:rsid w:val="00033C39"/>
    <w:rsid w:val="00033CE5"/>
    <w:rsid w:val="0003416B"/>
    <w:rsid w:val="00034290"/>
    <w:rsid w:val="00034349"/>
    <w:rsid w:val="000343FF"/>
    <w:rsid w:val="00034425"/>
    <w:rsid w:val="00034796"/>
    <w:rsid w:val="00034848"/>
    <w:rsid w:val="00034A96"/>
    <w:rsid w:val="00034FB8"/>
    <w:rsid w:val="00035432"/>
    <w:rsid w:val="00035474"/>
    <w:rsid w:val="0003560C"/>
    <w:rsid w:val="000356C2"/>
    <w:rsid w:val="00035985"/>
    <w:rsid w:val="000359E2"/>
    <w:rsid w:val="00035C37"/>
    <w:rsid w:val="00035CF9"/>
    <w:rsid w:val="00035F48"/>
    <w:rsid w:val="00036036"/>
    <w:rsid w:val="00036047"/>
    <w:rsid w:val="000364C1"/>
    <w:rsid w:val="00036569"/>
    <w:rsid w:val="00036665"/>
    <w:rsid w:val="000366C1"/>
    <w:rsid w:val="000368E3"/>
    <w:rsid w:val="00036988"/>
    <w:rsid w:val="000369BB"/>
    <w:rsid w:val="00036B1A"/>
    <w:rsid w:val="00036BE4"/>
    <w:rsid w:val="00036D8A"/>
    <w:rsid w:val="00037012"/>
    <w:rsid w:val="000370CB"/>
    <w:rsid w:val="000370DF"/>
    <w:rsid w:val="000370F8"/>
    <w:rsid w:val="0003723F"/>
    <w:rsid w:val="000373D9"/>
    <w:rsid w:val="000376C8"/>
    <w:rsid w:val="000377EA"/>
    <w:rsid w:val="000378F9"/>
    <w:rsid w:val="0003793A"/>
    <w:rsid w:val="00037CB6"/>
    <w:rsid w:val="00037D52"/>
    <w:rsid w:val="00037FE6"/>
    <w:rsid w:val="00040152"/>
    <w:rsid w:val="000402A0"/>
    <w:rsid w:val="000404CC"/>
    <w:rsid w:val="00040540"/>
    <w:rsid w:val="00040559"/>
    <w:rsid w:val="000405AA"/>
    <w:rsid w:val="000407DC"/>
    <w:rsid w:val="00040AD7"/>
    <w:rsid w:val="00040BD9"/>
    <w:rsid w:val="00040C7C"/>
    <w:rsid w:val="00040DAC"/>
    <w:rsid w:val="00040DFA"/>
    <w:rsid w:val="00040F36"/>
    <w:rsid w:val="00041052"/>
    <w:rsid w:val="00041067"/>
    <w:rsid w:val="00041337"/>
    <w:rsid w:val="00041522"/>
    <w:rsid w:val="000416CD"/>
    <w:rsid w:val="00041B23"/>
    <w:rsid w:val="000421A9"/>
    <w:rsid w:val="0004231B"/>
    <w:rsid w:val="000424B2"/>
    <w:rsid w:val="00042537"/>
    <w:rsid w:val="0004274B"/>
    <w:rsid w:val="000427EC"/>
    <w:rsid w:val="00042878"/>
    <w:rsid w:val="000428C8"/>
    <w:rsid w:val="00042E93"/>
    <w:rsid w:val="00042F85"/>
    <w:rsid w:val="00042FDC"/>
    <w:rsid w:val="0004305A"/>
    <w:rsid w:val="000430B8"/>
    <w:rsid w:val="00043187"/>
    <w:rsid w:val="000432E9"/>
    <w:rsid w:val="00043327"/>
    <w:rsid w:val="00043741"/>
    <w:rsid w:val="000437BB"/>
    <w:rsid w:val="000437EB"/>
    <w:rsid w:val="000438BA"/>
    <w:rsid w:val="0004399E"/>
    <w:rsid w:val="000439E8"/>
    <w:rsid w:val="00043A3E"/>
    <w:rsid w:val="00043AF5"/>
    <w:rsid w:val="00043BAF"/>
    <w:rsid w:val="00043E6C"/>
    <w:rsid w:val="00043E8E"/>
    <w:rsid w:val="00043F28"/>
    <w:rsid w:val="0004414E"/>
    <w:rsid w:val="00044153"/>
    <w:rsid w:val="00044537"/>
    <w:rsid w:val="00044546"/>
    <w:rsid w:val="0004455D"/>
    <w:rsid w:val="000445AF"/>
    <w:rsid w:val="000449E4"/>
    <w:rsid w:val="00044A5E"/>
    <w:rsid w:val="00044BE9"/>
    <w:rsid w:val="00044E13"/>
    <w:rsid w:val="00045009"/>
    <w:rsid w:val="00045119"/>
    <w:rsid w:val="00045172"/>
    <w:rsid w:val="00045429"/>
    <w:rsid w:val="00045596"/>
    <w:rsid w:val="000455DB"/>
    <w:rsid w:val="000455FE"/>
    <w:rsid w:val="00045668"/>
    <w:rsid w:val="00045712"/>
    <w:rsid w:val="0004586B"/>
    <w:rsid w:val="00045B47"/>
    <w:rsid w:val="00045C4B"/>
    <w:rsid w:val="00045DC6"/>
    <w:rsid w:val="00045DEE"/>
    <w:rsid w:val="00045E05"/>
    <w:rsid w:val="00045E91"/>
    <w:rsid w:val="00045FA3"/>
    <w:rsid w:val="000460F0"/>
    <w:rsid w:val="000461B3"/>
    <w:rsid w:val="0004629D"/>
    <w:rsid w:val="000462C3"/>
    <w:rsid w:val="000465D0"/>
    <w:rsid w:val="000465F1"/>
    <w:rsid w:val="00046630"/>
    <w:rsid w:val="00046AD9"/>
    <w:rsid w:val="00046B73"/>
    <w:rsid w:val="00046C44"/>
    <w:rsid w:val="00046DCA"/>
    <w:rsid w:val="00046EEB"/>
    <w:rsid w:val="00046FB4"/>
    <w:rsid w:val="00046FBE"/>
    <w:rsid w:val="00046FF3"/>
    <w:rsid w:val="000470A5"/>
    <w:rsid w:val="0004744B"/>
    <w:rsid w:val="00047458"/>
    <w:rsid w:val="00047533"/>
    <w:rsid w:val="000477F8"/>
    <w:rsid w:val="0004787E"/>
    <w:rsid w:val="00047888"/>
    <w:rsid w:val="00047D7F"/>
    <w:rsid w:val="00047D8A"/>
    <w:rsid w:val="00047DC1"/>
    <w:rsid w:val="00047EC6"/>
    <w:rsid w:val="00047F86"/>
    <w:rsid w:val="0005001D"/>
    <w:rsid w:val="0005014D"/>
    <w:rsid w:val="00050264"/>
    <w:rsid w:val="00050280"/>
    <w:rsid w:val="0005033D"/>
    <w:rsid w:val="00050480"/>
    <w:rsid w:val="0005074B"/>
    <w:rsid w:val="0005097F"/>
    <w:rsid w:val="00050A6F"/>
    <w:rsid w:val="00050C52"/>
    <w:rsid w:val="00050CD5"/>
    <w:rsid w:val="00050EFA"/>
    <w:rsid w:val="00050F23"/>
    <w:rsid w:val="000510DF"/>
    <w:rsid w:val="000512C3"/>
    <w:rsid w:val="00051468"/>
    <w:rsid w:val="000515DB"/>
    <w:rsid w:val="00051608"/>
    <w:rsid w:val="000518C0"/>
    <w:rsid w:val="00051B89"/>
    <w:rsid w:val="00051C13"/>
    <w:rsid w:val="00051F7C"/>
    <w:rsid w:val="0005214C"/>
    <w:rsid w:val="00052180"/>
    <w:rsid w:val="00052200"/>
    <w:rsid w:val="000524D4"/>
    <w:rsid w:val="000525A2"/>
    <w:rsid w:val="00052677"/>
    <w:rsid w:val="00052680"/>
    <w:rsid w:val="000526BD"/>
    <w:rsid w:val="000527EB"/>
    <w:rsid w:val="00052A5F"/>
    <w:rsid w:val="00052B47"/>
    <w:rsid w:val="00052BE0"/>
    <w:rsid w:val="00052C0D"/>
    <w:rsid w:val="00052C24"/>
    <w:rsid w:val="00052CF4"/>
    <w:rsid w:val="00052E10"/>
    <w:rsid w:val="00052E71"/>
    <w:rsid w:val="00052FCE"/>
    <w:rsid w:val="00053094"/>
    <w:rsid w:val="0005327D"/>
    <w:rsid w:val="00053327"/>
    <w:rsid w:val="000534AC"/>
    <w:rsid w:val="00053636"/>
    <w:rsid w:val="0005372F"/>
    <w:rsid w:val="00053748"/>
    <w:rsid w:val="0005379A"/>
    <w:rsid w:val="00053881"/>
    <w:rsid w:val="00053B38"/>
    <w:rsid w:val="00053BD4"/>
    <w:rsid w:val="00053CFE"/>
    <w:rsid w:val="00053D7A"/>
    <w:rsid w:val="00053E6D"/>
    <w:rsid w:val="00053FF0"/>
    <w:rsid w:val="00054295"/>
    <w:rsid w:val="000542FB"/>
    <w:rsid w:val="00054310"/>
    <w:rsid w:val="0005438A"/>
    <w:rsid w:val="000543DD"/>
    <w:rsid w:val="00054568"/>
    <w:rsid w:val="00054569"/>
    <w:rsid w:val="000546F2"/>
    <w:rsid w:val="000549A6"/>
    <w:rsid w:val="00054B9E"/>
    <w:rsid w:val="00054DCC"/>
    <w:rsid w:val="00054E6E"/>
    <w:rsid w:val="00054F36"/>
    <w:rsid w:val="00054FA9"/>
    <w:rsid w:val="0005502C"/>
    <w:rsid w:val="00055091"/>
    <w:rsid w:val="000551B5"/>
    <w:rsid w:val="000552BC"/>
    <w:rsid w:val="000553F9"/>
    <w:rsid w:val="000553FA"/>
    <w:rsid w:val="000555C1"/>
    <w:rsid w:val="00055615"/>
    <w:rsid w:val="00055A70"/>
    <w:rsid w:val="00055B03"/>
    <w:rsid w:val="00055E08"/>
    <w:rsid w:val="00055F87"/>
    <w:rsid w:val="0005602F"/>
    <w:rsid w:val="000564AC"/>
    <w:rsid w:val="00056AFD"/>
    <w:rsid w:val="00056B54"/>
    <w:rsid w:val="00056B6C"/>
    <w:rsid w:val="00056D05"/>
    <w:rsid w:val="00056E68"/>
    <w:rsid w:val="00056ED8"/>
    <w:rsid w:val="00056FFE"/>
    <w:rsid w:val="000571E9"/>
    <w:rsid w:val="0005760E"/>
    <w:rsid w:val="000577B7"/>
    <w:rsid w:val="00057854"/>
    <w:rsid w:val="00057975"/>
    <w:rsid w:val="000579B1"/>
    <w:rsid w:val="00057AC8"/>
    <w:rsid w:val="00057AD5"/>
    <w:rsid w:val="00057B2E"/>
    <w:rsid w:val="00057BB4"/>
    <w:rsid w:val="00057BD6"/>
    <w:rsid w:val="00057DD5"/>
    <w:rsid w:val="00057F4D"/>
    <w:rsid w:val="00057FBB"/>
    <w:rsid w:val="00060000"/>
    <w:rsid w:val="00060052"/>
    <w:rsid w:val="00060142"/>
    <w:rsid w:val="000601B0"/>
    <w:rsid w:val="000603A1"/>
    <w:rsid w:val="000606A6"/>
    <w:rsid w:val="000607A6"/>
    <w:rsid w:val="000607FF"/>
    <w:rsid w:val="00060803"/>
    <w:rsid w:val="00060A2F"/>
    <w:rsid w:val="00060C08"/>
    <w:rsid w:val="00060C88"/>
    <w:rsid w:val="00060D54"/>
    <w:rsid w:val="0006112B"/>
    <w:rsid w:val="000611D2"/>
    <w:rsid w:val="000611F5"/>
    <w:rsid w:val="000611FE"/>
    <w:rsid w:val="00061263"/>
    <w:rsid w:val="00061541"/>
    <w:rsid w:val="0006175A"/>
    <w:rsid w:val="000617C2"/>
    <w:rsid w:val="00061818"/>
    <w:rsid w:val="000618C9"/>
    <w:rsid w:val="00061977"/>
    <w:rsid w:val="00061C6C"/>
    <w:rsid w:val="00061CD8"/>
    <w:rsid w:val="00061DBA"/>
    <w:rsid w:val="00061DEA"/>
    <w:rsid w:val="00061FBA"/>
    <w:rsid w:val="000620E6"/>
    <w:rsid w:val="000620F3"/>
    <w:rsid w:val="000621EE"/>
    <w:rsid w:val="000622F7"/>
    <w:rsid w:val="000623E6"/>
    <w:rsid w:val="00062470"/>
    <w:rsid w:val="00062498"/>
    <w:rsid w:val="000624AA"/>
    <w:rsid w:val="00062834"/>
    <w:rsid w:val="0006293F"/>
    <w:rsid w:val="000629AB"/>
    <w:rsid w:val="00062A5C"/>
    <w:rsid w:val="00062B41"/>
    <w:rsid w:val="00062C2E"/>
    <w:rsid w:val="00062C8A"/>
    <w:rsid w:val="00062D09"/>
    <w:rsid w:val="00062D48"/>
    <w:rsid w:val="00062D59"/>
    <w:rsid w:val="00062E96"/>
    <w:rsid w:val="0006315D"/>
    <w:rsid w:val="000631DA"/>
    <w:rsid w:val="00063213"/>
    <w:rsid w:val="0006322F"/>
    <w:rsid w:val="00063247"/>
    <w:rsid w:val="0006385B"/>
    <w:rsid w:val="00063867"/>
    <w:rsid w:val="00063DC6"/>
    <w:rsid w:val="00063EA7"/>
    <w:rsid w:val="00064303"/>
    <w:rsid w:val="0006441E"/>
    <w:rsid w:val="00064480"/>
    <w:rsid w:val="00064547"/>
    <w:rsid w:val="0006464D"/>
    <w:rsid w:val="00064673"/>
    <w:rsid w:val="00064978"/>
    <w:rsid w:val="00064A4F"/>
    <w:rsid w:val="00064A5B"/>
    <w:rsid w:val="00064B9E"/>
    <w:rsid w:val="00064CB0"/>
    <w:rsid w:val="00064CCD"/>
    <w:rsid w:val="00064CFB"/>
    <w:rsid w:val="0006502F"/>
    <w:rsid w:val="00065145"/>
    <w:rsid w:val="0006522E"/>
    <w:rsid w:val="0006527A"/>
    <w:rsid w:val="00065697"/>
    <w:rsid w:val="00065736"/>
    <w:rsid w:val="0006585C"/>
    <w:rsid w:val="00065860"/>
    <w:rsid w:val="000659C8"/>
    <w:rsid w:val="00065AC1"/>
    <w:rsid w:val="00065CB4"/>
    <w:rsid w:val="00065D30"/>
    <w:rsid w:val="00065E0C"/>
    <w:rsid w:val="00065EC1"/>
    <w:rsid w:val="00065EEA"/>
    <w:rsid w:val="00065F74"/>
    <w:rsid w:val="000660A4"/>
    <w:rsid w:val="00066357"/>
    <w:rsid w:val="0006641C"/>
    <w:rsid w:val="0006668C"/>
    <w:rsid w:val="0006680C"/>
    <w:rsid w:val="00066A33"/>
    <w:rsid w:val="00066B17"/>
    <w:rsid w:val="00066B74"/>
    <w:rsid w:val="00066C08"/>
    <w:rsid w:val="00066C68"/>
    <w:rsid w:val="00066DAF"/>
    <w:rsid w:val="00066DF3"/>
    <w:rsid w:val="0006714C"/>
    <w:rsid w:val="000672DA"/>
    <w:rsid w:val="000672F2"/>
    <w:rsid w:val="00067336"/>
    <w:rsid w:val="0006748E"/>
    <w:rsid w:val="00067680"/>
    <w:rsid w:val="000676E8"/>
    <w:rsid w:val="0006773C"/>
    <w:rsid w:val="0006777D"/>
    <w:rsid w:val="0006788B"/>
    <w:rsid w:val="00067A5D"/>
    <w:rsid w:val="00067B12"/>
    <w:rsid w:val="00067F45"/>
    <w:rsid w:val="0006ABE7"/>
    <w:rsid w:val="00070146"/>
    <w:rsid w:val="0007039F"/>
    <w:rsid w:val="000703E3"/>
    <w:rsid w:val="000704F5"/>
    <w:rsid w:val="00070500"/>
    <w:rsid w:val="000705B8"/>
    <w:rsid w:val="00070605"/>
    <w:rsid w:val="00070677"/>
    <w:rsid w:val="000707D5"/>
    <w:rsid w:val="00070B6A"/>
    <w:rsid w:val="00070CD9"/>
    <w:rsid w:val="00070F38"/>
    <w:rsid w:val="00071181"/>
    <w:rsid w:val="000711ED"/>
    <w:rsid w:val="00071242"/>
    <w:rsid w:val="0007159C"/>
    <w:rsid w:val="000716E8"/>
    <w:rsid w:val="00071821"/>
    <w:rsid w:val="0007182C"/>
    <w:rsid w:val="00071847"/>
    <w:rsid w:val="000718BF"/>
    <w:rsid w:val="000718F5"/>
    <w:rsid w:val="00071BA1"/>
    <w:rsid w:val="00071BAC"/>
    <w:rsid w:val="00071C9C"/>
    <w:rsid w:val="00071F48"/>
    <w:rsid w:val="00072002"/>
    <w:rsid w:val="0007212E"/>
    <w:rsid w:val="00072375"/>
    <w:rsid w:val="000725B0"/>
    <w:rsid w:val="00072932"/>
    <w:rsid w:val="00072AED"/>
    <w:rsid w:val="00072C03"/>
    <w:rsid w:val="00072C8F"/>
    <w:rsid w:val="00072DF9"/>
    <w:rsid w:val="00072EDA"/>
    <w:rsid w:val="00072FCE"/>
    <w:rsid w:val="0007334A"/>
    <w:rsid w:val="00073506"/>
    <w:rsid w:val="00073578"/>
    <w:rsid w:val="000735E5"/>
    <w:rsid w:val="00073AC5"/>
    <w:rsid w:val="00073AFC"/>
    <w:rsid w:val="00073C5E"/>
    <w:rsid w:val="00073D36"/>
    <w:rsid w:val="00073E51"/>
    <w:rsid w:val="00073F8E"/>
    <w:rsid w:val="00073FEC"/>
    <w:rsid w:val="0007405C"/>
    <w:rsid w:val="00074143"/>
    <w:rsid w:val="000741BC"/>
    <w:rsid w:val="00074343"/>
    <w:rsid w:val="00074378"/>
    <w:rsid w:val="000744D8"/>
    <w:rsid w:val="000745B1"/>
    <w:rsid w:val="0007467C"/>
    <w:rsid w:val="00074684"/>
    <w:rsid w:val="0007472D"/>
    <w:rsid w:val="00074987"/>
    <w:rsid w:val="00074C4F"/>
    <w:rsid w:val="00074D9E"/>
    <w:rsid w:val="00074E86"/>
    <w:rsid w:val="00075015"/>
    <w:rsid w:val="00075025"/>
    <w:rsid w:val="000750DA"/>
    <w:rsid w:val="000751D5"/>
    <w:rsid w:val="0007554F"/>
    <w:rsid w:val="0007563B"/>
    <w:rsid w:val="0007569B"/>
    <w:rsid w:val="000757DD"/>
    <w:rsid w:val="00075803"/>
    <w:rsid w:val="00075887"/>
    <w:rsid w:val="000758B6"/>
    <w:rsid w:val="00075A8A"/>
    <w:rsid w:val="00075DD8"/>
    <w:rsid w:val="00075DE9"/>
    <w:rsid w:val="00075E46"/>
    <w:rsid w:val="00076024"/>
    <w:rsid w:val="00076063"/>
    <w:rsid w:val="0007614C"/>
    <w:rsid w:val="000762C3"/>
    <w:rsid w:val="000762F3"/>
    <w:rsid w:val="0007638E"/>
    <w:rsid w:val="000763D6"/>
    <w:rsid w:val="0007660B"/>
    <w:rsid w:val="000767AC"/>
    <w:rsid w:val="000768D5"/>
    <w:rsid w:val="00076AD5"/>
    <w:rsid w:val="00076AFD"/>
    <w:rsid w:val="00076E01"/>
    <w:rsid w:val="00077018"/>
    <w:rsid w:val="00077233"/>
    <w:rsid w:val="00077405"/>
    <w:rsid w:val="00077439"/>
    <w:rsid w:val="0007745F"/>
    <w:rsid w:val="000774A4"/>
    <w:rsid w:val="00077547"/>
    <w:rsid w:val="0007777C"/>
    <w:rsid w:val="00077808"/>
    <w:rsid w:val="00077B7D"/>
    <w:rsid w:val="00077D16"/>
    <w:rsid w:val="00077E62"/>
    <w:rsid w:val="00080063"/>
    <w:rsid w:val="000800F6"/>
    <w:rsid w:val="00080354"/>
    <w:rsid w:val="0008035A"/>
    <w:rsid w:val="000803BA"/>
    <w:rsid w:val="000804C6"/>
    <w:rsid w:val="00080819"/>
    <w:rsid w:val="0008082D"/>
    <w:rsid w:val="0008099F"/>
    <w:rsid w:val="000809FD"/>
    <w:rsid w:val="00080B65"/>
    <w:rsid w:val="00080C70"/>
    <w:rsid w:val="00080CCE"/>
    <w:rsid w:val="00080D6E"/>
    <w:rsid w:val="00080F9F"/>
    <w:rsid w:val="00081170"/>
    <w:rsid w:val="000811F6"/>
    <w:rsid w:val="00081215"/>
    <w:rsid w:val="000813D8"/>
    <w:rsid w:val="0008169C"/>
    <w:rsid w:val="00081780"/>
    <w:rsid w:val="000818B2"/>
    <w:rsid w:val="00081B68"/>
    <w:rsid w:val="00081BF4"/>
    <w:rsid w:val="00081DA4"/>
    <w:rsid w:val="00081E13"/>
    <w:rsid w:val="00082248"/>
    <w:rsid w:val="000822A1"/>
    <w:rsid w:val="000822D5"/>
    <w:rsid w:val="0008232D"/>
    <w:rsid w:val="000823CE"/>
    <w:rsid w:val="00082738"/>
    <w:rsid w:val="000828C4"/>
    <w:rsid w:val="00082A33"/>
    <w:rsid w:val="00082A56"/>
    <w:rsid w:val="00082B60"/>
    <w:rsid w:val="00082BE3"/>
    <w:rsid w:val="00082C80"/>
    <w:rsid w:val="00082D10"/>
    <w:rsid w:val="00082DF5"/>
    <w:rsid w:val="00082E07"/>
    <w:rsid w:val="00082FA9"/>
    <w:rsid w:val="000832AD"/>
    <w:rsid w:val="0008353F"/>
    <w:rsid w:val="000835F8"/>
    <w:rsid w:val="000837F0"/>
    <w:rsid w:val="0008398C"/>
    <w:rsid w:val="00083AE3"/>
    <w:rsid w:val="00083C90"/>
    <w:rsid w:val="000840E2"/>
    <w:rsid w:val="000841FF"/>
    <w:rsid w:val="0008420C"/>
    <w:rsid w:val="00084294"/>
    <w:rsid w:val="000844E9"/>
    <w:rsid w:val="000845B4"/>
    <w:rsid w:val="0008466D"/>
    <w:rsid w:val="00084764"/>
    <w:rsid w:val="000847AF"/>
    <w:rsid w:val="00084938"/>
    <w:rsid w:val="00084969"/>
    <w:rsid w:val="000849CE"/>
    <w:rsid w:val="00084F9B"/>
    <w:rsid w:val="00084FE7"/>
    <w:rsid w:val="00084FFB"/>
    <w:rsid w:val="000852E7"/>
    <w:rsid w:val="000852F5"/>
    <w:rsid w:val="000853F2"/>
    <w:rsid w:val="00085532"/>
    <w:rsid w:val="0008564C"/>
    <w:rsid w:val="000859A0"/>
    <w:rsid w:val="000859E4"/>
    <w:rsid w:val="00085BB7"/>
    <w:rsid w:val="00086317"/>
    <w:rsid w:val="00086499"/>
    <w:rsid w:val="000864BC"/>
    <w:rsid w:val="00086647"/>
    <w:rsid w:val="0008668C"/>
    <w:rsid w:val="000866F0"/>
    <w:rsid w:val="0008674C"/>
    <w:rsid w:val="0008684E"/>
    <w:rsid w:val="00086A30"/>
    <w:rsid w:val="00086A4E"/>
    <w:rsid w:val="00086B6F"/>
    <w:rsid w:val="00086BB8"/>
    <w:rsid w:val="00086DCE"/>
    <w:rsid w:val="000871B4"/>
    <w:rsid w:val="000871BF"/>
    <w:rsid w:val="00087860"/>
    <w:rsid w:val="00087A17"/>
    <w:rsid w:val="00087CEF"/>
    <w:rsid w:val="00087D1A"/>
    <w:rsid w:val="00087D4B"/>
    <w:rsid w:val="000902FF"/>
    <w:rsid w:val="00090374"/>
    <w:rsid w:val="0009060C"/>
    <w:rsid w:val="0009071F"/>
    <w:rsid w:val="000908A2"/>
    <w:rsid w:val="00090C22"/>
    <w:rsid w:val="00090D58"/>
    <w:rsid w:val="00090E31"/>
    <w:rsid w:val="00090F69"/>
    <w:rsid w:val="000911AC"/>
    <w:rsid w:val="00091341"/>
    <w:rsid w:val="00091483"/>
    <w:rsid w:val="0009149D"/>
    <w:rsid w:val="000914B7"/>
    <w:rsid w:val="0009164C"/>
    <w:rsid w:val="00091A99"/>
    <w:rsid w:val="00091B51"/>
    <w:rsid w:val="00091B8E"/>
    <w:rsid w:val="00091B95"/>
    <w:rsid w:val="00091C72"/>
    <w:rsid w:val="00091F58"/>
    <w:rsid w:val="00092004"/>
    <w:rsid w:val="00092310"/>
    <w:rsid w:val="00092405"/>
    <w:rsid w:val="000924DD"/>
    <w:rsid w:val="0009269B"/>
    <w:rsid w:val="00092868"/>
    <w:rsid w:val="00092A1C"/>
    <w:rsid w:val="00092BC1"/>
    <w:rsid w:val="00092C46"/>
    <w:rsid w:val="00092C8E"/>
    <w:rsid w:val="00092FB8"/>
    <w:rsid w:val="0009307F"/>
    <w:rsid w:val="000930CB"/>
    <w:rsid w:val="0009310B"/>
    <w:rsid w:val="0009322C"/>
    <w:rsid w:val="000932CF"/>
    <w:rsid w:val="00093499"/>
    <w:rsid w:val="00093579"/>
    <w:rsid w:val="000937F6"/>
    <w:rsid w:val="000938CB"/>
    <w:rsid w:val="00093913"/>
    <w:rsid w:val="00093971"/>
    <w:rsid w:val="000939EF"/>
    <w:rsid w:val="00093E41"/>
    <w:rsid w:val="00093F22"/>
    <w:rsid w:val="00093FBD"/>
    <w:rsid w:val="00094107"/>
    <w:rsid w:val="0009411F"/>
    <w:rsid w:val="0009412B"/>
    <w:rsid w:val="0009437A"/>
    <w:rsid w:val="00094383"/>
    <w:rsid w:val="000943C1"/>
    <w:rsid w:val="000943CD"/>
    <w:rsid w:val="00094498"/>
    <w:rsid w:val="000944A5"/>
    <w:rsid w:val="00094741"/>
    <w:rsid w:val="00094ABB"/>
    <w:rsid w:val="00094C06"/>
    <w:rsid w:val="00094C67"/>
    <w:rsid w:val="00094F6E"/>
    <w:rsid w:val="0009511C"/>
    <w:rsid w:val="00095133"/>
    <w:rsid w:val="000951DD"/>
    <w:rsid w:val="00095504"/>
    <w:rsid w:val="0009553F"/>
    <w:rsid w:val="00095574"/>
    <w:rsid w:val="000958FD"/>
    <w:rsid w:val="000959AA"/>
    <w:rsid w:val="00095E90"/>
    <w:rsid w:val="00095F60"/>
    <w:rsid w:val="0009605E"/>
    <w:rsid w:val="000961AB"/>
    <w:rsid w:val="000963A8"/>
    <w:rsid w:val="000963E5"/>
    <w:rsid w:val="000966DE"/>
    <w:rsid w:val="000968FB"/>
    <w:rsid w:val="00096A5C"/>
    <w:rsid w:val="00096ADF"/>
    <w:rsid w:val="00096B07"/>
    <w:rsid w:val="00096C32"/>
    <w:rsid w:val="00096F0B"/>
    <w:rsid w:val="00096F88"/>
    <w:rsid w:val="0009719D"/>
    <w:rsid w:val="000971AC"/>
    <w:rsid w:val="000971FF"/>
    <w:rsid w:val="00097202"/>
    <w:rsid w:val="00097770"/>
    <w:rsid w:val="0009787F"/>
    <w:rsid w:val="00097A94"/>
    <w:rsid w:val="00097F95"/>
    <w:rsid w:val="000A002B"/>
    <w:rsid w:val="000A010E"/>
    <w:rsid w:val="000A0119"/>
    <w:rsid w:val="000A0328"/>
    <w:rsid w:val="000A0404"/>
    <w:rsid w:val="000A0579"/>
    <w:rsid w:val="000A066C"/>
    <w:rsid w:val="000A06A6"/>
    <w:rsid w:val="000A078F"/>
    <w:rsid w:val="000A087F"/>
    <w:rsid w:val="000A0A8C"/>
    <w:rsid w:val="000A0D38"/>
    <w:rsid w:val="000A1189"/>
    <w:rsid w:val="000A1201"/>
    <w:rsid w:val="000A161D"/>
    <w:rsid w:val="000A162F"/>
    <w:rsid w:val="000A192A"/>
    <w:rsid w:val="000A1A83"/>
    <w:rsid w:val="000A1C4E"/>
    <w:rsid w:val="000A1DB8"/>
    <w:rsid w:val="000A2151"/>
    <w:rsid w:val="000A22AD"/>
    <w:rsid w:val="000A2445"/>
    <w:rsid w:val="000A274B"/>
    <w:rsid w:val="000A28A9"/>
    <w:rsid w:val="000A28CE"/>
    <w:rsid w:val="000A2B9D"/>
    <w:rsid w:val="000A2BBC"/>
    <w:rsid w:val="000A2C5D"/>
    <w:rsid w:val="000A2D41"/>
    <w:rsid w:val="000A2D5B"/>
    <w:rsid w:val="000A2DC7"/>
    <w:rsid w:val="000A2ED4"/>
    <w:rsid w:val="000A2EE8"/>
    <w:rsid w:val="000A310B"/>
    <w:rsid w:val="000A31A1"/>
    <w:rsid w:val="000A31C6"/>
    <w:rsid w:val="000A3378"/>
    <w:rsid w:val="000A35E1"/>
    <w:rsid w:val="000A364A"/>
    <w:rsid w:val="000A3752"/>
    <w:rsid w:val="000A37A1"/>
    <w:rsid w:val="000A39D0"/>
    <w:rsid w:val="000A3F45"/>
    <w:rsid w:val="000A3F64"/>
    <w:rsid w:val="000A44B9"/>
    <w:rsid w:val="000A45D4"/>
    <w:rsid w:val="000A4601"/>
    <w:rsid w:val="000A4717"/>
    <w:rsid w:val="000A4741"/>
    <w:rsid w:val="000A47B9"/>
    <w:rsid w:val="000A48AC"/>
    <w:rsid w:val="000A4A2F"/>
    <w:rsid w:val="000A4ADA"/>
    <w:rsid w:val="000A4BA9"/>
    <w:rsid w:val="000A4DE7"/>
    <w:rsid w:val="000A5033"/>
    <w:rsid w:val="000A505A"/>
    <w:rsid w:val="000A5061"/>
    <w:rsid w:val="000A509D"/>
    <w:rsid w:val="000A5193"/>
    <w:rsid w:val="000A520E"/>
    <w:rsid w:val="000A543A"/>
    <w:rsid w:val="000A556C"/>
    <w:rsid w:val="000A58AA"/>
    <w:rsid w:val="000A5B43"/>
    <w:rsid w:val="000A5F2B"/>
    <w:rsid w:val="000A601A"/>
    <w:rsid w:val="000A63B8"/>
    <w:rsid w:val="000A664C"/>
    <w:rsid w:val="000A6733"/>
    <w:rsid w:val="000A6760"/>
    <w:rsid w:val="000A6840"/>
    <w:rsid w:val="000A6906"/>
    <w:rsid w:val="000A6922"/>
    <w:rsid w:val="000A6C89"/>
    <w:rsid w:val="000A6E39"/>
    <w:rsid w:val="000A6EFF"/>
    <w:rsid w:val="000A6F6D"/>
    <w:rsid w:val="000A6F95"/>
    <w:rsid w:val="000A71C0"/>
    <w:rsid w:val="000A7510"/>
    <w:rsid w:val="000A78A4"/>
    <w:rsid w:val="000A78DA"/>
    <w:rsid w:val="000A79B2"/>
    <w:rsid w:val="000A7AA1"/>
    <w:rsid w:val="000A7B8A"/>
    <w:rsid w:val="000A7C62"/>
    <w:rsid w:val="000A7E6E"/>
    <w:rsid w:val="000A7EFF"/>
    <w:rsid w:val="000B0131"/>
    <w:rsid w:val="000B0179"/>
    <w:rsid w:val="000B02E2"/>
    <w:rsid w:val="000B035A"/>
    <w:rsid w:val="000B0373"/>
    <w:rsid w:val="000B053F"/>
    <w:rsid w:val="000B0603"/>
    <w:rsid w:val="000B060A"/>
    <w:rsid w:val="000B067F"/>
    <w:rsid w:val="000B0782"/>
    <w:rsid w:val="000B081B"/>
    <w:rsid w:val="000B0A5D"/>
    <w:rsid w:val="000B0A9A"/>
    <w:rsid w:val="000B0B14"/>
    <w:rsid w:val="000B0B94"/>
    <w:rsid w:val="000B0D88"/>
    <w:rsid w:val="000B0F1F"/>
    <w:rsid w:val="000B1219"/>
    <w:rsid w:val="000B1364"/>
    <w:rsid w:val="000B143A"/>
    <w:rsid w:val="000B14C5"/>
    <w:rsid w:val="000B1685"/>
    <w:rsid w:val="000B172F"/>
    <w:rsid w:val="000B1848"/>
    <w:rsid w:val="000B1C5E"/>
    <w:rsid w:val="000B1D1C"/>
    <w:rsid w:val="000B1D21"/>
    <w:rsid w:val="000B1DA5"/>
    <w:rsid w:val="000B1DBC"/>
    <w:rsid w:val="000B2042"/>
    <w:rsid w:val="000B220A"/>
    <w:rsid w:val="000B2345"/>
    <w:rsid w:val="000B23F7"/>
    <w:rsid w:val="000B24FD"/>
    <w:rsid w:val="000B26B6"/>
    <w:rsid w:val="000B2BC5"/>
    <w:rsid w:val="000B2BE3"/>
    <w:rsid w:val="000B2C96"/>
    <w:rsid w:val="000B2CA3"/>
    <w:rsid w:val="000B2D6D"/>
    <w:rsid w:val="000B2FCD"/>
    <w:rsid w:val="000B3160"/>
    <w:rsid w:val="000B3194"/>
    <w:rsid w:val="000B31F7"/>
    <w:rsid w:val="000B33B9"/>
    <w:rsid w:val="000B33E4"/>
    <w:rsid w:val="000B34F2"/>
    <w:rsid w:val="000B35C9"/>
    <w:rsid w:val="000B374A"/>
    <w:rsid w:val="000B37BC"/>
    <w:rsid w:val="000B3895"/>
    <w:rsid w:val="000B39E6"/>
    <w:rsid w:val="000B3AE5"/>
    <w:rsid w:val="000B3AE9"/>
    <w:rsid w:val="000B3BCD"/>
    <w:rsid w:val="000B3D7A"/>
    <w:rsid w:val="000B3DE7"/>
    <w:rsid w:val="000B3E12"/>
    <w:rsid w:val="000B3F79"/>
    <w:rsid w:val="000B41CA"/>
    <w:rsid w:val="000B42D9"/>
    <w:rsid w:val="000B43A8"/>
    <w:rsid w:val="000B4638"/>
    <w:rsid w:val="000B46FB"/>
    <w:rsid w:val="000B473E"/>
    <w:rsid w:val="000B4754"/>
    <w:rsid w:val="000B47E5"/>
    <w:rsid w:val="000B4911"/>
    <w:rsid w:val="000B499A"/>
    <w:rsid w:val="000B4BE6"/>
    <w:rsid w:val="000B4C19"/>
    <w:rsid w:val="000B4C72"/>
    <w:rsid w:val="000B4CFD"/>
    <w:rsid w:val="000B4D27"/>
    <w:rsid w:val="000B4DF8"/>
    <w:rsid w:val="000B4F0B"/>
    <w:rsid w:val="000B4F9C"/>
    <w:rsid w:val="000B5174"/>
    <w:rsid w:val="000B51CC"/>
    <w:rsid w:val="000B5221"/>
    <w:rsid w:val="000B53C0"/>
    <w:rsid w:val="000B542D"/>
    <w:rsid w:val="000B56A7"/>
    <w:rsid w:val="000B5737"/>
    <w:rsid w:val="000B5988"/>
    <w:rsid w:val="000B5B68"/>
    <w:rsid w:val="000B5EF0"/>
    <w:rsid w:val="000B6072"/>
    <w:rsid w:val="000B609D"/>
    <w:rsid w:val="000B62A4"/>
    <w:rsid w:val="000B62B0"/>
    <w:rsid w:val="000B62E1"/>
    <w:rsid w:val="000B632D"/>
    <w:rsid w:val="000B638E"/>
    <w:rsid w:val="000B63BE"/>
    <w:rsid w:val="000B63E8"/>
    <w:rsid w:val="000B6408"/>
    <w:rsid w:val="000B6467"/>
    <w:rsid w:val="000B6493"/>
    <w:rsid w:val="000B6596"/>
    <w:rsid w:val="000B65B6"/>
    <w:rsid w:val="000B6786"/>
    <w:rsid w:val="000B67F5"/>
    <w:rsid w:val="000B6958"/>
    <w:rsid w:val="000B6B35"/>
    <w:rsid w:val="000B6D00"/>
    <w:rsid w:val="000B6DDD"/>
    <w:rsid w:val="000B6F28"/>
    <w:rsid w:val="000B70C2"/>
    <w:rsid w:val="000B7195"/>
    <w:rsid w:val="000B735F"/>
    <w:rsid w:val="000B7422"/>
    <w:rsid w:val="000B7427"/>
    <w:rsid w:val="000B7554"/>
    <w:rsid w:val="000B75C3"/>
    <w:rsid w:val="000B75C8"/>
    <w:rsid w:val="000B7712"/>
    <w:rsid w:val="000B789E"/>
    <w:rsid w:val="000B7A90"/>
    <w:rsid w:val="000B7D40"/>
    <w:rsid w:val="000B7EB2"/>
    <w:rsid w:val="000B7F6E"/>
    <w:rsid w:val="000C01E8"/>
    <w:rsid w:val="000C039A"/>
    <w:rsid w:val="000C0575"/>
    <w:rsid w:val="000C095F"/>
    <w:rsid w:val="000C0AB5"/>
    <w:rsid w:val="000C0AD9"/>
    <w:rsid w:val="000C0CBF"/>
    <w:rsid w:val="000C0CD6"/>
    <w:rsid w:val="000C0F47"/>
    <w:rsid w:val="000C0FDC"/>
    <w:rsid w:val="000C10B6"/>
    <w:rsid w:val="000C12BC"/>
    <w:rsid w:val="000C14A6"/>
    <w:rsid w:val="000C179D"/>
    <w:rsid w:val="000C18D7"/>
    <w:rsid w:val="000C1924"/>
    <w:rsid w:val="000C1979"/>
    <w:rsid w:val="000C1AE6"/>
    <w:rsid w:val="000C1B7E"/>
    <w:rsid w:val="000C1DCF"/>
    <w:rsid w:val="000C1FBD"/>
    <w:rsid w:val="000C1FD6"/>
    <w:rsid w:val="000C205A"/>
    <w:rsid w:val="000C20D7"/>
    <w:rsid w:val="000C277B"/>
    <w:rsid w:val="000C280A"/>
    <w:rsid w:val="000C2940"/>
    <w:rsid w:val="000C2A3C"/>
    <w:rsid w:val="000C2B23"/>
    <w:rsid w:val="000C2CFD"/>
    <w:rsid w:val="000C2E1A"/>
    <w:rsid w:val="000C2F5B"/>
    <w:rsid w:val="000C3447"/>
    <w:rsid w:val="000C36EC"/>
    <w:rsid w:val="000C370A"/>
    <w:rsid w:val="000C3899"/>
    <w:rsid w:val="000C39AC"/>
    <w:rsid w:val="000C3CF7"/>
    <w:rsid w:val="000C3E24"/>
    <w:rsid w:val="000C3F80"/>
    <w:rsid w:val="000C4027"/>
    <w:rsid w:val="000C40A7"/>
    <w:rsid w:val="000C4326"/>
    <w:rsid w:val="000C4401"/>
    <w:rsid w:val="000C469B"/>
    <w:rsid w:val="000C4751"/>
    <w:rsid w:val="000C47BB"/>
    <w:rsid w:val="000C4C44"/>
    <w:rsid w:val="000C4C4B"/>
    <w:rsid w:val="000C4C8B"/>
    <w:rsid w:val="000C4D7F"/>
    <w:rsid w:val="000C4E3C"/>
    <w:rsid w:val="000C4F2D"/>
    <w:rsid w:val="000C4F3A"/>
    <w:rsid w:val="000C4FAC"/>
    <w:rsid w:val="000C505F"/>
    <w:rsid w:val="000C5072"/>
    <w:rsid w:val="000C52E7"/>
    <w:rsid w:val="000C54DF"/>
    <w:rsid w:val="000C5608"/>
    <w:rsid w:val="000C57B0"/>
    <w:rsid w:val="000C58D6"/>
    <w:rsid w:val="000C5AF7"/>
    <w:rsid w:val="000C5CAA"/>
    <w:rsid w:val="000C5D7B"/>
    <w:rsid w:val="000C5DA6"/>
    <w:rsid w:val="000C5E69"/>
    <w:rsid w:val="000C5EF5"/>
    <w:rsid w:val="000C5F0B"/>
    <w:rsid w:val="000C5FB5"/>
    <w:rsid w:val="000C62D0"/>
    <w:rsid w:val="000C6410"/>
    <w:rsid w:val="000C64DC"/>
    <w:rsid w:val="000C6871"/>
    <w:rsid w:val="000C68C0"/>
    <w:rsid w:val="000C69AD"/>
    <w:rsid w:val="000C69EB"/>
    <w:rsid w:val="000C6BC9"/>
    <w:rsid w:val="000C6C0F"/>
    <w:rsid w:val="000C6C2E"/>
    <w:rsid w:val="000C6CA2"/>
    <w:rsid w:val="000C701A"/>
    <w:rsid w:val="000C7185"/>
    <w:rsid w:val="000C72A7"/>
    <w:rsid w:val="000C73EA"/>
    <w:rsid w:val="000C751A"/>
    <w:rsid w:val="000C7681"/>
    <w:rsid w:val="000C78B6"/>
    <w:rsid w:val="000C792D"/>
    <w:rsid w:val="000C7A2D"/>
    <w:rsid w:val="000C7BE2"/>
    <w:rsid w:val="000C7C02"/>
    <w:rsid w:val="000C7FF2"/>
    <w:rsid w:val="000D001F"/>
    <w:rsid w:val="000D00BA"/>
    <w:rsid w:val="000D0277"/>
    <w:rsid w:val="000D0302"/>
    <w:rsid w:val="000D0464"/>
    <w:rsid w:val="000D086D"/>
    <w:rsid w:val="000D086E"/>
    <w:rsid w:val="000D0A2D"/>
    <w:rsid w:val="000D0A5D"/>
    <w:rsid w:val="000D0CE5"/>
    <w:rsid w:val="000D0EF2"/>
    <w:rsid w:val="000D0F98"/>
    <w:rsid w:val="000D0FBC"/>
    <w:rsid w:val="000D101C"/>
    <w:rsid w:val="000D10C5"/>
    <w:rsid w:val="000D1190"/>
    <w:rsid w:val="000D1273"/>
    <w:rsid w:val="000D12F9"/>
    <w:rsid w:val="000D13FE"/>
    <w:rsid w:val="000D1540"/>
    <w:rsid w:val="000D160C"/>
    <w:rsid w:val="000D1673"/>
    <w:rsid w:val="000D18A1"/>
    <w:rsid w:val="000D18B8"/>
    <w:rsid w:val="000D19FD"/>
    <w:rsid w:val="000D1A2A"/>
    <w:rsid w:val="000D1ADD"/>
    <w:rsid w:val="000D1CA9"/>
    <w:rsid w:val="000D1E06"/>
    <w:rsid w:val="000D1F05"/>
    <w:rsid w:val="000D1F56"/>
    <w:rsid w:val="000D1F8A"/>
    <w:rsid w:val="000D1FBF"/>
    <w:rsid w:val="000D20DD"/>
    <w:rsid w:val="000D2129"/>
    <w:rsid w:val="000D2186"/>
    <w:rsid w:val="000D219A"/>
    <w:rsid w:val="000D22BE"/>
    <w:rsid w:val="000D2647"/>
    <w:rsid w:val="000D277A"/>
    <w:rsid w:val="000D288D"/>
    <w:rsid w:val="000D29A2"/>
    <w:rsid w:val="000D2A85"/>
    <w:rsid w:val="000D2AA9"/>
    <w:rsid w:val="000D2C5B"/>
    <w:rsid w:val="000D2CA1"/>
    <w:rsid w:val="000D2D5E"/>
    <w:rsid w:val="000D2DA5"/>
    <w:rsid w:val="000D2FBA"/>
    <w:rsid w:val="000D310C"/>
    <w:rsid w:val="000D31A8"/>
    <w:rsid w:val="000D32E0"/>
    <w:rsid w:val="000D33AC"/>
    <w:rsid w:val="000D387B"/>
    <w:rsid w:val="000D3902"/>
    <w:rsid w:val="000D39F1"/>
    <w:rsid w:val="000D3B34"/>
    <w:rsid w:val="000D3BCA"/>
    <w:rsid w:val="000D3E7F"/>
    <w:rsid w:val="000D3F66"/>
    <w:rsid w:val="000D3FD3"/>
    <w:rsid w:val="000D4242"/>
    <w:rsid w:val="000D425D"/>
    <w:rsid w:val="000D43EA"/>
    <w:rsid w:val="000D4439"/>
    <w:rsid w:val="000D443A"/>
    <w:rsid w:val="000D451A"/>
    <w:rsid w:val="000D45C7"/>
    <w:rsid w:val="000D4709"/>
    <w:rsid w:val="000D47DB"/>
    <w:rsid w:val="000D4835"/>
    <w:rsid w:val="000D4938"/>
    <w:rsid w:val="000D4CB5"/>
    <w:rsid w:val="000D4F68"/>
    <w:rsid w:val="000D4F75"/>
    <w:rsid w:val="000D4FC2"/>
    <w:rsid w:val="000D51E5"/>
    <w:rsid w:val="000D5636"/>
    <w:rsid w:val="000D5995"/>
    <w:rsid w:val="000D5B3A"/>
    <w:rsid w:val="000D5C10"/>
    <w:rsid w:val="000D5C23"/>
    <w:rsid w:val="000D5E72"/>
    <w:rsid w:val="000D5EDF"/>
    <w:rsid w:val="000D5FF9"/>
    <w:rsid w:val="000D60BF"/>
    <w:rsid w:val="000D61CB"/>
    <w:rsid w:val="000D62B5"/>
    <w:rsid w:val="000D632B"/>
    <w:rsid w:val="000D666B"/>
    <w:rsid w:val="000D679A"/>
    <w:rsid w:val="000D688F"/>
    <w:rsid w:val="000D68F2"/>
    <w:rsid w:val="000D6A06"/>
    <w:rsid w:val="000D6E2D"/>
    <w:rsid w:val="000D6ED2"/>
    <w:rsid w:val="000D6F17"/>
    <w:rsid w:val="000D6FE3"/>
    <w:rsid w:val="000D7049"/>
    <w:rsid w:val="000D725B"/>
    <w:rsid w:val="000D735A"/>
    <w:rsid w:val="000D735F"/>
    <w:rsid w:val="000D73EB"/>
    <w:rsid w:val="000D74E8"/>
    <w:rsid w:val="000D757F"/>
    <w:rsid w:val="000D7835"/>
    <w:rsid w:val="000D7843"/>
    <w:rsid w:val="000D79B0"/>
    <w:rsid w:val="000D7CDB"/>
    <w:rsid w:val="000D7E4E"/>
    <w:rsid w:val="000D7F09"/>
    <w:rsid w:val="000D7FEB"/>
    <w:rsid w:val="000E0032"/>
    <w:rsid w:val="000E00C8"/>
    <w:rsid w:val="000E034B"/>
    <w:rsid w:val="000E0483"/>
    <w:rsid w:val="000E06F6"/>
    <w:rsid w:val="000E07CC"/>
    <w:rsid w:val="000E07ED"/>
    <w:rsid w:val="000E07FE"/>
    <w:rsid w:val="000E0819"/>
    <w:rsid w:val="000E088B"/>
    <w:rsid w:val="000E08FD"/>
    <w:rsid w:val="000E0B33"/>
    <w:rsid w:val="000E0C3D"/>
    <w:rsid w:val="000E0D03"/>
    <w:rsid w:val="000E0DA4"/>
    <w:rsid w:val="000E0DF2"/>
    <w:rsid w:val="000E0EE1"/>
    <w:rsid w:val="000E0F3F"/>
    <w:rsid w:val="000E0FE3"/>
    <w:rsid w:val="000E1233"/>
    <w:rsid w:val="000E12AD"/>
    <w:rsid w:val="000E130A"/>
    <w:rsid w:val="000E148B"/>
    <w:rsid w:val="000E166E"/>
    <w:rsid w:val="000E16A4"/>
    <w:rsid w:val="000E179C"/>
    <w:rsid w:val="000E1A22"/>
    <w:rsid w:val="000E1A2B"/>
    <w:rsid w:val="000E1B5C"/>
    <w:rsid w:val="000E1CF5"/>
    <w:rsid w:val="000E1E91"/>
    <w:rsid w:val="000E1EBF"/>
    <w:rsid w:val="000E21FE"/>
    <w:rsid w:val="000E261F"/>
    <w:rsid w:val="000E2B29"/>
    <w:rsid w:val="000E2C11"/>
    <w:rsid w:val="000E2CE1"/>
    <w:rsid w:val="000E2D52"/>
    <w:rsid w:val="000E2E01"/>
    <w:rsid w:val="000E2E45"/>
    <w:rsid w:val="000E2F11"/>
    <w:rsid w:val="000E35EC"/>
    <w:rsid w:val="000E35FA"/>
    <w:rsid w:val="000E375D"/>
    <w:rsid w:val="000E38CA"/>
    <w:rsid w:val="000E3946"/>
    <w:rsid w:val="000E39A1"/>
    <w:rsid w:val="000E3A7D"/>
    <w:rsid w:val="000E3B12"/>
    <w:rsid w:val="000E3D8B"/>
    <w:rsid w:val="000E3DBE"/>
    <w:rsid w:val="000E3DC8"/>
    <w:rsid w:val="000E3EE8"/>
    <w:rsid w:val="000E3F39"/>
    <w:rsid w:val="000E4034"/>
    <w:rsid w:val="000E41DC"/>
    <w:rsid w:val="000E42E3"/>
    <w:rsid w:val="000E45C9"/>
    <w:rsid w:val="000E4A3E"/>
    <w:rsid w:val="000E4C1A"/>
    <w:rsid w:val="000E4E96"/>
    <w:rsid w:val="000E53DC"/>
    <w:rsid w:val="000E5422"/>
    <w:rsid w:val="000E5808"/>
    <w:rsid w:val="000E582F"/>
    <w:rsid w:val="000E59E6"/>
    <w:rsid w:val="000E5C37"/>
    <w:rsid w:val="000E5D05"/>
    <w:rsid w:val="000E6030"/>
    <w:rsid w:val="000E61A4"/>
    <w:rsid w:val="000E6274"/>
    <w:rsid w:val="000E62B4"/>
    <w:rsid w:val="000E64FE"/>
    <w:rsid w:val="000E664C"/>
    <w:rsid w:val="000E66D8"/>
    <w:rsid w:val="000E6C71"/>
    <w:rsid w:val="000E6CE4"/>
    <w:rsid w:val="000E6E79"/>
    <w:rsid w:val="000E6F62"/>
    <w:rsid w:val="000E706E"/>
    <w:rsid w:val="000E72AD"/>
    <w:rsid w:val="000E73A3"/>
    <w:rsid w:val="000E7817"/>
    <w:rsid w:val="000E7932"/>
    <w:rsid w:val="000E7AAE"/>
    <w:rsid w:val="000E7ACA"/>
    <w:rsid w:val="000E7C9E"/>
    <w:rsid w:val="000E7D83"/>
    <w:rsid w:val="000E7E6C"/>
    <w:rsid w:val="000E7EC4"/>
    <w:rsid w:val="000E7EF0"/>
    <w:rsid w:val="000E7FDC"/>
    <w:rsid w:val="000F002D"/>
    <w:rsid w:val="000F0370"/>
    <w:rsid w:val="000F063F"/>
    <w:rsid w:val="000F07A2"/>
    <w:rsid w:val="000F0B6B"/>
    <w:rsid w:val="000F0DC0"/>
    <w:rsid w:val="000F10B1"/>
    <w:rsid w:val="000F1178"/>
    <w:rsid w:val="000F1372"/>
    <w:rsid w:val="000F13B8"/>
    <w:rsid w:val="000F14B5"/>
    <w:rsid w:val="000F161A"/>
    <w:rsid w:val="000F166F"/>
    <w:rsid w:val="000F1714"/>
    <w:rsid w:val="000F183E"/>
    <w:rsid w:val="000F195A"/>
    <w:rsid w:val="000F19EC"/>
    <w:rsid w:val="000F1C9F"/>
    <w:rsid w:val="000F1DBF"/>
    <w:rsid w:val="000F1EC1"/>
    <w:rsid w:val="000F2193"/>
    <w:rsid w:val="000F225D"/>
    <w:rsid w:val="000F2683"/>
    <w:rsid w:val="000F26FD"/>
    <w:rsid w:val="000F2792"/>
    <w:rsid w:val="000F2910"/>
    <w:rsid w:val="000F2A35"/>
    <w:rsid w:val="000F2B70"/>
    <w:rsid w:val="000F2D15"/>
    <w:rsid w:val="000F305F"/>
    <w:rsid w:val="000F312E"/>
    <w:rsid w:val="000F3394"/>
    <w:rsid w:val="000F3495"/>
    <w:rsid w:val="000F34A9"/>
    <w:rsid w:val="000F3577"/>
    <w:rsid w:val="000F367A"/>
    <w:rsid w:val="000F36F9"/>
    <w:rsid w:val="000F37B5"/>
    <w:rsid w:val="000F38C9"/>
    <w:rsid w:val="000F39F3"/>
    <w:rsid w:val="000F3AFA"/>
    <w:rsid w:val="000F3DC5"/>
    <w:rsid w:val="000F3EBE"/>
    <w:rsid w:val="000F3F13"/>
    <w:rsid w:val="000F3FFD"/>
    <w:rsid w:val="000F408B"/>
    <w:rsid w:val="000F417C"/>
    <w:rsid w:val="000F41EB"/>
    <w:rsid w:val="000F4323"/>
    <w:rsid w:val="000F43A7"/>
    <w:rsid w:val="000F43F1"/>
    <w:rsid w:val="000F4551"/>
    <w:rsid w:val="000F469F"/>
    <w:rsid w:val="000F46D7"/>
    <w:rsid w:val="000F4822"/>
    <w:rsid w:val="000F4889"/>
    <w:rsid w:val="000F48DA"/>
    <w:rsid w:val="000F48F0"/>
    <w:rsid w:val="000F4AF2"/>
    <w:rsid w:val="000F4E21"/>
    <w:rsid w:val="000F519A"/>
    <w:rsid w:val="000F51D3"/>
    <w:rsid w:val="000F522F"/>
    <w:rsid w:val="000F5233"/>
    <w:rsid w:val="000F52AC"/>
    <w:rsid w:val="000F530D"/>
    <w:rsid w:val="000F5379"/>
    <w:rsid w:val="000F5386"/>
    <w:rsid w:val="000F545C"/>
    <w:rsid w:val="000F5472"/>
    <w:rsid w:val="000F54E7"/>
    <w:rsid w:val="000F554D"/>
    <w:rsid w:val="000F588D"/>
    <w:rsid w:val="000F58E9"/>
    <w:rsid w:val="000F5923"/>
    <w:rsid w:val="000F5A2C"/>
    <w:rsid w:val="000F5A96"/>
    <w:rsid w:val="000F5AC8"/>
    <w:rsid w:val="000F5C66"/>
    <w:rsid w:val="000F5D06"/>
    <w:rsid w:val="000F5D07"/>
    <w:rsid w:val="000F603E"/>
    <w:rsid w:val="000F6611"/>
    <w:rsid w:val="000F663F"/>
    <w:rsid w:val="000F692A"/>
    <w:rsid w:val="000F6DCB"/>
    <w:rsid w:val="000F6E8C"/>
    <w:rsid w:val="000F6F1C"/>
    <w:rsid w:val="000F7018"/>
    <w:rsid w:val="000F7021"/>
    <w:rsid w:val="000F702C"/>
    <w:rsid w:val="000F70D9"/>
    <w:rsid w:val="000F716C"/>
    <w:rsid w:val="000F7484"/>
    <w:rsid w:val="000F76F8"/>
    <w:rsid w:val="000F7749"/>
    <w:rsid w:val="000F7B36"/>
    <w:rsid w:val="000F7D57"/>
    <w:rsid w:val="000F7E4C"/>
    <w:rsid w:val="000F7F92"/>
    <w:rsid w:val="00100079"/>
    <w:rsid w:val="001000D2"/>
    <w:rsid w:val="001000EA"/>
    <w:rsid w:val="001000FA"/>
    <w:rsid w:val="0010019E"/>
    <w:rsid w:val="00100343"/>
    <w:rsid w:val="00100823"/>
    <w:rsid w:val="0010083C"/>
    <w:rsid w:val="00100A68"/>
    <w:rsid w:val="00100ABF"/>
    <w:rsid w:val="00100B12"/>
    <w:rsid w:val="00100BF8"/>
    <w:rsid w:val="00100C04"/>
    <w:rsid w:val="00100C77"/>
    <w:rsid w:val="00100E26"/>
    <w:rsid w:val="00100E35"/>
    <w:rsid w:val="00100F38"/>
    <w:rsid w:val="001011B5"/>
    <w:rsid w:val="00101280"/>
    <w:rsid w:val="001012B1"/>
    <w:rsid w:val="0010139F"/>
    <w:rsid w:val="001016A6"/>
    <w:rsid w:val="00101844"/>
    <w:rsid w:val="0010186F"/>
    <w:rsid w:val="0010187C"/>
    <w:rsid w:val="00101918"/>
    <w:rsid w:val="00101A7C"/>
    <w:rsid w:val="00101ACA"/>
    <w:rsid w:val="00101AE6"/>
    <w:rsid w:val="00101B18"/>
    <w:rsid w:val="00101BAE"/>
    <w:rsid w:val="00101C98"/>
    <w:rsid w:val="00101D9B"/>
    <w:rsid w:val="00101E8A"/>
    <w:rsid w:val="00101EDB"/>
    <w:rsid w:val="00101F28"/>
    <w:rsid w:val="00101F67"/>
    <w:rsid w:val="00101FD2"/>
    <w:rsid w:val="00101FD6"/>
    <w:rsid w:val="001021E6"/>
    <w:rsid w:val="001021EB"/>
    <w:rsid w:val="001021FA"/>
    <w:rsid w:val="00102315"/>
    <w:rsid w:val="00102495"/>
    <w:rsid w:val="001026AE"/>
    <w:rsid w:val="00102780"/>
    <w:rsid w:val="00102A4A"/>
    <w:rsid w:val="00102AAC"/>
    <w:rsid w:val="00102C29"/>
    <w:rsid w:val="00102C36"/>
    <w:rsid w:val="00102C77"/>
    <w:rsid w:val="00102D20"/>
    <w:rsid w:val="00102E2F"/>
    <w:rsid w:val="00102EE2"/>
    <w:rsid w:val="00103084"/>
    <w:rsid w:val="00103444"/>
    <w:rsid w:val="00103472"/>
    <w:rsid w:val="00103485"/>
    <w:rsid w:val="001034B9"/>
    <w:rsid w:val="00103540"/>
    <w:rsid w:val="00103B80"/>
    <w:rsid w:val="00103E19"/>
    <w:rsid w:val="00103E36"/>
    <w:rsid w:val="00103ED4"/>
    <w:rsid w:val="00103F95"/>
    <w:rsid w:val="001041EB"/>
    <w:rsid w:val="00104375"/>
    <w:rsid w:val="00104385"/>
    <w:rsid w:val="0010442D"/>
    <w:rsid w:val="00104691"/>
    <w:rsid w:val="00104740"/>
    <w:rsid w:val="00104CE1"/>
    <w:rsid w:val="00104D16"/>
    <w:rsid w:val="00104DDB"/>
    <w:rsid w:val="00104DF5"/>
    <w:rsid w:val="00104E7D"/>
    <w:rsid w:val="00104FD5"/>
    <w:rsid w:val="00105039"/>
    <w:rsid w:val="00105089"/>
    <w:rsid w:val="001050DA"/>
    <w:rsid w:val="001054F8"/>
    <w:rsid w:val="0010581A"/>
    <w:rsid w:val="001059D6"/>
    <w:rsid w:val="00105C90"/>
    <w:rsid w:val="00105D70"/>
    <w:rsid w:val="00105F5A"/>
    <w:rsid w:val="0010602D"/>
    <w:rsid w:val="00106138"/>
    <w:rsid w:val="00106167"/>
    <w:rsid w:val="001061AA"/>
    <w:rsid w:val="001062BB"/>
    <w:rsid w:val="001063B0"/>
    <w:rsid w:val="001063CA"/>
    <w:rsid w:val="0010667B"/>
    <w:rsid w:val="00106699"/>
    <w:rsid w:val="001068EA"/>
    <w:rsid w:val="00106D5C"/>
    <w:rsid w:val="00107028"/>
    <w:rsid w:val="00107094"/>
    <w:rsid w:val="001072A1"/>
    <w:rsid w:val="001072F4"/>
    <w:rsid w:val="00107536"/>
    <w:rsid w:val="0010753E"/>
    <w:rsid w:val="00107CC3"/>
    <w:rsid w:val="00107ED2"/>
    <w:rsid w:val="00107FD5"/>
    <w:rsid w:val="00110008"/>
    <w:rsid w:val="00110189"/>
    <w:rsid w:val="001103A2"/>
    <w:rsid w:val="001103A4"/>
    <w:rsid w:val="001104A1"/>
    <w:rsid w:val="0011070B"/>
    <w:rsid w:val="00110760"/>
    <w:rsid w:val="00110803"/>
    <w:rsid w:val="00110955"/>
    <w:rsid w:val="00110ADC"/>
    <w:rsid w:val="00110B19"/>
    <w:rsid w:val="00110D2A"/>
    <w:rsid w:val="00110DE1"/>
    <w:rsid w:val="00110FC3"/>
    <w:rsid w:val="00111126"/>
    <w:rsid w:val="0011119B"/>
    <w:rsid w:val="001112C2"/>
    <w:rsid w:val="001114DD"/>
    <w:rsid w:val="001115C8"/>
    <w:rsid w:val="001117CE"/>
    <w:rsid w:val="00111A44"/>
    <w:rsid w:val="00111B81"/>
    <w:rsid w:val="00111D3D"/>
    <w:rsid w:val="00111E57"/>
    <w:rsid w:val="00111EFC"/>
    <w:rsid w:val="0011207C"/>
    <w:rsid w:val="00112234"/>
    <w:rsid w:val="001122AC"/>
    <w:rsid w:val="001122FD"/>
    <w:rsid w:val="0011231F"/>
    <w:rsid w:val="00112663"/>
    <w:rsid w:val="0011273A"/>
    <w:rsid w:val="0011292D"/>
    <w:rsid w:val="00112A58"/>
    <w:rsid w:val="00112BBE"/>
    <w:rsid w:val="00112D81"/>
    <w:rsid w:val="00112D9C"/>
    <w:rsid w:val="00112EDC"/>
    <w:rsid w:val="001130AC"/>
    <w:rsid w:val="00113138"/>
    <w:rsid w:val="001131F1"/>
    <w:rsid w:val="00113222"/>
    <w:rsid w:val="0011328B"/>
    <w:rsid w:val="00113333"/>
    <w:rsid w:val="001133CA"/>
    <w:rsid w:val="00113505"/>
    <w:rsid w:val="0011363F"/>
    <w:rsid w:val="00113749"/>
    <w:rsid w:val="00113868"/>
    <w:rsid w:val="0011396B"/>
    <w:rsid w:val="001139D4"/>
    <w:rsid w:val="00113A14"/>
    <w:rsid w:val="00113C1E"/>
    <w:rsid w:val="00113CB4"/>
    <w:rsid w:val="00113DCC"/>
    <w:rsid w:val="00113E11"/>
    <w:rsid w:val="00113E48"/>
    <w:rsid w:val="00113FBB"/>
    <w:rsid w:val="0011405C"/>
    <w:rsid w:val="001140A6"/>
    <w:rsid w:val="001142F7"/>
    <w:rsid w:val="001143CB"/>
    <w:rsid w:val="0011458D"/>
    <w:rsid w:val="00114592"/>
    <w:rsid w:val="001147AA"/>
    <w:rsid w:val="00114830"/>
    <w:rsid w:val="00114A64"/>
    <w:rsid w:val="00114CD5"/>
    <w:rsid w:val="00114DDF"/>
    <w:rsid w:val="00114E1E"/>
    <w:rsid w:val="00114EE7"/>
    <w:rsid w:val="00114FD1"/>
    <w:rsid w:val="0011507A"/>
    <w:rsid w:val="00115147"/>
    <w:rsid w:val="001151F0"/>
    <w:rsid w:val="001153C4"/>
    <w:rsid w:val="001155CA"/>
    <w:rsid w:val="001157B2"/>
    <w:rsid w:val="001157E6"/>
    <w:rsid w:val="001158CD"/>
    <w:rsid w:val="00115C03"/>
    <w:rsid w:val="00115DF7"/>
    <w:rsid w:val="00115F90"/>
    <w:rsid w:val="0011611D"/>
    <w:rsid w:val="0011613A"/>
    <w:rsid w:val="00116175"/>
    <w:rsid w:val="00116403"/>
    <w:rsid w:val="00116550"/>
    <w:rsid w:val="001165DE"/>
    <w:rsid w:val="00116848"/>
    <w:rsid w:val="00116A9D"/>
    <w:rsid w:val="00116DEE"/>
    <w:rsid w:val="00116EB5"/>
    <w:rsid w:val="00116ECE"/>
    <w:rsid w:val="00116EF5"/>
    <w:rsid w:val="00116F93"/>
    <w:rsid w:val="0011700E"/>
    <w:rsid w:val="001171A5"/>
    <w:rsid w:val="001172F9"/>
    <w:rsid w:val="00117612"/>
    <w:rsid w:val="00117788"/>
    <w:rsid w:val="00117869"/>
    <w:rsid w:val="001178DC"/>
    <w:rsid w:val="00117957"/>
    <w:rsid w:val="00117C24"/>
    <w:rsid w:val="00117D87"/>
    <w:rsid w:val="00117FF4"/>
    <w:rsid w:val="00120017"/>
    <w:rsid w:val="00120063"/>
    <w:rsid w:val="001201C0"/>
    <w:rsid w:val="00120245"/>
    <w:rsid w:val="00120252"/>
    <w:rsid w:val="00120296"/>
    <w:rsid w:val="00120477"/>
    <w:rsid w:val="001205CE"/>
    <w:rsid w:val="00120872"/>
    <w:rsid w:val="00120911"/>
    <w:rsid w:val="001209F8"/>
    <w:rsid w:val="00120D86"/>
    <w:rsid w:val="00121059"/>
    <w:rsid w:val="00121357"/>
    <w:rsid w:val="001214DC"/>
    <w:rsid w:val="0012154D"/>
    <w:rsid w:val="001215B4"/>
    <w:rsid w:val="001216AD"/>
    <w:rsid w:val="001216EA"/>
    <w:rsid w:val="0012170A"/>
    <w:rsid w:val="0012172B"/>
    <w:rsid w:val="0012173E"/>
    <w:rsid w:val="001217B7"/>
    <w:rsid w:val="001217D0"/>
    <w:rsid w:val="00121C7A"/>
    <w:rsid w:val="00121D61"/>
    <w:rsid w:val="00121DE0"/>
    <w:rsid w:val="00121FAF"/>
    <w:rsid w:val="00121FEB"/>
    <w:rsid w:val="001220C4"/>
    <w:rsid w:val="00122153"/>
    <w:rsid w:val="001221AF"/>
    <w:rsid w:val="00122478"/>
    <w:rsid w:val="001224FC"/>
    <w:rsid w:val="0012254A"/>
    <w:rsid w:val="0012271D"/>
    <w:rsid w:val="0012272B"/>
    <w:rsid w:val="00122A47"/>
    <w:rsid w:val="00122B0C"/>
    <w:rsid w:val="00122C16"/>
    <w:rsid w:val="00122D27"/>
    <w:rsid w:val="00122EBC"/>
    <w:rsid w:val="00122F34"/>
    <w:rsid w:val="00123137"/>
    <w:rsid w:val="0012355F"/>
    <w:rsid w:val="001236CA"/>
    <w:rsid w:val="0012372F"/>
    <w:rsid w:val="0012376B"/>
    <w:rsid w:val="001237C7"/>
    <w:rsid w:val="001237FF"/>
    <w:rsid w:val="00123955"/>
    <w:rsid w:val="00123986"/>
    <w:rsid w:val="00123B4C"/>
    <w:rsid w:val="00123BC7"/>
    <w:rsid w:val="00123BC8"/>
    <w:rsid w:val="00123E88"/>
    <w:rsid w:val="001240EE"/>
    <w:rsid w:val="0012429A"/>
    <w:rsid w:val="00124301"/>
    <w:rsid w:val="0012449C"/>
    <w:rsid w:val="00124799"/>
    <w:rsid w:val="00124812"/>
    <w:rsid w:val="00124AA5"/>
    <w:rsid w:val="00124B6F"/>
    <w:rsid w:val="00124FDA"/>
    <w:rsid w:val="0012502F"/>
    <w:rsid w:val="0012509C"/>
    <w:rsid w:val="001251A5"/>
    <w:rsid w:val="001251D7"/>
    <w:rsid w:val="00125211"/>
    <w:rsid w:val="00125537"/>
    <w:rsid w:val="00125569"/>
    <w:rsid w:val="00125661"/>
    <w:rsid w:val="001256E4"/>
    <w:rsid w:val="00125944"/>
    <w:rsid w:val="0012594E"/>
    <w:rsid w:val="00125EF2"/>
    <w:rsid w:val="00125F84"/>
    <w:rsid w:val="00125FA7"/>
    <w:rsid w:val="00125FC4"/>
    <w:rsid w:val="00126161"/>
    <w:rsid w:val="00126418"/>
    <w:rsid w:val="00126473"/>
    <w:rsid w:val="0012652F"/>
    <w:rsid w:val="001265FA"/>
    <w:rsid w:val="0012662E"/>
    <w:rsid w:val="001267E8"/>
    <w:rsid w:val="001267FE"/>
    <w:rsid w:val="0012682B"/>
    <w:rsid w:val="001269B6"/>
    <w:rsid w:val="001269F2"/>
    <w:rsid w:val="00126B3F"/>
    <w:rsid w:val="00126B51"/>
    <w:rsid w:val="00126DE5"/>
    <w:rsid w:val="00126E8E"/>
    <w:rsid w:val="00127162"/>
    <w:rsid w:val="001271FD"/>
    <w:rsid w:val="00127237"/>
    <w:rsid w:val="00127472"/>
    <w:rsid w:val="001276B2"/>
    <w:rsid w:val="0012772E"/>
    <w:rsid w:val="00127763"/>
    <w:rsid w:val="001279BC"/>
    <w:rsid w:val="00127B7E"/>
    <w:rsid w:val="00127B91"/>
    <w:rsid w:val="00127BC7"/>
    <w:rsid w:val="001300DD"/>
    <w:rsid w:val="00130158"/>
    <w:rsid w:val="00130520"/>
    <w:rsid w:val="00130794"/>
    <w:rsid w:val="0013085A"/>
    <w:rsid w:val="0013086B"/>
    <w:rsid w:val="001308D8"/>
    <w:rsid w:val="001308FD"/>
    <w:rsid w:val="00130953"/>
    <w:rsid w:val="001309B9"/>
    <w:rsid w:val="00130A98"/>
    <w:rsid w:val="00130C04"/>
    <w:rsid w:val="00130DBB"/>
    <w:rsid w:val="00131515"/>
    <w:rsid w:val="001316BF"/>
    <w:rsid w:val="001317C2"/>
    <w:rsid w:val="00131838"/>
    <w:rsid w:val="00131920"/>
    <w:rsid w:val="001319C8"/>
    <w:rsid w:val="00131AB8"/>
    <w:rsid w:val="00131C58"/>
    <w:rsid w:val="00131D63"/>
    <w:rsid w:val="00131E23"/>
    <w:rsid w:val="0013203A"/>
    <w:rsid w:val="0013237E"/>
    <w:rsid w:val="0013256E"/>
    <w:rsid w:val="00132724"/>
    <w:rsid w:val="00132890"/>
    <w:rsid w:val="001328D8"/>
    <w:rsid w:val="00132AC1"/>
    <w:rsid w:val="00132AE5"/>
    <w:rsid w:val="00132B44"/>
    <w:rsid w:val="00132B8C"/>
    <w:rsid w:val="00132D41"/>
    <w:rsid w:val="00132F5F"/>
    <w:rsid w:val="00132F65"/>
    <w:rsid w:val="00132F69"/>
    <w:rsid w:val="00132FBC"/>
    <w:rsid w:val="001333F1"/>
    <w:rsid w:val="0013343A"/>
    <w:rsid w:val="00133472"/>
    <w:rsid w:val="00133523"/>
    <w:rsid w:val="00133578"/>
    <w:rsid w:val="001336E4"/>
    <w:rsid w:val="001336EC"/>
    <w:rsid w:val="001337B3"/>
    <w:rsid w:val="001337E7"/>
    <w:rsid w:val="00133940"/>
    <w:rsid w:val="00133A87"/>
    <w:rsid w:val="00133CD9"/>
    <w:rsid w:val="00133D5E"/>
    <w:rsid w:val="00133E7D"/>
    <w:rsid w:val="00133EB6"/>
    <w:rsid w:val="00133FC6"/>
    <w:rsid w:val="00134027"/>
    <w:rsid w:val="001342AA"/>
    <w:rsid w:val="00134346"/>
    <w:rsid w:val="0013448D"/>
    <w:rsid w:val="001346F2"/>
    <w:rsid w:val="00134774"/>
    <w:rsid w:val="0013481A"/>
    <w:rsid w:val="0013498E"/>
    <w:rsid w:val="00134A13"/>
    <w:rsid w:val="00134B61"/>
    <w:rsid w:val="00134F30"/>
    <w:rsid w:val="00135066"/>
    <w:rsid w:val="00135111"/>
    <w:rsid w:val="0013513F"/>
    <w:rsid w:val="00135202"/>
    <w:rsid w:val="0013527E"/>
    <w:rsid w:val="00135420"/>
    <w:rsid w:val="0013578C"/>
    <w:rsid w:val="001358EE"/>
    <w:rsid w:val="00135973"/>
    <w:rsid w:val="00135B73"/>
    <w:rsid w:val="00135E09"/>
    <w:rsid w:val="00135FA2"/>
    <w:rsid w:val="0013610F"/>
    <w:rsid w:val="001362D2"/>
    <w:rsid w:val="001363C9"/>
    <w:rsid w:val="001364C9"/>
    <w:rsid w:val="001365B5"/>
    <w:rsid w:val="00136830"/>
    <w:rsid w:val="00136860"/>
    <w:rsid w:val="001368BF"/>
    <w:rsid w:val="001368CA"/>
    <w:rsid w:val="00136990"/>
    <w:rsid w:val="00136A90"/>
    <w:rsid w:val="00136AF7"/>
    <w:rsid w:val="00136D67"/>
    <w:rsid w:val="00136FEB"/>
    <w:rsid w:val="00137000"/>
    <w:rsid w:val="0013703B"/>
    <w:rsid w:val="00137090"/>
    <w:rsid w:val="00137425"/>
    <w:rsid w:val="00137458"/>
    <w:rsid w:val="001376B8"/>
    <w:rsid w:val="00137A33"/>
    <w:rsid w:val="00137B47"/>
    <w:rsid w:val="00137D1A"/>
    <w:rsid w:val="00137E5D"/>
    <w:rsid w:val="001401AC"/>
    <w:rsid w:val="00140266"/>
    <w:rsid w:val="00140274"/>
    <w:rsid w:val="001402DF"/>
    <w:rsid w:val="001403E9"/>
    <w:rsid w:val="001406A1"/>
    <w:rsid w:val="001407DF"/>
    <w:rsid w:val="001408BB"/>
    <w:rsid w:val="001409D6"/>
    <w:rsid w:val="00140DF3"/>
    <w:rsid w:val="00140FC0"/>
    <w:rsid w:val="00141102"/>
    <w:rsid w:val="00141193"/>
    <w:rsid w:val="00141219"/>
    <w:rsid w:val="00141227"/>
    <w:rsid w:val="00141349"/>
    <w:rsid w:val="001413B4"/>
    <w:rsid w:val="0014169C"/>
    <w:rsid w:val="001416E3"/>
    <w:rsid w:val="00141878"/>
    <w:rsid w:val="0014192C"/>
    <w:rsid w:val="00141A85"/>
    <w:rsid w:val="00141C70"/>
    <w:rsid w:val="00141E66"/>
    <w:rsid w:val="00141E82"/>
    <w:rsid w:val="00141E96"/>
    <w:rsid w:val="00141F2D"/>
    <w:rsid w:val="001420BB"/>
    <w:rsid w:val="00142148"/>
    <w:rsid w:val="00142282"/>
    <w:rsid w:val="001425DA"/>
    <w:rsid w:val="00142791"/>
    <w:rsid w:val="001427CF"/>
    <w:rsid w:val="001427FB"/>
    <w:rsid w:val="00142814"/>
    <w:rsid w:val="0014287C"/>
    <w:rsid w:val="001428B6"/>
    <w:rsid w:val="0014294A"/>
    <w:rsid w:val="00142A15"/>
    <w:rsid w:val="00142B93"/>
    <w:rsid w:val="00142DF2"/>
    <w:rsid w:val="00142E02"/>
    <w:rsid w:val="00142F18"/>
    <w:rsid w:val="00142F4C"/>
    <w:rsid w:val="0014304D"/>
    <w:rsid w:val="001431B0"/>
    <w:rsid w:val="0014325D"/>
    <w:rsid w:val="0014329C"/>
    <w:rsid w:val="00143582"/>
    <w:rsid w:val="001436A8"/>
    <w:rsid w:val="00143A06"/>
    <w:rsid w:val="00143B78"/>
    <w:rsid w:val="00143BBF"/>
    <w:rsid w:val="00143C49"/>
    <w:rsid w:val="00143C67"/>
    <w:rsid w:val="00143D1F"/>
    <w:rsid w:val="001440FB"/>
    <w:rsid w:val="001441C9"/>
    <w:rsid w:val="0014432A"/>
    <w:rsid w:val="001443F5"/>
    <w:rsid w:val="001446F3"/>
    <w:rsid w:val="00144A75"/>
    <w:rsid w:val="00144A89"/>
    <w:rsid w:val="00144C6E"/>
    <w:rsid w:val="00144CC4"/>
    <w:rsid w:val="00144D65"/>
    <w:rsid w:val="00144E96"/>
    <w:rsid w:val="001450B7"/>
    <w:rsid w:val="001451D7"/>
    <w:rsid w:val="0014523F"/>
    <w:rsid w:val="001452CD"/>
    <w:rsid w:val="001454C0"/>
    <w:rsid w:val="001455E7"/>
    <w:rsid w:val="001456A2"/>
    <w:rsid w:val="001457F2"/>
    <w:rsid w:val="0014596E"/>
    <w:rsid w:val="0014598B"/>
    <w:rsid w:val="00145AB5"/>
    <w:rsid w:val="00145CC0"/>
    <w:rsid w:val="00145E64"/>
    <w:rsid w:val="00145FE6"/>
    <w:rsid w:val="001460EC"/>
    <w:rsid w:val="00146144"/>
    <w:rsid w:val="00146181"/>
    <w:rsid w:val="001462B3"/>
    <w:rsid w:val="001464C8"/>
    <w:rsid w:val="00146618"/>
    <w:rsid w:val="00146D08"/>
    <w:rsid w:val="00146D13"/>
    <w:rsid w:val="00146D90"/>
    <w:rsid w:val="00146E4B"/>
    <w:rsid w:val="0014703E"/>
    <w:rsid w:val="00147090"/>
    <w:rsid w:val="00147172"/>
    <w:rsid w:val="0014728F"/>
    <w:rsid w:val="001472A2"/>
    <w:rsid w:val="0014738F"/>
    <w:rsid w:val="00147459"/>
    <w:rsid w:val="0014747B"/>
    <w:rsid w:val="001474F6"/>
    <w:rsid w:val="00147719"/>
    <w:rsid w:val="00147783"/>
    <w:rsid w:val="00147A5B"/>
    <w:rsid w:val="00147A71"/>
    <w:rsid w:val="00147A77"/>
    <w:rsid w:val="00147AB4"/>
    <w:rsid w:val="00147B1D"/>
    <w:rsid w:val="00147B4D"/>
    <w:rsid w:val="00147C27"/>
    <w:rsid w:val="00147E70"/>
    <w:rsid w:val="00150301"/>
    <w:rsid w:val="001505F4"/>
    <w:rsid w:val="0015085B"/>
    <w:rsid w:val="00150895"/>
    <w:rsid w:val="0015095C"/>
    <w:rsid w:val="00150B16"/>
    <w:rsid w:val="00150C77"/>
    <w:rsid w:val="00150C7E"/>
    <w:rsid w:val="00151024"/>
    <w:rsid w:val="00151155"/>
    <w:rsid w:val="00151169"/>
    <w:rsid w:val="00151263"/>
    <w:rsid w:val="001513B0"/>
    <w:rsid w:val="001514A9"/>
    <w:rsid w:val="0015167D"/>
    <w:rsid w:val="001518E0"/>
    <w:rsid w:val="00151965"/>
    <w:rsid w:val="001519E4"/>
    <w:rsid w:val="00151B62"/>
    <w:rsid w:val="00151D6C"/>
    <w:rsid w:val="00151E02"/>
    <w:rsid w:val="00151F81"/>
    <w:rsid w:val="0015200D"/>
    <w:rsid w:val="001521FB"/>
    <w:rsid w:val="0015239E"/>
    <w:rsid w:val="001526AF"/>
    <w:rsid w:val="00152A3B"/>
    <w:rsid w:val="00152A63"/>
    <w:rsid w:val="00152A79"/>
    <w:rsid w:val="00152D6C"/>
    <w:rsid w:val="00152E5F"/>
    <w:rsid w:val="00152F4F"/>
    <w:rsid w:val="00152F89"/>
    <w:rsid w:val="001530ED"/>
    <w:rsid w:val="00153201"/>
    <w:rsid w:val="00153670"/>
    <w:rsid w:val="00153758"/>
    <w:rsid w:val="00153799"/>
    <w:rsid w:val="0015384D"/>
    <w:rsid w:val="00153C29"/>
    <w:rsid w:val="00153D78"/>
    <w:rsid w:val="00153DD6"/>
    <w:rsid w:val="00153E8E"/>
    <w:rsid w:val="00153E95"/>
    <w:rsid w:val="00153EB9"/>
    <w:rsid w:val="00153EEC"/>
    <w:rsid w:val="0015424C"/>
    <w:rsid w:val="00154253"/>
    <w:rsid w:val="0015429F"/>
    <w:rsid w:val="00154383"/>
    <w:rsid w:val="00154412"/>
    <w:rsid w:val="001544C4"/>
    <w:rsid w:val="0015491F"/>
    <w:rsid w:val="001549C6"/>
    <w:rsid w:val="00154B32"/>
    <w:rsid w:val="00154C72"/>
    <w:rsid w:val="00154E95"/>
    <w:rsid w:val="00154EAC"/>
    <w:rsid w:val="00154ED5"/>
    <w:rsid w:val="00154EFE"/>
    <w:rsid w:val="00154F9D"/>
    <w:rsid w:val="001551BB"/>
    <w:rsid w:val="0015521B"/>
    <w:rsid w:val="00155849"/>
    <w:rsid w:val="001558B6"/>
    <w:rsid w:val="00155AEC"/>
    <w:rsid w:val="00155CA8"/>
    <w:rsid w:val="00155D14"/>
    <w:rsid w:val="00155D61"/>
    <w:rsid w:val="00155E90"/>
    <w:rsid w:val="00155F40"/>
    <w:rsid w:val="001560F0"/>
    <w:rsid w:val="0015614A"/>
    <w:rsid w:val="00156166"/>
    <w:rsid w:val="0015618D"/>
    <w:rsid w:val="001561A5"/>
    <w:rsid w:val="0015620C"/>
    <w:rsid w:val="001565F9"/>
    <w:rsid w:val="001566C4"/>
    <w:rsid w:val="001566D9"/>
    <w:rsid w:val="0015677C"/>
    <w:rsid w:val="00156817"/>
    <w:rsid w:val="001568B2"/>
    <w:rsid w:val="00156997"/>
    <w:rsid w:val="00156A51"/>
    <w:rsid w:val="00156B8B"/>
    <w:rsid w:val="00156C7C"/>
    <w:rsid w:val="00156CAE"/>
    <w:rsid w:val="00156CE6"/>
    <w:rsid w:val="00156D9D"/>
    <w:rsid w:val="00156EF4"/>
    <w:rsid w:val="0015700B"/>
    <w:rsid w:val="001571B2"/>
    <w:rsid w:val="00157277"/>
    <w:rsid w:val="0015754A"/>
    <w:rsid w:val="00157768"/>
    <w:rsid w:val="001579B7"/>
    <w:rsid w:val="00157AC9"/>
    <w:rsid w:val="00157B17"/>
    <w:rsid w:val="00157F19"/>
    <w:rsid w:val="00160077"/>
    <w:rsid w:val="00160117"/>
    <w:rsid w:val="0016016E"/>
    <w:rsid w:val="001601D1"/>
    <w:rsid w:val="001601FD"/>
    <w:rsid w:val="001603B3"/>
    <w:rsid w:val="00160618"/>
    <w:rsid w:val="0016074C"/>
    <w:rsid w:val="00160795"/>
    <w:rsid w:val="00160A2C"/>
    <w:rsid w:val="00160A4D"/>
    <w:rsid w:val="00160C20"/>
    <w:rsid w:val="00160E33"/>
    <w:rsid w:val="001610E6"/>
    <w:rsid w:val="001612FF"/>
    <w:rsid w:val="00161524"/>
    <w:rsid w:val="00161552"/>
    <w:rsid w:val="001615DE"/>
    <w:rsid w:val="00161878"/>
    <w:rsid w:val="00161945"/>
    <w:rsid w:val="00161CE9"/>
    <w:rsid w:val="00161E73"/>
    <w:rsid w:val="001622D4"/>
    <w:rsid w:val="001623EE"/>
    <w:rsid w:val="001625D9"/>
    <w:rsid w:val="0016266F"/>
    <w:rsid w:val="0016272E"/>
    <w:rsid w:val="001628C5"/>
    <w:rsid w:val="00162915"/>
    <w:rsid w:val="00162958"/>
    <w:rsid w:val="00162A8D"/>
    <w:rsid w:val="00162B28"/>
    <w:rsid w:val="00162BA9"/>
    <w:rsid w:val="00162BEE"/>
    <w:rsid w:val="00162D7E"/>
    <w:rsid w:val="00162EC8"/>
    <w:rsid w:val="00162F87"/>
    <w:rsid w:val="00163209"/>
    <w:rsid w:val="001632F1"/>
    <w:rsid w:val="0016343C"/>
    <w:rsid w:val="001634FA"/>
    <w:rsid w:val="00163699"/>
    <w:rsid w:val="001637C5"/>
    <w:rsid w:val="001638E7"/>
    <w:rsid w:val="00163910"/>
    <w:rsid w:val="0016393B"/>
    <w:rsid w:val="00163BC9"/>
    <w:rsid w:val="00163DE1"/>
    <w:rsid w:val="00163E60"/>
    <w:rsid w:val="00163F19"/>
    <w:rsid w:val="00164041"/>
    <w:rsid w:val="00164076"/>
    <w:rsid w:val="0016411A"/>
    <w:rsid w:val="001641C7"/>
    <w:rsid w:val="001647B8"/>
    <w:rsid w:val="00164B26"/>
    <w:rsid w:val="00164BF9"/>
    <w:rsid w:val="00164ED7"/>
    <w:rsid w:val="00164F6B"/>
    <w:rsid w:val="0016514E"/>
    <w:rsid w:val="00165196"/>
    <w:rsid w:val="00165243"/>
    <w:rsid w:val="001653D9"/>
    <w:rsid w:val="00165400"/>
    <w:rsid w:val="001655E4"/>
    <w:rsid w:val="0016568F"/>
    <w:rsid w:val="00165711"/>
    <w:rsid w:val="001658BA"/>
    <w:rsid w:val="00165E3C"/>
    <w:rsid w:val="00165F32"/>
    <w:rsid w:val="00165FFF"/>
    <w:rsid w:val="001661CC"/>
    <w:rsid w:val="001661EB"/>
    <w:rsid w:val="001662AE"/>
    <w:rsid w:val="001664F5"/>
    <w:rsid w:val="0016680F"/>
    <w:rsid w:val="001668EA"/>
    <w:rsid w:val="001668EC"/>
    <w:rsid w:val="00166945"/>
    <w:rsid w:val="00166988"/>
    <w:rsid w:val="00166C41"/>
    <w:rsid w:val="00166CF0"/>
    <w:rsid w:val="001670A5"/>
    <w:rsid w:val="001670BD"/>
    <w:rsid w:val="001670E5"/>
    <w:rsid w:val="00167140"/>
    <w:rsid w:val="00167152"/>
    <w:rsid w:val="00167186"/>
    <w:rsid w:val="00167492"/>
    <w:rsid w:val="001675E4"/>
    <w:rsid w:val="001675E9"/>
    <w:rsid w:val="001676AE"/>
    <w:rsid w:val="001677D8"/>
    <w:rsid w:val="00167873"/>
    <w:rsid w:val="00167958"/>
    <w:rsid w:val="001679EA"/>
    <w:rsid w:val="00167A59"/>
    <w:rsid w:val="00167B33"/>
    <w:rsid w:val="00167E5D"/>
    <w:rsid w:val="00167E9D"/>
    <w:rsid w:val="00167F8E"/>
    <w:rsid w:val="001700C3"/>
    <w:rsid w:val="00170149"/>
    <w:rsid w:val="00170243"/>
    <w:rsid w:val="00170481"/>
    <w:rsid w:val="00170549"/>
    <w:rsid w:val="0017067F"/>
    <w:rsid w:val="0017094D"/>
    <w:rsid w:val="00170B39"/>
    <w:rsid w:val="00170D66"/>
    <w:rsid w:val="00170EC4"/>
    <w:rsid w:val="00170EFD"/>
    <w:rsid w:val="0017111E"/>
    <w:rsid w:val="00171134"/>
    <w:rsid w:val="0017124C"/>
    <w:rsid w:val="00171261"/>
    <w:rsid w:val="00171269"/>
    <w:rsid w:val="00171375"/>
    <w:rsid w:val="00171383"/>
    <w:rsid w:val="00171815"/>
    <w:rsid w:val="00171BE1"/>
    <w:rsid w:val="00171C01"/>
    <w:rsid w:val="00171C91"/>
    <w:rsid w:val="00171CEA"/>
    <w:rsid w:val="00171E96"/>
    <w:rsid w:val="00171EC0"/>
    <w:rsid w:val="00171F7E"/>
    <w:rsid w:val="00172333"/>
    <w:rsid w:val="001723B1"/>
    <w:rsid w:val="00172552"/>
    <w:rsid w:val="0017258E"/>
    <w:rsid w:val="001726F2"/>
    <w:rsid w:val="00172750"/>
    <w:rsid w:val="00172823"/>
    <w:rsid w:val="0017298F"/>
    <w:rsid w:val="00172A21"/>
    <w:rsid w:val="00172BBE"/>
    <w:rsid w:val="00172C63"/>
    <w:rsid w:val="00172CDC"/>
    <w:rsid w:val="00172D31"/>
    <w:rsid w:val="00172E70"/>
    <w:rsid w:val="00172ECF"/>
    <w:rsid w:val="00173059"/>
    <w:rsid w:val="001730C9"/>
    <w:rsid w:val="00173111"/>
    <w:rsid w:val="00173306"/>
    <w:rsid w:val="00173684"/>
    <w:rsid w:val="00173A05"/>
    <w:rsid w:val="00173A3C"/>
    <w:rsid w:val="00173ACB"/>
    <w:rsid w:val="00173AD6"/>
    <w:rsid w:val="00173C7D"/>
    <w:rsid w:val="00173EFC"/>
    <w:rsid w:val="00173F1F"/>
    <w:rsid w:val="00173F33"/>
    <w:rsid w:val="00173FAA"/>
    <w:rsid w:val="00173FB5"/>
    <w:rsid w:val="00173FEE"/>
    <w:rsid w:val="0017404C"/>
    <w:rsid w:val="0017415F"/>
    <w:rsid w:val="00174217"/>
    <w:rsid w:val="001742D0"/>
    <w:rsid w:val="001742E1"/>
    <w:rsid w:val="00174596"/>
    <w:rsid w:val="0017470E"/>
    <w:rsid w:val="00174B3B"/>
    <w:rsid w:val="00174C0E"/>
    <w:rsid w:val="00174CC7"/>
    <w:rsid w:val="00174D56"/>
    <w:rsid w:val="00174D9A"/>
    <w:rsid w:val="00174DA8"/>
    <w:rsid w:val="00174E04"/>
    <w:rsid w:val="00174E90"/>
    <w:rsid w:val="00175018"/>
    <w:rsid w:val="00175089"/>
    <w:rsid w:val="001751CD"/>
    <w:rsid w:val="00175221"/>
    <w:rsid w:val="0017541C"/>
    <w:rsid w:val="001755A8"/>
    <w:rsid w:val="00175787"/>
    <w:rsid w:val="001757B8"/>
    <w:rsid w:val="001757C2"/>
    <w:rsid w:val="0017597E"/>
    <w:rsid w:val="00175A39"/>
    <w:rsid w:val="00175DCD"/>
    <w:rsid w:val="00175EB8"/>
    <w:rsid w:val="00175EC0"/>
    <w:rsid w:val="00175FF8"/>
    <w:rsid w:val="001760F1"/>
    <w:rsid w:val="00176125"/>
    <w:rsid w:val="00176194"/>
    <w:rsid w:val="001761FC"/>
    <w:rsid w:val="0017636D"/>
    <w:rsid w:val="00176380"/>
    <w:rsid w:val="00176392"/>
    <w:rsid w:val="0017640F"/>
    <w:rsid w:val="00176489"/>
    <w:rsid w:val="001765CA"/>
    <w:rsid w:val="001765CD"/>
    <w:rsid w:val="0017668B"/>
    <w:rsid w:val="001766F1"/>
    <w:rsid w:val="00176744"/>
    <w:rsid w:val="00176AF0"/>
    <w:rsid w:val="00176E37"/>
    <w:rsid w:val="00176ED5"/>
    <w:rsid w:val="00177050"/>
    <w:rsid w:val="00177449"/>
    <w:rsid w:val="00177466"/>
    <w:rsid w:val="001774CB"/>
    <w:rsid w:val="00177612"/>
    <w:rsid w:val="00177674"/>
    <w:rsid w:val="00177697"/>
    <w:rsid w:val="00177747"/>
    <w:rsid w:val="001778A9"/>
    <w:rsid w:val="0017795D"/>
    <w:rsid w:val="00177A1E"/>
    <w:rsid w:val="00177B51"/>
    <w:rsid w:val="00177BB5"/>
    <w:rsid w:val="00177D46"/>
    <w:rsid w:val="00177EB6"/>
    <w:rsid w:val="00177F35"/>
    <w:rsid w:val="00177F83"/>
    <w:rsid w:val="0018011A"/>
    <w:rsid w:val="001801C9"/>
    <w:rsid w:val="00180392"/>
    <w:rsid w:val="001803DF"/>
    <w:rsid w:val="001804EC"/>
    <w:rsid w:val="00180563"/>
    <w:rsid w:val="00180655"/>
    <w:rsid w:val="0018065B"/>
    <w:rsid w:val="00180675"/>
    <w:rsid w:val="00180733"/>
    <w:rsid w:val="00180B07"/>
    <w:rsid w:val="00180EEC"/>
    <w:rsid w:val="00181098"/>
    <w:rsid w:val="00181505"/>
    <w:rsid w:val="0018175D"/>
    <w:rsid w:val="001817D5"/>
    <w:rsid w:val="00181828"/>
    <w:rsid w:val="00181928"/>
    <w:rsid w:val="00181B8E"/>
    <w:rsid w:val="00181D18"/>
    <w:rsid w:val="00181D53"/>
    <w:rsid w:val="00181EEE"/>
    <w:rsid w:val="0018210A"/>
    <w:rsid w:val="001824B0"/>
    <w:rsid w:val="00182563"/>
    <w:rsid w:val="00182896"/>
    <w:rsid w:val="001828D0"/>
    <w:rsid w:val="001828FF"/>
    <w:rsid w:val="00182BE6"/>
    <w:rsid w:val="00182C0D"/>
    <w:rsid w:val="00182DC1"/>
    <w:rsid w:val="00182E06"/>
    <w:rsid w:val="00183016"/>
    <w:rsid w:val="00183089"/>
    <w:rsid w:val="001834D4"/>
    <w:rsid w:val="0018358F"/>
    <w:rsid w:val="0018377A"/>
    <w:rsid w:val="001838B9"/>
    <w:rsid w:val="001838E1"/>
    <w:rsid w:val="001838FD"/>
    <w:rsid w:val="001839AF"/>
    <w:rsid w:val="001839D6"/>
    <w:rsid w:val="00183B8E"/>
    <w:rsid w:val="00183BAE"/>
    <w:rsid w:val="00183C90"/>
    <w:rsid w:val="00183D6F"/>
    <w:rsid w:val="00183F2C"/>
    <w:rsid w:val="00183FF1"/>
    <w:rsid w:val="00184013"/>
    <w:rsid w:val="00184035"/>
    <w:rsid w:val="00184372"/>
    <w:rsid w:val="00184385"/>
    <w:rsid w:val="001843AC"/>
    <w:rsid w:val="001843ED"/>
    <w:rsid w:val="00184528"/>
    <w:rsid w:val="00184650"/>
    <w:rsid w:val="001847A1"/>
    <w:rsid w:val="00184809"/>
    <w:rsid w:val="0018480C"/>
    <w:rsid w:val="00184BDE"/>
    <w:rsid w:val="00184CA2"/>
    <w:rsid w:val="00184F20"/>
    <w:rsid w:val="00185258"/>
    <w:rsid w:val="0018540B"/>
    <w:rsid w:val="0018565A"/>
    <w:rsid w:val="0018568D"/>
    <w:rsid w:val="00185927"/>
    <w:rsid w:val="00185E70"/>
    <w:rsid w:val="00186036"/>
    <w:rsid w:val="00186108"/>
    <w:rsid w:val="0018615F"/>
    <w:rsid w:val="001861F6"/>
    <w:rsid w:val="0018630F"/>
    <w:rsid w:val="001863EC"/>
    <w:rsid w:val="001864D5"/>
    <w:rsid w:val="001866BF"/>
    <w:rsid w:val="001866E8"/>
    <w:rsid w:val="00186742"/>
    <w:rsid w:val="001867E5"/>
    <w:rsid w:val="001868FD"/>
    <w:rsid w:val="00186D0A"/>
    <w:rsid w:val="00186FBF"/>
    <w:rsid w:val="00187093"/>
    <w:rsid w:val="001873C7"/>
    <w:rsid w:val="0018758A"/>
    <w:rsid w:val="00187776"/>
    <w:rsid w:val="001877FA"/>
    <w:rsid w:val="00187802"/>
    <w:rsid w:val="00187895"/>
    <w:rsid w:val="001879B1"/>
    <w:rsid w:val="00187AB6"/>
    <w:rsid w:val="00187B30"/>
    <w:rsid w:val="00187CCD"/>
    <w:rsid w:val="00187D8B"/>
    <w:rsid w:val="00187DE8"/>
    <w:rsid w:val="00187F2B"/>
    <w:rsid w:val="00187F3C"/>
    <w:rsid w:val="0019008E"/>
    <w:rsid w:val="001900E4"/>
    <w:rsid w:val="0019010B"/>
    <w:rsid w:val="001901E0"/>
    <w:rsid w:val="001902D5"/>
    <w:rsid w:val="0019043C"/>
    <w:rsid w:val="0019087A"/>
    <w:rsid w:val="00190900"/>
    <w:rsid w:val="001909A0"/>
    <w:rsid w:val="00190A9A"/>
    <w:rsid w:val="00190A9D"/>
    <w:rsid w:val="00190B9B"/>
    <w:rsid w:val="00190CE7"/>
    <w:rsid w:val="00190D74"/>
    <w:rsid w:val="00190D92"/>
    <w:rsid w:val="00190DB6"/>
    <w:rsid w:val="00190DFC"/>
    <w:rsid w:val="00190EBE"/>
    <w:rsid w:val="00190EFC"/>
    <w:rsid w:val="001912CB"/>
    <w:rsid w:val="001912F3"/>
    <w:rsid w:val="00191340"/>
    <w:rsid w:val="001913C8"/>
    <w:rsid w:val="00191691"/>
    <w:rsid w:val="00191848"/>
    <w:rsid w:val="001919B2"/>
    <w:rsid w:val="00191B6C"/>
    <w:rsid w:val="00191C7D"/>
    <w:rsid w:val="00191D6F"/>
    <w:rsid w:val="00191E13"/>
    <w:rsid w:val="00191F49"/>
    <w:rsid w:val="00192029"/>
    <w:rsid w:val="00192257"/>
    <w:rsid w:val="001925A4"/>
    <w:rsid w:val="001925B4"/>
    <w:rsid w:val="001925CB"/>
    <w:rsid w:val="0019260E"/>
    <w:rsid w:val="0019267F"/>
    <w:rsid w:val="00192761"/>
    <w:rsid w:val="001927C0"/>
    <w:rsid w:val="00192914"/>
    <w:rsid w:val="00192951"/>
    <w:rsid w:val="00192E56"/>
    <w:rsid w:val="00192F16"/>
    <w:rsid w:val="001932D9"/>
    <w:rsid w:val="0019350F"/>
    <w:rsid w:val="00193625"/>
    <w:rsid w:val="001936FC"/>
    <w:rsid w:val="001938EA"/>
    <w:rsid w:val="001939FD"/>
    <w:rsid w:val="00193B57"/>
    <w:rsid w:val="00193C14"/>
    <w:rsid w:val="00193C50"/>
    <w:rsid w:val="00193D5D"/>
    <w:rsid w:val="00193DEF"/>
    <w:rsid w:val="00193E20"/>
    <w:rsid w:val="00193F8B"/>
    <w:rsid w:val="001940BE"/>
    <w:rsid w:val="0019411C"/>
    <w:rsid w:val="001941C8"/>
    <w:rsid w:val="00194220"/>
    <w:rsid w:val="001942A7"/>
    <w:rsid w:val="001942C6"/>
    <w:rsid w:val="001942F6"/>
    <w:rsid w:val="00194344"/>
    <w:rsid w:val="00194564"/>
    <w:rsid w:val="001945B8"/>
    <w:rsid w:val="001945F1"/>
    <w:rsid w:val="00194972"/>
    <w:rsid w:val="00194BA7"/>
    <w:rsid w:val="00194D18"/>
    <w:rsid w:val="001950E2"/>
    <w:rsid w:val="0019524D"/>
    <w:rsid w:val="00195320"/>
    <w:rsid w:val="00195423"/>
    <w:rsid w:val="00195683"/>
    <w:rsid w:val="00195795"/>
    <w:rsid w:val="001957A3"/>
    <w:rsid w:val="0019592B"/>
    <w:rsid w:val="00195966"/>
    <w:rsid w:val="00195B87"/>
    <w:rsid w:val="00195BB9"/>
    <w:rsid w:val="00195BE2"/>
    <w:rsid w:val="00195D1C"/>
    <w:rsid w:val="00195DBD"/>
    <w:rsid w:val="00195E15"/>
    <w:rsid w:val="00195ED2"/>
    <w:rsid w:val="00195EDE"/>
    <w:rsid w:val="00195EEA"/>
    <w:rsid w:val="0019600E"/>
    <w:rsid w:val="0019603D"/>
    <w:rsid w:val="0019604D"/>
    <w:rsid w:val="0019610E"/>
    <w:rsid w:val="0019619B"/>
    <w:rsid w:val="0019623E"/>
    <w:rsid w:val="001963F5"/>
    <w:rsid w:val="0019667E"/>
    <w:rsid w:val="00196AB4"/>
    <w:rsid w:val="00196C13"/>
    <w:rsid w:val="00196CA8"/>
    <w:rsid w:val="00197021"/>
    <w:rsid w:val="00197192"/>
    <w:rsid w:val="00197356"/>
    <w:rsid w:val="001974AC"/>
    <w:rsid w:val="00197718"/>
    <w:rsid w:val="00197BB8"/>
    <w:rsid w:val="00197D01"/>
    <w:rsid w:val="001A00C9"/>
    <w:rsid w:val="001A0126"/>
    <w:rsid w:val="001A0148"/>
    <w:rsid w:val="001A014A"/>
    <w:rsid w:val="001A0216"/>
    <w:rsid w:val="001A024B"/>
    <w:rsid w:val="001A02B8"/>
    <w:rsid w:val="001A0363"/>
    <w:rsid w:val="001A0520"/>
    <w:rsid w:val="001A05CF"/>
    <w:rsid w:val="001A067B"/>
    <w:rsid w:val="001A082B"/>
    <w:rsid w:val="001A088D"/>
    <w:rsid w:val="001A08BC"/>
    <w:rsid w:val="001A0D33"/>
    <w:rsid w:val="001A0E39"/>
    <w:rsid w:val="001A0ECE"/>
    <w:rsid w:val="001A1040"/>
    <w:rsid w:val="001A1096"/>
    <w:rsid w:val="001A13F3"/>
    <w:rsid w:val="001A1558"/>
    <w:rsid w:val="001A1560"/>
    <w:rsid w:val="001A1659"/>
    <w:rsid w:val="001A1688"/>
    <w:rsid w:val="001A16B5"/>
    <w:rsid w:val="001A16B6"/>
    <w:rsid w:val="001A18DB"/>
    <w:rsid w:val="001A1998"/>
    <w:rsid w:val="001A1BAC"/>
    <w:rsid w:val="001A1E1B"/>
    <w:rsid w:val="001A1E42"/>
    <w:rsid w:val="001A1EA0"/>
    <w:rsid w:val="001A21F7"/>
    <w:rsid w:val="001A2229"/>
    <w:rsid w:val="001A2367"/>
    <w:rsid w:val="001A23F2"/>
    <w:rsid w:val="001A2428"/>
    <w:rsid w:val="001A2477"/>
    <w:rsid w:val="001A257F"/>
    <w:rsid w:val="001A28B5"/>
    <w:rsid w:val="001A2A7A"/>
    <w:rsid w:val="001A2B70"/>
    <w:rsid w:val="001A2B8C"/>
    <w:rsid w:val="001A2CC7"/>
    <w:rsid w:val="001A2DAD"/>
    <w:rsid w:val="001A2EDA"/>
    <w:rsid w:val="001A2F34"/>
    <w:rsid w:val="001A2FB0"/>
    <w:rsid w:val="001A2FE4"/>
    <w:rsid w:val="001A3095"/>
    <w:rsid w:val="001A30CF"/>
    <w:rsid w:val="001A31E9"/>
    <w:rsid w:val="001A387E"/>
    <w:rsid w:val="001A3A52"/>
    <w:rsid w:val="001A3C59"/>
    <w:rsid w:val="001A3DB6"/>
    <w:rsid w:val="001A3EEE"/>
    <w:rsid w:val="001A3FC7"/>
    <w:rsid w:val="001A4208"/>
    <w:rsid w:val="001A4249"/>
    <w:rsid w:val="001A428A"/>
    <w:rsid w:val="001A4696"/>
    <w:rsid w:val="001A4A7B"/>
    <w:rsid w:val="001A4A87"/>
    <w:rsid w:val="001A4AA4"/>
    <w:rsid w:val="001A4AEE"/>
    <w:rsid w:val="001A4C98"/>
    <w:rsid w:val="001A4CBA"/>
    <w:rsid w:val="001A4DAA"/>
    <w:rsid w:val="001A5022"/>
    <w:rsid w:val="001A51E4"/>
    <w:rsid w:val="001A5200"/>
    <w:rsid w:val="001A5329"/>
    <w:rsid w:val="001A53D5"/>
    <w:rsid w:val="001A5535"/>
    <w:rsid w:val="001A5569"/>
    <w:rsid w:val="001A557F"/>
    <w:rsid w:val="001A57CA"/>
    <w:rsid w:val="001A592B"/>
    <w:rsid w:val="001A59D9"/>
    <w:rsid w:val="001A5A37"/>
    <w:rsid w:val="001A5BFC"/>
    <w:rsid w:val="001A5CC3"/>
    <w:rsid w:val="001A5FA5"/>
    <w:rsid w:val="001A610A"/>
    <w:rsid w:val="001A61B1"/>
    <w:rsid w:val="001A63C2"/>
    <w:rsid w:val="001A6456"/>
    <w:rsid w:val="001A646E"/>
    <w:rsid w:val="001A6527"/>
    <w:rsid w:val="001A6545"/>
    <w:rsid w:val="001A6567"/>
    <w:rsid w:val="001A65B4"/>
    <w:rsid w:val="001A6643"/>
    <w:rsid w:val="001A67F6"/>
    <w:rsid w:val="001A6915"/>
    <w:rsid w:val="001A6A07"/>
    <w:rsid w:val="001A6B3D"/>
    <w:rsid w:val="001A6B8D"/>
    <w:rsid w:val="001A6BE5"/>
    <w:rsid w:val="001A6EA4"/>
    <w:rsid w:val="001A6EAC"/>
    <w:rsid w:val="001A6FB1"/>
    <w:rsid w:val="001A70F1"/>
    <w:rsid w:val="001A70F5"/>
    <w:rsid w:val="001A71A0"/>
    <w:rsid w:val="001A734E"/>
    <w:rsid w:val="001A75A5"/>
    <w:rsid w:val="001A787B"/>
    <w:rsid w:val="001A7976"/>
    <w:rsid w:val="001A7C4E"/>
    <w:rsid w:val="001A7CD7"/>
    <w:rsid w:val="001A7CDD"/>
    <w:rsid w:val="001A7D54"/>
    <w:rsid w:val="001A7DF9"/>
    <w:rsid w:val="001B02A2"/>
    <w:rsid w:val="001B02B5"/>
    <w:rsid w:val="001B0353"/>
    <w:rsid w:val="001B0392"/>
    <w:rsid w:val="001B03DB"/>
    <w:rsid w:val="001B041A"/>
    <w:rsid w:val="001B0529"/>
    <w:rsid w:val="001B06A3"/>
    <w:rsid w:val="001B070D"/>
    <w:rsid w:val="001B0865"/>
    <w:rsid w:val="001B0A92"/>
    <w:rsid w:val="001B0CC2"/>
    <w:rsid w:val="001B0CC4"/>
    <w:rsid w:val="001B0E90"/>
    <w:rsid w:val="001B0F8C"/>
    <w:rsid w:val="001B0FAE"/>
    <w:rsid w:val="001B10D9"/>
    <w:rsid w:val="001B10DC"/>
    <w:rsid w:val="001B11CB"/>
    <w:rsid w:val="001B1212"/>
    <w:rsid w:val="001B129D"/>
    <w:rsid w:val="001B14F8"/>
    <w:rsid w:val="001B158D"/>
    <w:rsid w:val="001B170A"/>
    <w:rsid w:val="001B1925"/>
    <w:rsid w:val="001B199A"/>
    <w:rsid w:val="001B1A5D"/>
    <w:rsid w:val="001B1AFF"/>
    <w:rsid w:val="001B1D49"/>
    <w:rsid w:val="001B1E6F"/>
    <w:rsid w:val="001B1E9B"/>
    <w:rsid w:val="001B1F13"/>
    <w:rsid w:val="001B1F6E"/>
    <w:rsid w:val="001B1FF7"/>
    <w:rsid w:val="001B20F2"/>
    <w:rsid w:val="001B23B8"/>
    <w:rsid w:val="001B249B"/>
    <w:rsid w:val="001B24FB"/>
    <w:rsid w:val="001B259E"/>
    <w:rsid w:val="001B2719"/>
    <w:rsid w:val="001B27D3"/>
    <w:rsid w:val="001B299A"/>
    <w:rsid w:val="001B29CD"/>
    <w:rsid w:val="001B2A51"/>
    <w:rsid w:val="001B2BBA"/>
    <w:rsid w:val="001B2C17"/>
    <w:rsid w:val="001B2C28"/>
    <w:rsid w:val="001B2C47"/>
    <w:rsid w:val="001B2D22"/>
    <w:rsid w:val="001B2D82"/>
    <w:rsid w:val="001B2DA0"/>
    <w:rsid w:val="001B2EE7"/>
    <w:rsid w:val="001B2EF9"/>
    <w:rsid w:val="001B3119"/>
    <w:rsid w:val="001B34B0"/>
    <w:rsid w:val="001B3531"/>
    <w:rsid w:val="001B353D"/>
    <w:rsid w:val="001B356B"/>
    <w:rsid w:val="001B3573"/>
    <w:rsid w:val="001B384A"/>
    <w:rsid w:val="001B3BCF"/>
    <w:rsid w:val="001B43A5"/>
    <w:rsid w:val="001B43C0"/>
    <w:rsid w:val="001B43DA"/>
    <w:rsid w:val="001B4494"/>
    <w:rsid w:val="001B4574"/>
    <w:rsid w:val="001B4640"/>
    <w:rsid w:val="001B48CB"/>
    <w:rsid w:val="001B4912"/>
    <w:rsid w:val="001B4932"/>
    <w:rsid w:val="001B4A82"/>
    <w:rsid w:val="001B4FA9"/>
    <w:rsid w:val="001B5420"/>
    <w:rsid w:val="001B5671"/>
    <w:rsid w:val="001B5724"/>
    <w:rsid w:val="001B57E8"/>
    <w:rsid w:val="001B58B0"/>
    <w:rsid w:val="001B5AAF"/>
    <w:rsid w:val="001B5D77"/>
    <w:rsid w:val="001B5E97"/>
    <w:rsid w:val="001B614A"/>
    <w:rsid w:val="001B64CA"/>
    <w:rsid w:val="001B65D5"/>
    <w:rsid w:val="001B6757"/>
    <w:rsid w:val="001B6977"/>
    <w:rsid w:val="001B69E3"/>
    <w:rsid w:val="001B6B75"/>
    <w:rsid w:val="001B6BB9"/>
    <w:rsid w:val="001B6C64"/>
    <w:rsid w:val="001B7083"/>
    <w:rsid w:val="001B7231"/>
    <w:rsid w:val="001B72C9"/>
    <w:rsid w:val="001B72D1"/>
    <w:rsid w:val="001B73A1"/>
    <w:rsid w:val="001B7421"/>
    <w:rsid w:val="001B74AD"/>
    <w:rsid w:val="001B76B5"/>
    <w:rsid w:val="001B76F8"/>
    <w:rsid w:val="001B7764"/>
    <w:rsid w:val="001B7808"/>
    <w:rsid w:val="001B7B5A"/>
    <w:rsid w:val="001B7B73"/>
    <w:rsid w:val="001B7C69"/>
    <w:rsid w:val="001B7CFB"/>
    <w:rsid w:val="001B7DF7"/>
    <w:rsid w:val="001C021C"/>
    <w:rsid w:val="001C0367"/>
    <w:rsid w:val="001C040A"/>
    <w:rsid w:val="001C063A"/>
    <w:rsid w:val="001C06D8"/>
    <w:rsid w:val="001C0809"/>
    <w:rsid w:val="001C0851"/>
    <w:rsid w:val="001C0A93"/>
    <w:rsid w:val="001C0A9A"/>
    <w:rsid w:val="001C0AA4"/>
    <w:rsid w:val="001C0C82"/>
    <w:rsid w:val="001C0D64"/>
    <w:rsid w:val="001C0D6A"/>
    <w:rsid w:val="001C0FAF"/>
    <w:rsid w:val="001C10BA"/>
    <w:rsid w:val="001C1205"/>
    <w:rsid w:val="001C1480"/>
    <w:rsid w:val="001C1687"/>
    <w:rsid w:val="001C1A67"/>
    <w:rsid w:val="001C1B9D"/>
    <w:rsid w:val="001C1D1E"/>
    <w:rsid w:val="001C1DF9"/>
    <w:rsid w:val="001C1F11"/>
    <w:rsid w:val="001C1F8B"/>
    <w:rsid w:val="001C20EE"/>
    <w:rsid w:val="001C224D"/>
    <w:rsid w:val="001C25AD"/>
    <w:rsid w:val="001C261E"/>
    <w:rsid w:val="001C2A31"/>
    <w:rsid w:val="001C2A61"/>
    <w:rsid w:val="001C2AD9"/>
    <w:rsid w:val="001C2AED"/>
    <w:rsid w:val="001C2C24"/>
    <w:rsid w:val="001C2CB4"/>
    <w:rsid w:val="001C2CEF"/>
    <w:rsid w:val="001C2D5A"/>
    <w:rsid w:val="001C2E33"/>
    <w:rsid w:val="001C2F39"/>
    <w:rsid w:val="001C2F46"/>
    <w:rsid w:val="001C3038"/>
    <w:rsid w:val="001C30C3"/>
    <w:rsid w:val="001C31B9"/>
    <w:rsid w:val="001C31C1"/>
    <w:rsid w:val="001C3200"/>
    <w:rsid w:val="001C371C"/>
    <w:rsid w:val="001C381C"/>
    <w:rsid w:val="001C38FB"/>
    <w:rsid w:val="001C39EF"/>
    <w:rsid w:val="001C3A76"/>
    <w:rsid w:val="001C3C89"/>
    <w:rsid w:val="001C3D62"/>
    <w:rsid w:val="001C3F9D"/>
    <w:rsid w:val="001C40CD"/>
    <w:rsid w:val="001C41AA"/>
    <w:rsid w:val="001C42F5"/>
    <w:rsid w:val="001C4338"/>
    <w:rsid w:val="001C43EA"/>
    <w:rsid w:val="001C4427"/>
    <w:rsid w:val="001C456A"/>
    <w:rsid w:val="001C48ED"/>
    <w:rsid w:val="001C4A0E"/>
    <w:rsid w:val="001C4DAC"/>
    <w:rsid w:val="001C4EC7"/>
    <w:rsid w:val="001C4F81"/>
    <w:rsid w:val="001C4FFB"/>
    <w:rsid w:val="001C5001"/>
    <w:rsid w:val="001C52AD"/>
    <w:rsid w:val="001C555E"/>
    <w:rsid w:val="001C5603"/>
    <w:rsid w:val="001C5606"/>
    <w:rsid w:val="001C5643"/>
    <w:rsid w:val="001C574B"/>
    <w:rsid w:val="001C578F"/>
    <w:rsid w:val="001C58B3"/>
    <w:rsid w:val="001C5A70"/>
    <w:rsid w:val="001C5C01"/>
    <w:rsid w:val="001C5D32"/>
    <w:rsid w:val="001C5E27"/>
    <w:rsid w:val="001C5E38"/>
    <w:rsid w:val="001C5E95"/>
    <w:rsid w:val="001C5EAC"/>
    <w:rsid w:val="001C5F05"/>
    <w:rsid w:val="001C5F08"/>
    <w:rsid w:val="001C5FA2"/>
    <w:rsid w:val="001C60E9"/>
    <w:rsid w:val="001C61C4"/>
    <w:rsid w:val="001C6354"/>
    <w:rsid w:val="001C6410"/>
    <w:rsid w:val="001C64A6"/>
    <w:rsid w:val="001C654B"/>
    <w:rsid w:val="001C6766"/>
    <w:rsid w:val="001C6985"/>
    <w:rsid w:val="001C69AE"/>
    <w:rsid w:val="001C69CD"/>
    <w:rsid w:val="001C6A1E"/>
    <w:rsid w:val="001C6A3F"/>
    <w:rsid w:val="001C6A45"/>
    <w:rsid w:val="001C6ADA"/>
    <w:rsid w:val="001C6D19"/>
    <w:rsid w:val="001C6D56"/>
    <w:rsid w:val="001C6EDA"/>
    <w:rsid w:val="001C6FC4"/>
    <w:rsid w:val="001C7296"/>
    <w:rsid w:val="001C74D9"/>
    <w:rsid w:val="001C78F3"/>
    <w:rsid w:val="001C79EC"/>
    <w:rsid w:val="001C7BA0"/>
    <w:rsid w:val="001C7BE0"/>
    <w:rsid w:val="001C7C15"/>
    <w:rsid w:val="001C7C41"/>
    <w:rsid w:val="001C7C58"/>
    <w:rsid w:val="001C7EDD"/>
    <w:rsid w:val="001C7FAB"/>
    <w:rsid w:val="001D004D"/>
    <w:rsid w:val="001D00BA"/>
    <w:rsid w:val="001D0102"/>
    <w:rsid w:val="001D01A3"/>
    <w:rsid w:val="001D0285"/>
    <w:rsid w:val="001D029F"/>
    <w:rsid w:val="001D0493"/>
    <w:rsid w:val="001D085B"/>
    <w:rsid w:val="001D08B4"/>
    <w:rsid w:val="001D0BAA"/>
    <w:rsid w:val="001D0FBE"/>
    <w:rsid w:val="001D13BF"/>
    <w:rsid w:val="001D13F8"/>
    <w:rsid w:val="001D16BD"/>
    <w:rsid w:val="001D1795"/>
    <w:rsid w:val="001D1876"/>
    <w:rsid w:val="001D1E56"/>
    <w:rsid w:val="001D1EB3"/>
    <w:rsid w:val="001D1ED4"/>
    <w:rsid w:val="001D20BE"/>
    <w:rsid w:val="001D2131"/>
    <w:rsid w:val="001D224A"/>
    <w:rsid w:val="001D229F"/>
    <w:rsid w:val="001D23FF"/>
    <w:rsid w:val="001D2690"/>
    <w:rsid w:val="001D26C9"/>
    <w:rsid w:val="001D275C"/>
    <w:rsid w:val="001D2790"/>
    <w:rsid w:val="001D288D"/>
    <w:rsid w:val="001D2BF8"/>
    <w:rsid w:val="001D2C57"/>
    <w:rsid w:val="001D2C5F"/>
    <w:rsid w:val="001D2C8E"/>
    <w:rsid w:val="001D2DB3"/>
    <w:rsid w:val="001D3156"/>
    <w:rsid w:val="001D3191"/>
    <w:rsid w:val="001D31F7"/>
    <w:rsid w:val="001D34A6"/>
    <w:rsid w:val="001D35D3"/>
    <w:rsid w:val="001D367A"/>
    <w:rsid w:val="001D369F"/>
    <w:rsid w:val="001D36D1"/>
    <w:rsid w:val="001D36FD"/>
    <w:rsid w:val="001D371D"/>
    <w:rsid w:val="001D37B2"/>
    <w:rsid w:val="001D37C1"/>
    <w:rsid w:val="001D37FC"/>
    <w:rsid w:val="001D389C"/>
    <w:rsid w:val="001D38CE"/>
    <w:rsid w:val="001D38E3"/>
    <w:rsid w:val="001D3923"/>
    <w:rsid w:val="001D399A"/>
    <w:rsid w:val="001D39B8"/>
    <w:rsid w:val="001D39CF"/>
    <w:rsid w:val="001D3B13"/>
    <w:rsid w:val="001D3C29"/>
    <w:rsid w:val="001D3DC0"/>
    <w:rsid w:val="001D3E7A"/>
    <w:rsid w:val="001D3EDC"/>
    <w:rsid w:val="001D40A8"/>
    <w:rsid w:val="001D40B4"/>
    <w:rsid w:val="001D40C1"/>
    <w:rsid w:val="001D42C0"/>
    <w:rsid w:val="001D461F"/>
    <w:rsid w:val="001D4667"/>
    <w:rsid w:val="001D47A3"/>
    <w:rsid w:val="001D47DF"/>
    <w:rsid w:val="001D4A83"/>
    <w:rsid w:val="001D4BEB"/>
    <w:rsid w:val="001D4C89"/>
    <w:rsid w:val="001D4CD0"/>
    <w:rsid w:val="001D4FD6"/>
    <w:rsid w:val="001D5070"/>
    <w:rsid w:val="001D51E6"/>
    <w:rsid w:val="001D543D"/>
    <w:rsid w:val="001D5657"/>
    <w:rsid w:val="001D5736"/>
    <w:rsid w:val="001D5985"/>
    <w:rsid w:val="001D59C9"/>
    <w:rsid w:val="001D5ACB"/>
    <w:rsid w:val="001D5B54"/>
    <w:rsid w:val="001D5CCA"/>
    <w:rsid w:val="001D5E1E"/>
    <w:rsid w:val="001D5EE8"/>
    <w:rsid w:val="001D6057"/>
    <w:rsid w:val="001D609A"/>
    <w:rsid w:val="001D6109"/>
    <w:rsid w:val="001D618C"/>
    <w:rsid w:val="001D653D"/>
    <w:rsid w:val="001D65E6"/>
    <w:rsid w:val="001D67AA"/>
    <w:rsid w:val="001D68A8"/>
    <w:rsid w:val="001D6913"/>
    <w:rsid w:val="001D6A97"/>
    <w:rsid w:val="001D6AD2"/>
    <w:rsid w:val="001D6B2D"/>
    <w:rsid w:val="001D6B88"/>
    <w:rsid w:val="001D6CC2"/>
    <w:rsid w:val="001D6CD4"/>
    <w:rsid w:val="001D6D1F"/>
    <w:rsid w:val="001D6DEA"/>
    <w:rsid w:val="001D6ED8"/>
    <w:rsid w:val="001D705E"/>
    <w:rsid w:val="001D70C5"/>
    <w:rsid w:val="001D71C7"/>
    <w:rsid w:val="001D73A4"/>
    <w:rsid w:val="001D743C"/>
    <w:rsid w:val="001D74B4"/>
    <w:rsid w:val="001D7541"/>
    <w:rsid w:val="001D758A"/>
    <w:rsid w:val="001D75D7"/>
    <w:rsid w:val="001D7643"/>
    <w:rsid w:val="001D76C3"/>
    <w:rsid w:val="001D774E"/>
    <w:rsid w:val="001D7B10"/>
    <w:rsid w:val="001D7C26"/>
    <w:rsid w:val="001D7CAC"/>
    <w:rsid w:val="001E0066"/>
    <w:rsid w:val="001E00B8"/>
    <w:rsid w:val="001E00DF"/>
    <w:rsid w:val="001E0224"/>
    <w:rsid w:val="001E0442"/>
    <w:rsid w:val="001E0599"/>
    <w:rsid w:val="001E0640"/>
    <w:rsid w:val="001E0773"/>
    <w:rsid w:val="001E08C2"/>
    <w:rsid w:val="001E0E4E"/>
    <w:rsid w:val="001E0FA0"/>
    <w:rsid w:val="001E0FB9"/>
    <w:rsid w:val="001E1003"/>
    <w:rsid w:val="001E11F3"/>
    <w:rsid w:val="001E121E"/>
    <w:rsid w:val="001E132E"/>
    <w:rsid w:val="001E1367"/>
    <w:rsid w:val="001E1495"/>
    <w:rsid w:val="001E1552"/>
    <w:rsid w:val="001E15E9"/>
    <w:rsid w:val="001E1690"/>
    <w:rsid w:val="001E16F9"/>
    <w:rsid w:val="001E178D"/>
    <w:rsid w:val="001E1793"/>
    <w:rsid w:val="001E1997"/>
    <w:rsid w:val="001E1A57"/>
    <w:rsid w:val="001E1A6F"/>
    <w:rsid w:val="001E1B31"/>
    <w:rsid w:val="001E1BEC"/>
    <w:rsid w:val="001E1C0D"/>
    <w:rsid w:val="001E1E19"/>
    <w:rsid w:val="001E1E1E"/>
    <w:rsid w:val="001E1F41"/>
    <w:rsid w:val="001E207B"/>
    <w:rsid w:val="001E2113"/>
    <w:rsid w:val="001E22A1"/>
    <w:rsid w:val="001E2432"/>
    <w:rsid w:val="001E2478"/>
    <w:rsid w:val="001E248D"/>
    <w:rsid w:val="001E24B4"/>
    <w:rsid w:val="001E26DA"/>
    <w:rsid w:val="001E2722"/>
    <w:rsid w:val="001E2774"/>
    <w:rsid w:val="001E27E2"/>
    <w:rsid w:val="001E2859"/>
    <w:rsid w:val="001E2899"/>
    <w:rsid w:val="001E293C"/>
    <w:rsid w:val="001E29BF"/>
    <w:rsid w:val="001E2B4C"/>
    <w:rsid w:val="001E2B8A"/>
    <w:rsid w:val="001E2EC6"/>
    <w:rsid w:val="001E2FD8"/>
    <w:rsid w:val="001E2FDD"/>
    <w:rsid w:val="001E3056"/>
    <w:rsid w:val="001E306F"/>
    <w:rsid w:val="001E320F"/>
    <w:rsid w:val="001E3469"/>
    <w:rsid w:val="001E3647"/>
    <w:rsid w:val="001E36A9"/>
    <w:rsid w:val="001E37C0"/>
    <w:rsid w:val="001E37D8"/>
    <w:rsid w:val="001E37E3"/>
    <w:rsid w:val="001E3914"/>
    <w:rsid w:val="001E3A92"/>
    <w:rsid w:val="001E3B3A"/>
    <w:rsid w:val="001E3B81"/>
    <w:rsid w:val="001E3CB1"/>
    <w:rsid w:val="001E41F8"/>
    <w:rsid w:val="001E439C"/>
    <w:rsid w:val="001E4423"/>
    <w:rsid w:val="001E444B"/>
    <w:rsid w:val="001E4527"/>
    <w:rsid w:val="001E45B2"/>
    <w:rsid w:val="001E45BA"/>
    <w:rsid w:val="001E467E"/>
    <w:rsid w:val="001E4C8A"/>
    <w:rsid w:val="001E4D57"/>
    <w:rsid w:val="001E4E8C"/>
    <w:rsid w:val="001E50D7"/>
    <w:rsid w:val="001E52A4"/>
    <w:rsid w:val="001E5320"/>
    <w:rsid w:val="001E5542"/>
    <w:rsid w:val="001E554D"/>
    <w:rsid w:val="001E55E7"/>
    <w:rsid w:val="001E5676"/>
    <w:rsid w:val="001E5728"/>
    <w:rsid w:val="001E58F3"/>
    <w:rsid w:val="001E5A0D"/>
    <w:rsid w:val="001E5A15"/>
    <w:rsid w:val="001E5A57"/>
    <w:rsid w:val="001E5BD2"/>
    <w:rsid w:val="001E5C3D"/>
    <w:rsid w:val="001E5C4F"/>
    <w:rsid w:val="001E5C60"/>
    <w:rsid w:val="001E5CAF"/>
    <w:rsid w:val="001E5CD3"/>
    <w:rsid w:val="001E5CE6"/>
    <w:rsid w:val="001E5E0A"/>
    <w:rsid w:val="001E5E4F"/>
    <w:rsid w:val="001E6014"/>
    <w:rsid w:val="001E6089"/>
    <w:rsid w:val="001E61E6"/>
    <w:rsid w:val="001E656F"/>
    <w:rsid w:val="001E6601"/>
    <w:rsid w:val="001E6616"/>
    <w:rsid w:val="001E6650"/>
    <w:rsid w:val="001E680A"/>
    <w:rsid w:val="001E6994"/>
    <w:rsid w:val="001E69A0"/>
    <w:rsid w:val="001E69AC"/>
    <w:rsid w:val="001E69B4"/>
    <w:rsid w:val="001E6DF4"/>
    <w:rsid w:val="001E6EA5"/>
    <w:rsid w:val="001E7156"/>
    <w:rsid w:val="001E716D"/>
    <w:rsid w:val="001E718D"/>
    <w:rsid w:val="001E72FB"/>
    <w:rsid w:val="001E7304"/>
    <w:rsid w:val="001E735C"/>
    <w:rsid w:val="001E73C9"/>
    <w:rsid w:val="001E74E5"/>
    <w:rsid w:val="001E7559"/>
    <w:rsid w:val="001E75C4"/>
    <w:rsid w:val="001E7748"/>
    <w:rsid w:val="001E77A9"/>
    <w:rsid w:val="001E7919"/>
    <w:rsid w:val="001E79A2"/>
    <w:rsid w:val="001E79CD"/>
    <w:rsid w:val="001E7CD3"/>
    <w:rsid w:val="001E7F65"/>
    <w:rsid w:val="001E7FCC"/>
    <w:rsid w:val="001E7FF1"/>
    <w:rsid w:val="001F0028"/>
    <w:rsid w:val="001F00AA"/>
    <w:rsid w:val="001F00FA"/>
    <w:rsid w:val="001F011C"/>
    <w:rsid w:val="001F01FB"/>
    <w:rsid w:val="001F0231"/>
    <w:rsid w:val="001F02A7"/>
    <w:rsid w:val="001F0300"/>
    <w:rsid w:val="001F0383"/>
    <w:rsid w:val="001F04E7"/>
    <w:rsid w:val="001F05C4"/>
    <w:rsid w:val="001F06F0"/>
    <w:rsid w:val="001F0730"/>
    <w:rsid w:val="001F0A21"/>
    <w:rsid w:val="001F0B6D"/>
    <w:rsid w:val="001F0B73"/>
    <w:rsid w:val="001F0C9C"/>
    <w:rsid w:val="001F0E9F"/>
    <w:rsid w:val="001F0EA4"/>
    <w:rsid w:val="001F105D"/>
    <w:rsid w:val="001F119E"/>
    <w:rsid w:val="001F12FB"/>
    <w:rsid w:val="001F1444"/>
    <w:rsid w:val="001F1562"/>
    <w:rsid w:val="001F15B5"/>
    <w:rsid w:val="001F169A"/>
    <w:rsid w:val="001F16B8"/>
    <w:rsid w:val="001F16EB"/>
    <w:rsid w:val="001F1802"/>
    <w:rsid w:val="001F1890"/>
    <w:rsid w:val="001F189D"/>
    <w:rsid w:val="001F1A38"/>
    <w:rsid w:val="001F1A5F"/>
    <w:rsid w:val="001F1C65"/>
    <w:rsid w:val="001F1D6E"/>
    <w:rsid w:val="001F1F3F"/>
    <w:rsid w:val="001F1F7E"/>
    <w:rsid w:val="001F209F"/>
    <w:rsid w:val="001F2152"/>
    <w:rsid w:val="001F2300"/>
    <w:rsid w:val="001F2547"/>
    <w:rsid w:val="001F25F3"/>
    <w:rsid w:val="001F265C"/>
    <w:rsid w:val="001F28F2"/>
    <w:rsid w:val="001F2AAD"/>
    <w:rsid w:val="001F2B32"/>
    <w:rsid w:val="001F2BBB"/>
    <w:rsid w:val="001F2CC4"/>
    <w:rsid w:val="001F2F21"/>
    <w:rsid w:val="001F2F44"/>
    <w:rsid w:val="001F306E"/>
    <w:rsid w:val="001F31D7"/>
    <w:rsid w:val="001F33FB"/>
    <w:rsid w:val="001F343E"/>
    <w:rsid w:val="001F371D"/>
    <w:rsid w:val="001F3939"/>
    <w:rsid w:val="001F396C"/>
    <w:rsid w:val="001F3A4F"/>
    <w:rsid w:val="001F3AD5"/>
    <w:rsid w:val="001F3B50"/>
    <w:rsid w:val="001F3C0D"/>
    <w:rsid w:val="001F3F40"/>
    <w:rsid w:val="001F4170"/>
    <w:rsid w:val="001F427E"/>
    <w:rsid w:val="001F4438"/>
    <w:rsid w:val="001F4511"/>
    <w:rsid w:val="001F46A1"/>
    <w:rsid w:val="001F4BB5"/>
    <w:rsid w:val="001F4CB4"/>
    <w:rsid w:val="001F4DAD"/>
    <w:rsid w:val="001F4EC4"/>
    <w:rsid w:val="001F4FD2"/>
    <w:rsid w:val="001F52FD"/>
    <w:rsid w:val="001F5302"/>
    <w:rsid w:val="001F5572"/>
    <w:rsid w:val="001F567F"/>
    <w:rsid w:val="001F56A7"/>
    <w:rsid w:val="001F574C"/>
    <w:rsid w:val="001F5844"/>
    <w:rsid w:val="001F586F"/>
    <w:rsid w:val="001F599F"/>
    <w:rsid w:val="001F5D47"/>
    <w:rsid w:val="001F60C2"/>
    <w:rsid w:val="001F62C0"/>
    <w:rsid w:val="001F62CC"/>
    <w:rsid w:val="001F63C7"/>
    <w:rsid w:val="001F6475"/>
    <w:rsid w:val="001F668E"/>
    <w:rsid w:val="001F682E"/>
    <w:rsid w:val="001F6903"/>
    <w:rsid w:val="001F6D85"/>
    <w:rsid w:val="001F6DD6"/>
    <w:rsid w:val="001F6EF6"/>
    <w:rsid w:val="001F7053"/>
    <w:rsid w:val="001F7386"/>
    <w:rsid w:val="001F73ED"/>
    <w:rsid w:val="001F7521"/>
    <w:rsid w:val="001F754F"/>
    <w:rsid w:val="001F75C0"/>
    <w:rsid w:val="001F7616"/>
    <w:rsid w:val="001F79C8"/>
    <w:rsid w:val="001F7BAE"/>
    <w:rsid w:val="001F7BB6"/>
    <w:rsid w:val="001F7BF6"/>
    <w:rsid w:val="001F7C46"/>
    <w:rsid w:val="001F7CDC"/>
    <w:rsid w:val="001F7E04"/>
    <w:rsid w:val="001F7E20"/>
    <w:rsid w:val="001F7EF5"/>
    <w:rsid w:val="001F7F66"/>
    <w:rsid w:val="002001CC"/>
    <w:rsid w:val="002003D7"/>
    <w:rsid w:val="0020047F"/>
    <w:rsid w:val="00200568"/>
    <w:rsid w:val="00200569"/>
    <w:rsid w:val="00200576"/>
    <w:rsid w:val="0020057F"/>
    <w:rsid w:val="00200677"/>
    <w:rsid w:val="00200787"/>
    <w:rsid w:val="00200891"/>
    <w:rsid w:val="00200948"/>
    <w:rsid w:val="00200AA9"/>
    <w:rsid w:val="00200B46"/>
    <w:rsid w:val="00200C07"/>
    <w:rsid w:val="00200CA4"/>
    <w:rsid w:val="002010C7"/>
    <w:rsid w:val="002012F7"/>
    <w:rsid w:val="002016CA"/>
    <w:rsid w:val="002017F0"/>
    <w:rsid w:val="002019EE"/>
    <w:rsid w:val="00201A15"/>
    <w:rsid w:val="00201EA0"/>
    <w:rsid w:val="00201F62"/>
    <w:rsid w:val="00201F95"/>
    <w:rsid w:val="00202064"/>
    <w:rsid w:val="002022BF"/>
    <w:rsid w:val="002022D5"/>
    <w:rsid w:val="002023A7"/>
    <w:rsid w:val="002023B7"/>
    <w:rsid w:val="002023F6"/>
    <w:rsid w:val="002024BC"/>
    <w:rsid w:val="002024D9"/>
    <w:rsid w:val="00202531"/>
    <w:rsid w:val="002027DB"/>
    <w:rsid w:val="002027F6"/>
    <w:rsid w:val="002028FD"/>
    <w:rsid w:val="0020294C"/>
    <w:rsid w:val="00202983"/>
    <w:rsid w:val="00202BAE"/>
    <w:rsid w:val="00202BF7"/>
    <w:rsid w:val="00202C47"/>
    <w:rsid w:val="00202CA9"/>
    <w:rsid w:val="00202CC1"/>
    <w:rsid w:val="00202D1F"/>
    <w:rsid w:val="00203146"/>
    <w:rsid w:val="0020327A"/>
    <w:rsid w:val="00203336"/>
    <w:rsid w:val="002034C0"/>
    <w:rsid w:val="002034FE"/>
    <w:rsid w:val="0020353C"/>
    <w:rsid w:val="002035B0"/>
    <w:rsid w:val="00203753"/>
    <w:rsid w:val="00203788"/>
    <w:rsid w:val="002037A4"/>
    <w:rsid w:val="00203B2D"/>
    <w:rsid w:val="00203C46"/>
    <w:rsid w:val="00203C50"/>
    <w:rsid w:val="00203D53"/>
    <w:rsid w:val="00204055"/>
    <w:rsid w:val="00204138"/>
    <w:rsid w:val="00204310"/>
    <w:rsid w:val="00204416"/>
    <w:rsid w:val="0020441F"/>
    <w:rsid w:val="002044DA"/>
    <w:rsid w:val="00204555"/>
    <w:rsid w:val="00204A1A"/>
    <w:rsid w:val="00204AF5"/>
    <w:rsid w:val="0020501B"/>
    <w:rsid w:val="0020501C"/>
    <w:rsid w:val="00205137"/>
    <w:rsid w:val="002052EA"/>
    <w:rsid w:val="002053E0"/>
    <w:rsid w:val="0020560A"/>
    <w:rsid w:val="0020576C"/>
    <w:rsid w:val="0020577C"/>
    <w:rsid w:val="002058EF"/>
    <w:rsid w:val="002059A3"/>
    <w:rsid w:val="002059A4"/>
    <w:rsid w:val="002059AA"/>
    <w:rsid w:val="00205AD3"/>
    <w:rsid w:val="00205AF6"/>
    <w:rsid w:val="00205B83"/>
    <w:rsid w:val="00205C52"/>
    <w:rsid w:val="002060F8"/>
    <w:rsid w:val="002061B6"/>
    <w:rsid w:val="0020629F"/>
    <w:rsid w:val="002062A8"/>
    <w:rsid w:val="00206441"/>
    <w:rsid w:val="00206468"/>
    <w:rsid w:val="002065B7"/>
    <w:rsid w:val="0020670A"/>
    <w:rsid w:val="00206832"/>
    <w:rsid w:val="002068A1"/>
    <w:rsid w:val="002068EB"/>
    <w:rsid w:val="00206BB4"/>
    <w:rsid w:val="00206EE8"/>
    <w:rsid w:val="0020704A"/>
    <w:rsid w:val="00207506"/>
    <w:rsid w:val="00207864"/>
    <w:rsid w:val="002079F2"/>
    <w:rsid w:val="00207B0A"/>
    <w:rsid w:val="00207B7C"/>
    <w:rsid w:val="00207D79"/>
    <w:rsid w:val="00207E84"/>
    <w:rsid w:val="00207F91"/>
    <w:rsid w:val="00210080"/>
    <w:rsid w:val="002100BB"/>
    <w:rsid w:val="002100E8"/>
    <w:rsid w:val="0021019E"/>
    <w:rsid w:val="002102C7"/>
    <w:rsid w:val="00210425"/>
    <w:rsid w:val="002105A7"/>
    <w:rsid w:val="002106BF"/>
    <w:rsid w:val="002106F4"/>
    <w:rsid w:val="00210855"/>
    <w:rsid w:val="00210936"/>
    <w:rsid w:val="00210ACB"/>
    <w:rsid w:val="00210B59"/>
    <w:rsid w:val="00210D3E"/>
    <w:rsid w:val="00210E2F"/>
    <w:rsid w:val="00210F71"/>
    <w:rsid w:val="0021104C"/>
    <w:rsid w:val="0021109C"/>
    <w:rsid w:val="0021124C"/>
    <w:rsid w:val="002112A5"/>
    <w:rsid w:val="002112B0"/>
    <w:rsid w:val="00211308"/>
    <w:rsid w:val="002113A3"/>
    <w:rsid w:val="00211541"/>
    <w:rsid w:val="0021168F"/>
    <w:rsid w:val="0021171F"/>
    <w:rsid w:val="0021179F"/>
    <w:rsid w:val="002118BC"/>
    <w:rsid w:val="002118EF"/>
    <w:rsid w:val="00211ABA"/>
    <w:rsid w:val="00211B7E"/>
    <w:rsid w:val="00211C23"/>
    <w:rsid w:val="00211C28"/>
    <w:rsid w:val="00211C35"/>
    <w:rsid w:val="00211E50"/>
    <w:rsid w:val="00211FC5"/>
    <w:rsid w:val="00212603"/>
    <w:rsid w:val="002126BB"/>
    <w:rsid w:val="002126D5"/>
    <w:rsid w:val="00212734"/>
    <w:rsid w:val="00212879"/>
    <w:rsid w:val="0021289E"/>
    <w:rsid w:val="00212A0B"/>
    <w:rsid w:val="00212A20"/>
    <w:rsid w:val="00212A2B"/>
    <w:rsid w:val="00212AA3"/>
    <w:rsid w:val="00212FA3"/>
    <w:rsid w:val="00213026"/>
    <w:rsid w:val="0021324D"/>
    <w:rsid w:val="002133F0"/>
    <w:rsid w:val="002137CC"/>
    <w:rsid w:val="0021382A"/>
    <w:rsid w:val="002138D3"/>
    <w:rsid w:val="00213980"/>
    <w:rsid w:val="00213A80"/>
    <w:rsid w:val="00213A86"/>
    <w:rsid w:val="00213AA3"/>
    <w:rsid w:val="00213E02"/>
    <w:rsid w:val="00213E4B"/>
    <w:rsid w:val="00213E65"/>
    <w:rsid w:val="00213E95"/>
    <w:rsid w:val="00214015"/>
    <w:rsid w:val="00214099"/>
    <w:rsid w:val="002142DC"/>
    <w:rsid w:val="0021438E"/>
    <w:rsid w:val="00214626"/>
    <w:rsid w:val="0021466C"/>
    <w:rsid w:val="002146C9"/>
    <w:rsid w:val="00214701"/>
    <w:rsid w:val="0021478F"/>
    <w:rsid w:val="002149F8"/>
    <w:rsid w:val="00214A9D"/>
    <w:rsid w:val="00214AC0"/>
    <w:rsid w:val="00214B26"/>
    <w:rsid w:val="00214CCB"/>
    <w:rsid w:val="00214D5E"/>
    <w:rsid w:val="00214DB2"/>
    <w:rsid w:val="00214DDB"/>
    <w:rsid w:val="00214E03"/>
    <w:rsid w:val="00214FA3"/>
    <w:rsid w:val="00215125"/>
    <w:rsid w:val="002151C7"/>
    <w:rsid w:val="00215253"/>
    <w:rsid w:val="00215286"/>
    <w:rsid w:val="00215683"/>
    <w:rsid w:val="00215853"/>
    <w:rsid w:val="0021587E"/>
    <w:rsid w:val="00215A89"/>
    <w:rsid w:val="00215AA3"/>
    <w:rsid w:val="00215BF0"/>
    <w:rsid w:val="00215C3E"/>
    <w:rsid w:val="00215C49"/>
    <w:rsid w:val="00216021"/>
    <w:rsid w:val="0021603A"/>
    <w:rsid w:val="00216067"/>
    <w:rsid w:val="0021606B"/>
    <w:rsid w:val="00216172"/>
    <w:rsid w:val="00216257"/>
    <w:rsid w:val="0021629F"/>
    <w:rsid w:val="0021647E"/>
    <w:rsid w:val="00216863"/>
    <w:rsid w:val="00216A68"/>
    <w:rsid w:val="00216AD6"/>
    <w:rsid w:val="00216C7D"/>
    <w:rsid w:val="00216C97"/>
    <w:rsid w:val="00216CE7"/>
    <w:rsid w:val="00216DD5"/>
    <w:rsid w:val="00216F24"/>
    <w:rsid w:val="00217124"/>
    <w:rsid w:val="0021716E"/>
    <w:rsid w:val="00217297"/>
    <w:rsid w:val="002173F3"/>
    <w:rsid w:val="002173FC"/>
    <w:rsid w:val="00217703"/>
    <w:rsid w:val="00217807"/>
    <w:rsid w:val="00217970"/>
    <w:rsid w:val="002179CF"/>
    <w:rsid w:val="00217B96"/>
    <w:rsid w:val="00217CF6"/>
    <w:rsid w:val="00217DC5"/>
    <w:rsid w:val="00217E01"/>
    <w:rsid w:val="00217F24"/>
    <w:rsid w:val="00217F9F"/>
    <w:rsid w:val="0021A13B"/>
    <w:rsid w:val="00220110"/>
    <w:rsid w:val="0022039D"/>
    <w:rsid w:val="002204F5"/>
    <w:rsid w:val="00220506"/>
    <w:rsid w:val="00220544"/>
    <w:rsid w:val="00220C67"/>
    <w:rsid w:val="00220CB3"/>
    <w:rsid w:val="00220D16"/>
    <w:rsid w:val="00220D1B"/>
    <w:rsid w:val="00220E27"/>
    <w:rsid w:val="00220E42"/>
    <w:rsid w:val="00220EA4"/>
    <w:rsid w:val="00220FEB"/>
    <w:rsid w:val="00221161"/>
    <w:rsid w:val="00221283"/>
    <w:rsid w:val="00221307"/>
    <w:rsid w:val="0022145D"/>
    <w:rsid w:val="00221484"/>
    <w:rsid w:val="002214D7"/>
    <w:rsid w:val="0022150A"/>
    <w:rsid w:val="0022159C"/>
    <w:rsid w:val="0022171E"/>
    <w:rsid w:val="00221EC2"/>
    <w:rsid w:val="00221F28"/>
    <w:rsid w:val="00222068"/>
    <w:rsid w:val="002220F7"/>
    <w:rsid w:val="002221CC"/>
    <w:rsid w:val="002222B8"/>
    <w:rsid w:val="00222410"/>
    <w:rsid w:val="0022242E"/>
    <w:rsid w:val="00222462"/>
    <w:rsid w:val="002225A5"/>
    <w:rsid w:val="00222788"/>
    <w:rsid w:val="002228F5"/>
    <w:rsid w:val="00222BCF"/>
    <w:rsid w:val="00222BF8"/>
    <w:rsid w:val="00222E82"/>
    <w:rsid w:val="00222F6F"/>
    <w:rsid w:val="0022310D"/>
    <w:rsid w:val="00223141"/>
    <w:rsid w:val="002232B9"/>
    <w:rsid w:val="002236A3"/>
    <w:rsid w:val="002236E1"/>
    <w:rsid w:val="002237CF"/>
    <w:rsid w:val="002237FB"/>
    <w:rsid w:val="0022383E"/>
    <w:rsid w:val="0022391C"/>
    <w:rsid w:val="002239B6"/>
    <w:rsid w:val="00223BBD"/>
    <w:rsid w:val="00223C3A"/>
    <w:rsid w:val="00223C52"/>
    <w:rsid w:val="00223CE4"/>
    <w:rsid w:val="00223E5C"/>
    <w:rsid w:val="00223FAF"/>
    <w:rsid w:val="00224051"/>
    <w:rsid w:val="002242F6"/>
    <w:rsid w:val="00224318"/>
    <w:rsid w:val="00224339"/>
    <w:rsid w:val="00224417"/>
    <w:rsid w:val="00224623"/>
    <w:rsid w:val="002248AF"/>
    <w:rsid w:val="0022499D"/>
    <w:rsid w:val="00224B09"/>
    <w:rsid w:val="00224C06"/>
    <w:rsid w:val="00225234"/>
    <w:rsid w:val="00225241"/>
    <w:rsid w:val="00225439"/>
    <w:rsid w:val="002255E8"/>
    <w:rsid w:val="002257AF"/>
    <w:rsid w:val="002257BC"/>
    <w:rsid w:val="00225801"/>
    <w:rsid w:val="0022597D"/>
    <w:rsid w:val="002259CB"/>
    <w:rsid w:val="00225AB6"/>
    <w:rsid w:val="00225B6F"/>
    <w:rsid w:val="00225CDD"/>
    <w:rsid w:val="00225D43"/>
    <w:rsid w:val="00225D6C"/>
    <w:rsid w:val="00225D8E"/>
    <w:rsid w:val="00225F9F"/>
    <w:rsid w:val="00225FFE"/>
    <w:rsid w:val="0022601E"/>
    <w:rsid w:val="002260A9"/>
    <w:rsid w:val="00226219"/>
    <w:rsid w:val="002262A1"/>
    <w:rsid w:val="002262DE"/>
    <w:rsid w:val="0022646F"/>
    <w:rsid w:val="00226471"/>
    <w:rsid w:val="002264A0"/>
    <w:rsid w:val="00226627"/>
    <w:rsid w:val="0022668C"/>
    <w:rsid w:val="00226732"/>
    <w:rsid w:val="002267ED"/>
    <w:rsid w:val="0022699D"/>
    <w:rsid w:val="002269BC"/>
    <w:rsid w:val="00226E58"/>
    <w:rsid w:val="00226F12"/>
    <w:rsid w:val="00226F72"/>
    <w:rsid w:val="00226FBC"/>
    <w:rsid w:val="00226FCA"/>
    <w:rsid w:val="0022728A"/>
    <w:rsid w:val="0022732C"/>
    <w:rsid w:val="00227394"/>
    <w:rsid w:val="0022752C"/>
    <w:rsid w:val="00227544"/>
    <w:rsid w:val="002275B9"/>
    <w:rsid w:val="002275CD"/>
    <w:rsid w:val="00227809"/>
    <w:rsid w:val="00227B2D"/>
    <w:rsid w:val="00227B8C"/>
    <w:rsid w:val="00227BB4"/>
    <w:rsid w:val="00227D27"/>
    <w:rsid w:val="00227DCB"/>
    <w:rsid w:val="00227E3D"/>
    <w:rsid w:val="00227E60"/>
    <w:rsid w:val="00227E8A"/>
    <w:rsid w:val="00227FBF"/>
    <w:rsid w:val="00230045"/>
    <w:rsid w:val="00230183"/>
    <w:rsid w:val="00230347"/>
    <w:rsid w:val="002305B1"/>
    <w:rsid w:val="0023069B"/>
    <w:rsid w:val="0023081E"/>
    <w:rsid w:val="002309EC"/>
    <w:rsid w:val="00230BDB"/>
    <w:rsid w:val="00230C26"/>
    <w:rsid w:val="00230E66"/>
    <w:rsid w:val="0023114E"/>
    <w:rsid w:val="002312CC"/>
    <w:rsid w:val="002315B8"/>
    <w:rsid w:val="00231637"/>
    <w:rsid w:val="0023172D"/>
    <w:rsid w:val="00231993"/>
    <w:rsid w:val="00231994"/>
    <w:rsid w:val="00231A17"/>
    <w:rsid w:val="00231B13"/>
    <w:rsid w:val="00231C13"/>
    <w:rsid w:val="00231D9E"/>
    <w:rsid w:val="00231ED1"/>
    <w:rsid w:val="00231EDF"/>
    <w:rsid w:val="00232177"/>
    <w:rsid w:val="002328C3"/>
    <w:rsid w:val="0023290D"/>
    <w:rsid w:val="002329AB"/>
    <w:rsid w:val="002329AE"/>
    <w:rsid w:val="00232BD4"/>
    <w:rsid w:val="00232BEA"/>
    <w:rsid w:val="00232EEB"/>
    <w:rsid w:val="00232FAD"/>
    <w:rsid w:val="00233041"/>
    <w:rsid w:val="0023312F"/>
    <w:rsid w:val="0023314E"/>
    <w:rsid w:val="002331A6"/>
    <w:rsid w:val="002331F3"/>
    <w:rsid w:val="002332A2"/>
    <w:rsid w:val="0023333B"/>
    <w:rsid w:val="0023346B"/>
    <w:rsid w:val="002336A5"/>
    <w:rsid w:val="0023370B"/>
    <w:rsid w:val="002337D4"/>
    <w:rsid w:val="00233856"/>
    <w:rsid w:val="00233888"/>
    <w:rsid w:val="002338B8"/>
    <w:rsid w:val="002338D3"/>
    <w:rsid w:val="00233915"/>
    <w:rsid w:val="00233954"/>
    <w:rsid w:val="00233974"/>
    <w:rsid w:val="00233A7B"/>
    <w:rsid w:val="00233A80"/>
    <w:rsid w:val="00233BBD"/>
    <w:rsid w:val="00233D61"/>
    <w:rsid w:val="00233E4A"/>
    <w:rsid w:val="00234020"/>
    <w:rsid w:val="00234190"/>
    <w:rsid w:val="00234206"/>
    <w:rsid w:val="002344BB"/>
    <w:rsid w:val="002345D3"/>
    <w:rsid w:val="00234703"/>
    <w:rsid w:val="002347C7"/>
    <w:rsid w:val="0023486A"/>
    <w:rsid w:val="00234904"/>
    <w:rsid w:val="00234988"/>
    <w:rsid w:val="00234A7D"/>
    <w:rsid w:val="00234AD1"/>
    <w:rsid w:val="00234AF0"/>
    <w:rsid w:val="00234DCE"/>
    <w:rsid w:val="00234FBD"/>
    <w:rsid w:val="00235155"/>
    <w:rsid w:val="0023522C"/>
    <w:rsid w:val="0023532E"/>
    <w:rsid w:val="00235373"/>
    <w:rsid w:val="0023549D"/>
    <w:rsid w:val="00235758"/>
    <w:rsid w:val="002357AD"/>
    <w:rsid w:val="00235872"/>
    <w:rsid w:val="002358BE"/>
    <w:rsid w:val="002359ED"/>
    <w:rsid w:val="00235A0C"/>
    <w:rsid w:val="00235BF0"/>
    <w:rsid w:val="00235C4F"/>
    <w:rsid w:val="00235C58"/>
    <w:rsid w:val="00235DC7"/>
    <w:rsid w:val="00235E05"/>
    <w:rsid w:val="00235F28"/>
    <w:rsid w:val="00235F2A"/>
    <w:rsid w:val="00235FAD"/>
    <w:rsid w:val="0023608C"/>
    <w:rsid w:val="0023621D"/>
    <w:rsid w:val="00236296"/>
    <w:rsid w:val="002364D0"/>
    <w:rsid w:val="002364D5"/>
    <w:rsid w:val="00236581"/>
    <w:rsid w:val="00236675"/>
    <w:rsid w:val="00236704"/>
    <w:rsid w:val="0023677C"/>
    <w:rsid w:val="002369F4"/>
    <w:rsid w:val="00236A91"/>
    <w:rsid w:val="00236BD0"/>
    <w:rsid w:val="00236C9F"/>
    <w:rsid w:val="00236D3A"/>
    <w:rsid w:val="00236F54"/>
    <w:rsid w:val="00236F89"/>
    <w:rsid w:val="00237338"/>
    <w:rsid w:val="002373B1"/>
    <w:rsid w:val="0023767D"/>
    <w:rsid w:val="0023769E"/>
    <w:rsid w:val="002376E0"/>
    <w:rsid w:val="002376EF"/>
    <w:rsid w:val="00237777"/>
    <w:rsid w:val="002379B9"/>
    <w:rsid w:val="00237AA8"/>
    <w:rsid w:val="00237BF0"/>
    <w:rsid w:val="00237D52"/>
    <w:rsid w:val="00237E6A"/>
    <w:rsid w:val="00237F99"/>
    <w:rsid w:val="00240063"/>
    <w:rsid w:val="00240065"/>
    <w:rsid w:val="0024009D"/>
    <w:rsid w:val="0024034C"/>
    <w:rsid w:val="00240B95"/>
    <w:rsid w:val="00240C7C"/>
    <w:rsid w:val="00240E07"/>
    <w:rsid w:val="00240F7F"/>
    <w:rsid w:val="00240FAB"/>
    <w:rsid w:val="00241053"/>
    <w:rsid w:val="002412A0"/>
    <w:rsid w:val="002412AE"/>
    <w:rsid w:val="002412BB"/>
    <w:rsid w:val="002413C8"/>
    <w:rsid w:val="00241523"/>
    <w:rsid w:val="002415CE"/>
    <w:rsid w:val="0024173C"/>
    <w:rsid w:val="002417F2"/>
    <w:rsid w:val="002418BF"/>
    <w:rsid w:val="00241957"/>
    <w:rsid w:val="00241AD5"/>
    <w:rsid w:val="00241B2B"/>
    <w:rsid w:val="00241BC6"/>
    <w:rsid w:val="00241F3B"/>
    <w:rsid w:val="00242139"/>
    <w:rsid w:val="002421B6"/>
    <w:rsid w:val="00242212"/>
    <w:rsid w:val="00242256"/>
    <w:rsid w:val="0024232C"/>
    <w:rsid w:val="0024241D"/>
    <w:rsid w:val="00242624"/>
    <w:rsid w:val="0024263C"/>
    <w:rsid w:val="0024295F"/>
    <w:rsid w:val="00242992"/>
    <w:rsid w:val="00242A2A"/>
    <w:rsid w:val="00242B6D"/>
    <w:rsid w:val="00242D2C"/>
    <w:rsid w:val="00242E70"/>
    <w:rsid w:val="00243091"/>
    <w:rsid w:val="0024342E"/>
    <w:rsid w:val="002435E0"/>
    <w:rsid w:val="002436D3"/>
    <w:rsid w:val="002436EC"/>
    <w:rsid w:val="0024394B"/>
    <w:rsid w:val="00243A80"/>
    <w:rsid w:val="00243B17"/>
    <w:rsid w:val="00243D3D"/>
    <w:rsid w:val="00243E5C"/>
    <w:rsid w:val="0024432D"/>
    <w:rsid w:val="00244869"/>
    <w:rsid w:val="0024489A"/>
    <w:rsid w:val="002448DB"/>
    <w:rsid w:val="002449BF"/>
    <w:rsid w:val="00244ADC"/>
    <w:rsid w:val="00244BF7"/>
    <w:rsid w:val="00244DB0"/>
    <w:rsid w:val="00244EEC"/>
    <w:rsid w:val="00244F4D"/>
    <w:rsid w:val="002450BF"/>
    <w:rsid w:val="0024515D"/>
    <w:rsid w:val="002451DE"/>
    <w:rsid w:val="002452E5"/>
    <w:rsid w:val="0024530C"/>
    <w:rsid w:val="00245324"/>
    <w:rsid w:val="00245462"/>
    <w:rsid w:val="0024557E"/>
    <w:rsid w:val="00245635"/>
    <w:rsid w:val="00245808"/>
    <w:rsid w:val="00245BD5"/>
    <w:rsid w:val="00245C1F"/>
    <w:rsid w:val="00245DE3"/>
    <w:rsid w:val="00245EA0"/>
    <w:rsid w:val="00245ED6"/>
    <w:rsid w:val="00245F3C"/>
    <w:rsid w:val="00245F51"/>
    <w:rsid w:val="0024600B"/>
    <w:rsid w:val="00246106"/>
    <w:rsid w:val="0024616A"/>
    <w:rsid w:val="0024652E"/>
    <w:rsid w:val="0024653A"/>
    <w:rsid w:val="0024661F"/>
    <w:rsid w:val="00246644"/>
    <w:rsid w:val="0024666B"/>
    <w:rsid w:val="0024676C"/>
    <w:rsid w:val="00246868"/>
    <w:rsid w:val="0024687D"/>
    <w:rsid w:val="00246905"/>
    <w:rsid w:val="002469E0"/>
    <w:rsid w:val="00246A0C"/>
    <w:rsid w:val="00246A25"/>
    <w:rsid w:val="00246AE9"/>
    <w:rsid w:val="00246B11"/>
    <w:rsid w:val="00246B63"/>
    <w:rsid w:val="00246CC4"/>
    <w:rsid w:val="00246DAA"/>
    <w:rsid w:val="00247013"/>
    <w:rsid w:val="002471FD"/>
    <w:rsid w:val="002472AB"/>
    <w:rsid w:val="002472E7"/>
    <w:rsid w:val="002476E4"/>
    <w:rsid w:val="002477D5"/>
    <w:rsid w:val="0024780C"/>
    <w:rsid w:val="002478C9"/>
    <w:rsid w:val="002479B1"/>
    <w:rsid w:val="0025016C"/>
    <w:rsid w:val="002501C5"/>
    <w:rsid w:val="002501FB"/>
    <w:rsid w:val="00250229"/>
    <w:rsid w:val="002503F0"/>
    <w:rsid w:val="00250476"/>
    <w:rsid w:val="00250535"/>
    <w:rsid w:val="0025060A"/>
    <w:rsid w:val="002508A9"/>
    <w:rsid w:val="00250C38"/>
    <w:rsid w:val="00250C3C"/>
    <w:rsid w:val="00250DA3"/>
    <w:rsid w:val="002511B0"/>
    <w:rsid w:val="00251306"/>
    <w:rsid w:val="0025138D"/>
    <w:rsid w:val="00251463"/>
    <w:rsid w:val="0025148C"/>
    <w:rsid w:val="002515CC"/>
    <w:rsid w:val="0025176E"/>
    <w:rsid w:val="002517E7"/>
    <w:rsid w:val="00251A2B"/>
    <w:rsid w:val="00251B46"/>
    <w:rsid w:val="00251B99"/>
    <w:rsid w:val="00251DB8"/>
    <w:rsid w:val="00251EE4"/>
    <w:rsid w:val="002521EC"/>
    <w:rsid w:val="0025220E"/>
    <w:rsid w:val="0025245B"/>
    <w:rsid w:val="00252FD5"/>
    <w:rsid w:val="0025300D"/>
    <w:rsid w:val="00253037"/>
    <w:rsid w:val="002530E0"/>
    <w:rsid w:val="0025329B"/>
    <w:rsid w:val="00253449"/>
    <w:rsid w:val="00253494"/>
    <w:rsid w:val="002535C5"/>
    <w:rsid w:val="00253720"/>
    <w:rsid w:val="002537AB"/>
    <w:rsid w:val="00253932"/>
    <w:rsid w:val="002539D6"/>
    <w:rsid w:val="002539E2"/>
    <w:rsid w:val="00253ADC"/>
    <w:rsid w:val="00253FF9"/>
    <w:rsid w:val="00254078"/>
    <w:rsid w:val="0025447D"/>
    <w:rsid w:val="00254550"/>
    <w:rsid w:val="00254561"/>
    <w:rsid w:val="0025458F"/>
    <w:rsid w:val="00254784"/>
    <w:rsid w:val="00254795"/>
    <w:rsid w:val="002547E7"/>
    <w:rsid w:val="0025498B"/>
    <w:rsid w:val="00254B74"/>
    <w:rsid w:val="00254B98"/>
    <w:rsid w:val="00254BA4"/>
    <w:rsid w:val="00254BB3"/>
    <w:rsid w:val="00254C44"/>
    <w:rsid w:val="00254CB0"/>
    <w:rsid w:val="00254CC1"/>
    <w:rsid w:val="00254DBA"/>
    <w:rsid w:val="00254E36"/>
    <w:rsid w:val="00254E38"/>
    <w:rsid w:val="00254E41"/>
    <w:rsid w:val="00254F37"/>
    <w:rsid w:val="002550E8"/>
    <w:rsid w:val="00255121"/>
    <w:rsid w:val="00255427"/>
    <w:rsid w:val="0025549E"/>
    <w:rsid w:val="002554A7"/>
    <w:rsid w:val="00255542"/>
    <w:rsid w:val="0025574C"/>
    <w:rsid w:val="0025582E"/>
    <w:rsid w:val="00255DDB"/>
    <w:rsid w:val="002561E9"/>
    <w:rsid w:val="0025623D"/>
    <w:rsid w:val="00256339"/>
    <w:rsid w:val="00256361"/>
    <w:rsid w:val="002566D2"/>
    <w:rsid w:val="002568E8"/>
    <w:rsid w:val="002569A2"/>
    <w:rsid w:val="00256B2C"/>
    <w:rsid w:val="00256D86"/>
    <w:rsid w:val="00256E01"/>
    <w:rsid w:val="00256F00"/>
    <w:rsid w:val="00257067"/>
    <w:rsid w:val="002570A3"/>
    <w:rsid w:val="00257152"/>
    <w:rsid w:val="00257259"/>
    <w:rsid w:val="002572EC"/>
    <w:rsid w:val="00257344"/>
    <w:rsid w:val="0025744D"/>
    <w:rsid w:val="002576DE"/>
    <w:rsid w:val="00257707"/>
    <w:rsid w:val="002577AB"/>
    <w:rsid w:val="002578BB"/>
    <w:rsid w:val="00257CA8"/>
    <w:rsid w:val="00257CD7"/>
    <w:rsid w:val="00257D9C"/>
    <w:rsid w:val="00257DF3"/>
    <w:rsid w:val="00257E56"/>
    <w:rsid w:val="002602FD"/>
    <w:rsid w:val="0026034D"/>
    <w:rsid w:val="00260396"/>
    <w:rsid w:val="0026046B"/>
    <w:rsid w:val="002604F8"/>
    <w:rsid w:val="00260560"/>
    <w:rsid w:val="00260561"/>
    <w:rsid w:val="002606D9"/>
    <w:rsid w:val="00260B09"/>
    <w:rsid w:val="00260CA4"/>
    <w:rsid w:val="00260D8F"/>
    <w:rsid w:val="00260E3F"/>
    <w:rsid w:val="00260FE2"/>
    <w:rsid w:val="00261075"/>
    <w:rsid w:val="002612B8"/>
    <w:rsid w:val="0026148B"/>
    <w:rsid w:val="002616B5"/>
    <w:rsid w:val="00261756"/>
    <w:rsid w:val="00261811"/>
    <w:rsid w:val="00261895"/>
    <w:rsid w:val="00261924"/>
    <w:rsid w:val="0026192C"/>
    <w:rsid w:val="002619C4"/>
    <w:rsid w:val="00261B24"/>
    <w:rsid w:val="00261B9E"/>
    <w:rsid w:val="00261C23"/>
    <w:rsid w:val="00261C52"/>
    <w:rsid w:val="00261C71"/>
    <w:rsid w:val="00261F9A"/>
    <w:rsid w:val="0026231C"/>
    <w:rsid w:val="00262361"/>
    <w:rsid w:val="002626D5"/>
    <w:rsid w:val="002626ED"/>
    <w:rsid w:val="002626F5"/>
    <w:rsid w:val="00262A05"/>
    <w:rsid w:val="00262A11"/>
    <w:rsid w:val="00262FBA"/>
    <w:rsid w:val="00263105"/>
    <w:rsid w:val="00263122"/>
    <w:rsid w:val="002631E1"/>
    <w:rsid w:val="002632EA"/>
    <w:rsid w:val="00263365"/>
    <w:rsid w:val="00263481"/>
    <w:rsid w:val="0026361D"/>
    <w:rsid w:val="002637E4"/>
    <w:rsid w:val="00263856"/>
    <w:rsid w:val="00263A38"/>
    <w:rsid w:val="00263ABB"/>
    <w:rsid w:val="00263BE8"/>
    <w:rsid w:val="00263C9B"/>
    <w:rsid w:val="00263CA3"/>
    <w:rsid w:val="00263CE7"/>
    <w:rsid w:val="00263D6A"/>
    <w:rsid w:val="00264165"/>
    <w:rsid w:val="002642F8"/>
    <w:rsid w:val="00264308"/>
    <w:rsid w:val="002644EF"/>
    <w:rsid w:val="002645B1"/>
    <w:rsid w:val="00264705"/>
    <w:rsid w:val="00264731"/>
    <w:rsid w:val="002647FD"/>
    <w:rsid w:val="00264A95"/>
    <w:rsid w:val="0026502C"/>
    <w:rsid w:val="0026503F"/>
    <w:rsid w:val="0026506A"/>
    <w:rsid w:val="002650E4"/>
    <w:rsid w:val="00265215"/>
    <w:rsid w:val="00265377"/>
    <w:rsid w:val="00265520"/>
    <w:rsid w:val="0026552E"/>
    <w:rsid w:val="002656CF"/>
    <w:rsid w:val="00265880"/>
    <w:rsid w:val="00265886"/>
    <w:rsid w:val="00265897"/>
    <w:rsid w:val="00265AB9"/>
    <w:rsid w:val="00265C21"/>
    <w:rsid w:val="00265C6F"/>
    <w:rsid w:val="00265E56"/>
    <w:rsid w:val="00265EDC"/>
    <w:rsid w:val="00265FA4"/>
    <w:rsid w:val="002660AD"/>
    <w:rsid w:val="002662BD"/>
    <w:rsid w:val="002662D8"/>
    <w:rsid w:val="00266697"/>
    <w:rsid w:val="00266886"/>
    <w:rsid w:val="002668A3"/>
    <w:rsid w:val="002668BC"/>
    <w:rsid w:val="002669F5"/>
    <w:rsid w:val="00266A7D"/>
    <w:rsid w:val="00266B40"/>
    <w:rsid w:val="00266BBD"/>
    <w:rsid w:val="00266C41"/>
    <w:rsid w:val="00266F18"/>
    <w:rsid w:val="00266F43"/>
    <w:rsid w:val="00266FFD"/>
    <w:rsid w:val="00267433"/>
    <w:rsid w:val="00267445"/>
    <w:rsid w:val="00267461"/>
    <w:rsid w:val="00267562"/>
    <w:rsid w:val="00267573"/>
    <w:rsid w:val="00267616"/>
    <w:rsid w:val="00267744"/>
    <w:rsid w:val="002678C0"/>
    <w:rsid w:val="00267911"/>
    <w:rsid w:val="002679CA"/>
    <w:rsid w:val="002679F8"/>
    <w:rsid w:val="00267CAC"/>
    <w:rsid w:val="00267DC0"/>
    <w:rsid w:val="00267ED1"/>
    <w:rsid w:val="0027006A"/>
    <w:rsid w:val="00270331"/>
    <w:rsid w:val="002704A3"/>
    <w:rsid w:val="00270750"/>
    <w:rsid w:val="002708FE"/>
    <w:rsid w:val="00270ACF"/>
    <w:rsid w:val="00270D4C"/>
    <w:rsid w:val="00270E59"/>
    <w:rsid w:val="00271135"/>
    <w:rsid w:val="00271176"/>
    <w:rsid w:val="002711D9"/>
    <w:rsid w:val="00271547"/>
    <w:rsid w:val="00271948"/>
    <w:rsid w:val="00271C7D"/>
    <w:rsid w:val="00272015"/>
    <w:rsid w:val="0027201C"/>
    <w:rsid w:val="002721D4"/>
    <w:rsid w:val="00272349"/>
    <w:rsid w:val="002724EB"/>
    <w:rsid w:val="00272A41"/>
    <w:rsid w:val="00272CCB"/>
    <w:rsid w:val="00272E6E"/>
    <w:rsid w:val="00272FA3"/>
    <w:rsid w:val="00273116"/>
    <w:rsid w:val="0027314A"/>
    <w:rsid w:val="002731BD"/>
    <w:rsid w:val="0027325E"/>
    <w:rsid w:val="002733F0"/>
    <w:rsid w:val="002735E3"/>
    <w:rsid w:val="0027392B"/>
    <w:rsid w:val="002739DC"/>
    <w:rsid w:val="00273BE4"/>
    <w:rsid w:val="00273EC4"/>
    <w:rsid w:val="00273F43"/>
    <w:rsid w:val="00274196"/>
    <w:rsid w:val="00274299"/>
    <w:rsid w:val="0027443E"/>
    <w:rsid w:val="002746BE"/>
    <w:rsid w:val="002747BF"/>
    <w:rsid w:val="002749E1"/>
    <w:rsid w:val="002749FA"/>
    <w:rsid w:val="00274A05"/>
    <w:rsid w:val="00274BCF"/>
    <w:rsid w:val="0027534B"/>
    <w:rsid w:val="002754CC"/>
    <w:rsid w:val="0027554E"/>
    <w:rsid w:val="002756C1"/>
    <w:rsid w:val="002756FE"/>
    <w:rsid w:val="00275706"/>
    <w:rsid w:val="002757FD"/>
    <w:rsid w:val="00275808"/>
    <w:rsid w:val="0027592D"/>
    <w:rsid w:val="00275964"/>
    <w:rsid w:val="00275B91"/>
    <w:rsid w:val="00275C29"/>
    <w:rsid w:val="00275C6E"/>
    <w:rsid w:val="00275E01"/>
    <w:rsid w:val="00275ED6"/>
    <w:rsid w:val="00276026"/>
    <w:rsid w:val="00276162"/>
    <w:rsid w:val="002761A0"/>
    <w:rsid w:val="002764C2"/>
    <w:rsid w:val="00276509"/>
    <w:rsid w:val="00276596"/>
    <w:rsid w:val="002765EA"/>
    <w:rsid w:val="00276677"/>
    <w:rsid w:val="002768B5"/>
    <w:rsid w:val="00276AB1"/>
    <w:rsid w:val="00276C10"/>
    <w:rsid w:val="00276C33"/>
    <w:rsid w:val="00276C40"/>
    <w:rsid w:val="00276DB7"/>
    <w:rsid w:val="00276DE1"/>
    <w:rsid w:val="00276F64"/>
    <w:rsid w:val="00277063"/>
    <w:rsid w:val="00277192"/>
    <w:rsid w:val="002771E5"/>
    <w:rsid w:val="0027755F"/>
    <w:rsid w:val="0027775F"/>
    <w:rsid w:val="002777F8"/>
    <w:rsid w:val="0027796D"/>
    <w:rsid w:val="00277B98"/>
    <w:rsid w:val="00277F34"/>
    <w:rsid w:val="00280588"/>
    <w:rsid w:val="002805BA"/>
    <w:rsid w:val="00280676"/>
    <w:rsid w:val="002809FF"/>
    <w:rsid w:val="00280A43"/>
    <w:rsid w:val="00280A6B"/>
    <w:rsid w:val="00280B55"/>
    <w:rsid w:val="00280F93"/>
    <w:rsid w:val="002810ED"/>
    <w:rsid w:val="00281156"/>
    <w:rsid w:val="0028117D"/>
    <w:rsid w:val="00281317"/>
    <w:rsid w:val="0028137D"/>
    <w:rsid w:val="0028163D"/>
    <w:rsid w:val="00281740"/>
    <w:rsid w:val="00281791"/>
    <w:rsid w:val="00281991"/>
    <w:rsid w:val="00281D1C"/>
    <w:rsid w:val="0028202D"/>
    <w:rsid w:val="00282371"/>
    <w:rsid w:val="002824D9"/>
    <w:rsid w:val="0028254A"/>
    <w:rsid w:val="002825D3"/>
    <w:rsid w:val="002825E6"/>
    <w:rsid w:val="00282677"/>
    <w:rsid w:val="00282809"/>
    <w:rsid w:val="00282928"/>
    <w:rsid w:val="002829D5"/>
    <w:rsid w:val="00282B40"/>
    <w:rsid w:val="00282BBB"/>
    <w:rsid w:val="00282EA0"/>
    <w:rsid w:val="00282EBD"/>
    <w:rsid w:val="00282F53"/>
    <w:rsid w:val="00282FBA"/>
    <w:rsid w:val="00283078"/>
    <w:rsid w:val="0028329E"/>
    <w:rsid w:val="002834D4"/>
    <w:rsid w:val="00283744"/>
    <w:rsid w:val="002837BF"/>
    <w:rsid w:val="0028381D"/>
    <w:rsid w:val="00283CC1"/>
    <w:rsid w:val="00283F63"/>
    <w:rsid w:val="00283FF2"/>
    <w:rsid w:val="00284043"/>
    <w:rsid w:val="002841F9"/>
    <w:rsid w:val="002842E0"/>
    <w:rsid w:val="0028438C"/>
    <w:rsid w:val="002844D6"/>
    <w:rsid w:val="00284531"/>
    <w:rsid w:val="002845A6"/>
    <w:rsid w:val="00284702"/>
    <w:rsid w:val="00284B14"/>
    <w:rsid w:val="00284D66"/>
    <w:rsid w:val="00284E3C"/>
    <w:rsid w:val="0028506A"/>
    <w:rsid w:val="002850B0"/>
    <w:rsid w:val="002851C3"/>
    <w:rsid w:val="00285226"/>
    <w:rsid w:val="002853D1"/>
    <w:rsid w:val="002854FD"/>
    <w:rsid w:val="00285739"/>
    <w:rsid w:val="0028579E"/>
    <w:rsid w:val="002857B9"/>
    <w:rsid w:val="0028584A"/>
    <w:rsid w:val="002858A8"/>
    <w:rsid w:val="00285A92"/>
    <w:rsid w:val="00285B6C"/>
    <w:rsid w:val="00285F54"/>
    <w:rsid w:val="00285FDB"/>
    <w:rsid w:val="00286147"/>
    <w:rsid w:val="002863D7"/>
    <w:rsid w:val="0028648E"/>
    <w:rsid w:val="002865C8"/>
    <w:rsid w:val="002865F1"/>
    <w:rsid w:val="002866AB"/>
    <w:rsid w:val="00286B85"/>
    <w:rsid w:val="00286BFD"/>
    <w:rsid w:val="00286C92"/>
    <w:rsid w:val="00286CD9"/>
    <w:rsid w:val="00287073"/>
    <w:rsid w:val="00287089"/>
    <w:rsid w:val="002870BC"/>
    <w:rsid w:val="002870C5"/>
    <w:rsid w:val="002870D3"/>
    <w:rsid w:val="00287182"/>
    <w:rsid w:val="002871FC"/>
    <w:rsid w:val="00287253"/>
    <w:rsid w:val="00287317"/>
    <w:rsid w:val="002873B4"/>
    <w:rsid w:val="0028756D"/>
    <w:rsid w:val="0028769A"/>
    <w:rsid w:val="0028782B"/>
    <w:rsid w:val="002879DB"/>
    <w:rsid w:val="00287CE0"/>
    <w:rsid w:val="00287D28"/>
    <w:rsid w:val="00287D7C"/>
    <w:rsid w:val="00287FF2"/>
    <w:rsid w:val="002904AC"/>
    <w:rsid w:val="00290628"/>
    <w:rsid w:val="002907C7"/>
    <w:rsid w:val="002907ED"/>
    <w:rsid w:val="0029093F"/>
    <w:rsid w:val="00290A2D"/>
    <w:rsid w:val="00290F10"/>
    <w:rsid w:val="00290FB6"/>
    <w:rsid w:val="00291005"/>
    <w:rsid w:val="002910D8"/>
    <w:rsid w:val="00291186"/>
    <w:rsid w:val="002914CB"/>
    <w:rsid w:val="002914F5"/>
    <w:rsid w:val="00291719"/>
    <w:rsid w:val="00291736"/>
    <w:rsid w:val="0029177D"/>
    <w:rsid w:val="002917C4"/>
    <w:rsid w:val="00291A7B"/>
    <w:rsid w:val="00291AC4"/>
    <w:rsid w:val="00291F3C"/>
    <w:rsid w:val="00291F5F"/>
    <w:rsid w:val="0029208C"/>
    <w:rsid w:val="002920B0"/>
    <w:rsid w:val="002921D8"/>
    <w:rsid w:val="002921E4"/>
    <w:rsid w:val="002922EC"/>
    <w:rsid w:val="0029239E"/>
    <w:rsid w:val="00292655"/>
    <w:rsid w:val="002927DB"/>
    <w:rsid w:val="0029288E"/>
    <w:rsid w:val="00292A9A"/>
    <w:rsid w:val="00292AB5"/>
    <w:rsid w:val="00292CED"/>
    <w:rsid w:val="00292D35"/>
    <w:rsid w:val="00292EBF"/>
    <w:rsid w:val="00292F6F"/>
    <w:rsid w:val="00292FE4"/>
    <w:rsid w:val="0029307E"/>
    <w:rsid w:val="002931C6"/>
    <w:rsid w:val="0029327F"/>
    <w:rsid w:val="0029329B"/>
    <w:rsid w:val="002932C1"/>
    <w:rsid w:val="002933C4"/>
    <w:rsid w:val="00293454"/>
    <w:rsid w:val="00293457"/>
    <w:rsid w:val="002935FB"/>
    <w:rsid w:val="0029360B"/>
    <w:rsid w:val="002936D9"/>
    <w:rsid w:val="00293714"/>
    <w:rsid w:val="00293999"/>
    <w:rsid w:val="00293A41"/>
    <w:rsid w:val="00293BD0"/>
    <w:rsid w:val="00293C3C"/>
    <w:rsid w:val="00293CE8"/>
    <w:rsid w:val="00293D17"/>
    <w:rsid w:val="00293EB8"/>
    <w:rsid w:val="00293FA0"/>
    <w:rsid w:val="002941E3"/>
    <w:rsid w:val="002942D5"/>
    <w:rsid w:val="00294375"/>
    <w:rsid w:val="002943CE"/>
    <w:rsid w:val="002943D7"/>
    <w:rsid w:val="002943FE"/>
    <w:rsid w:val="002944E9"/>
    <w:rsid w:val="002947A9"/>
    <w:rsid w:val="002947E1"/>
    <w:rsid w:val="002947F9"/>
    <w:rsid w:val="00294859"/>
    <w:rsid w:val="002949C6"/>
    <w:rsid w:val="00294B0A"/>
    <w:rsid w:val="00294CAA"/>
    <w:rsid w:val="00294D1A"/>
    <w:rsid w:val="00294D62"/>
    <w:rsid w:val="00295005"/>
    <w:rsid w:val="0029516C"/>
    <w:rsid w:val="002952EB"/>
    <w:rsid w:val="00295516"/>
    <w:rsid w:val="00295591"/>
    <w:rsid w:val="002958A1"/>
    <w:rsid w:val="002958E7"/>
    <w:rsid w:val="00295B09"/>
    <w:rsid w:val="00295B8A"/>
    <w:rsid w:val="00295CB9"/>
    <w:rsid w:val="00295FB5"/>
    <w:rsid w:val="00296044"/>
    <w:rsid w:val="00296214"/>
    <w:rsid w:val="002962DE"/>
    <w:rsid w:val="002962FB"/>
    <w:rsid w:val="002963EB"/>
    <w:rsid w:val="00296408"/>
    <w:rsid w:val="00296475"/>
    <w:rsid w:val="002966B5"/>
    <w:rsid w:val="00296775"/>
    <w:rsid w:val="0029696A"/>
    <w:rsid w:val="00296A1D"/>
    <w:rsid w:val="00296AFC"/>
    <w:rsid w:val="00296B1B"/>
    <w:rsid w:val="00296C8E"/>
    <w:rsid w:val="00296CA4"/>
    <w:rsid w:val="00296D39"/>
    <w:rsid w:val="00296E5F"/>
    <w:rsid w:val="00296E77"/>
    <w:rsid w:val="00296E79"/>
    <w:rsid w:val="00296F4C"/>
    <w:rsid w:val="00296FB3"/>
    <w:rsid w:val="00297018"/>
    <w:rsid w:val="00297148"/>
    <w:rsid w:val="00297205"/>
    <w:rsid w:val="00297258"/>
    <w:rsid w:val="00297267"/>
    <w:rsid w:val="00297342"/>
    <w:rsid w:val="00297365"/>
    <w:rsid w:val="002973C5"/>
    <w:rsid w:val="002974AC"/>
    <w:rsid w:val="00297508"/>
    <w:rsid w:val="00297797"/>
    <w:rsid w:val="00297914"/>
    <w:rsid w:val="00297E4E"/>
    <w:rsid w:val="00297ED8"/>
    <w:rsid w:val="00297F5F"/>
    <w:rsid w:val="00297FA3"/>
    <w:rsid w:val="00297FF3"/>
    <w:rsid w:val="002A0036"/>
    <w:rsid w:val="002A0067"/>
    <w:rsid w:val="002A0070"/>
    <w:rsid w:val="002A00AB"/>
    <w:rsid w:val="002A05ED"/>
    <w:rsid w:val="002A069C"/>
    <w:rsid w:val="002A0864"/>
    <w:rsid w:val="002A0A7B"/>
    <w:rsid w:val="002A0B97"/>
    <w:rsid w:val="002A0E09"/>
    <w:rsid w:val="002A1003"/>
    <w:rsid w:val="002A14B7"/>
    <w:rsid w:val="002A156E"/>
    <w:rsid w:val="002A1673"/>
    <w:rsid w:val="002A1725"/>
    <w:rsid w:val="002A17AA"/>
    <w:rsid w:val="002A18D3"/>
    <w:rsid w:val="002A1D09"/>
    <w:rsid w:val="002A1D13"/>
    <w:rsid w:val="002A1D40"/>
    <w:rsid w:val="002A1D71"/>
    <w:rsid w:val="002A1F4E"/>
    <w:rsid w:val="002A1FC8"/>
    <w:rsid w:val="002A2028"/>
    <w:rsid w:val="002A2800"/>
    <w:rsid w:val="002A2898"/>
    <w:rsid w:val="002A2906"/>
    <w:rsid w:val="002A295B"/>
    <w:rsid w:val="002A2AEA"/>
    <w:rsid w:val="002A2CB0"/>
    <w:rsid w:val="002A2D00"/>
    <w:rsid w:val="002A2ED8"/>
    <w:rsid w:val="002A324D"/>
    <w:rsid w:val="002A3328"/>
    <w:rsid w:val="002A3491"/>
    <w:rsid w:val="002A3617"/>
    <w:rsid w:val="002A38A6"/>
    <w:rsid w:val="002A38D1"/>
    <w:rsid w:val="002A3A8F"/>
    <w:rsid w:val="002A3AA3"/>
    <w:rsid w:val="002A3BB2"/>
    <w:rsid w:val="002A3CE9"/>
    <w:rsid w:val="002A3DEC"/>
    <w:rsid w:val="002A3F45"/>
    <w:rsid w:val="002A414E"/>
    <w:rsid w:val="002A4220"/>
    <w:rsid w:val="002A4244"/>
    <w:rsid w:val="002A42DF"/>
    <w:rsid w:val="002A43C2"/>
    <w:rsid w:val="002A44A5"/>
    <w:rsid w:val="002A48CC"/>
    <w:rsid w:val="002A49FA"/>
    <w:rsid w:val="002A4A3C"/>
    <w:rsid w:val="002A4B60"/>
    <w:rsid w:val="002A4BC9"/>
    <w:rsid w:val="002A4BD7"/>
    <w:rsid w:val="002A4C79"/>
    <w:rsid w:val="002A5226"/>
    <w:rsid w:val="002A5356"/>
    <w:rsid w:val="002A55C8"/>
    <w:rsid w:val="002A562B"/>
    <w:rsid w:val="002A56C5"/>
    <w:rsid w:val="002A5774"/>
    <w:rsid w:val="002A581B"/>
    <w:rsid w:val="002A58AE"/>
    <w:rsid w:val="002A5A80"/>
    <w:rsid w:val="002A5B48"/>
    <w:rsid w:val="002A5D8B"/>
    <w:rsid w:val="002A5EFD"/>
    <w:rsid w:val="002A633F"/>
    <w:rsid w:val="002A63CE"/>
    <w:rsid w:val="002A6523"/>
    <w:rsid w:val="002A6658"/>
    <w:rsid w:val="002A6866"/>
    <w:rsid w:val="002A68B1"/>
    <w:rsid w:val="002A6C8A"/>
    <w:rsid w:val="002A6D50"/>
    <w:rsid w:val="002A6ED8"/>
    <w:rsid w:val="002A70C8"/>
    <w:rsid w:val="002A712D"/>
    <w:rsid w:val="002A729A"/>
    <w:rsid w:val="002A73BB"/>
    <w:rsid w:val="002A7587"/>
    <w:rsid w:val="002A75DB"/>
    <w:rsid w:val="002A7946"/>
    <w:rsid w:val="002A7AF9"/>
    <w:rsid w:val="002A7CB4"/>
    <w:rsid w:val="002A7D87"/>
    <w:rsid w:val="002A7DDF"/>
    <w:rsid w:val="002A7E82"/>
    <w:rsid w:val="002B0365"/>
    <w:rsid w:val="002B0653"/>
    <w:rsid w:val="002B08B5"/>
    <w:rsid w:val="002B0C5F"/>
    <w:rsid w:val="002B0EF2"/>
    <w:rsid w:val="002B0F47"/>
    <w:rsid w:val="002B1036"/>
    <w:rsid w:val="002B1205"/>
    <w:rsid w:val="002B127E"/>
    <w:rsid w:val="002B1320"/>
    <w:rsid w:val="002B13F9"/>
    <w:rsid w:val="002B14E1"/>
    <w:rsid w:val="002B156D"/>
    <w:rsid w:val="002B1592"/>
    <w:rsid w:val="002B1785"/>
    <w:rsid w:val="002B17F7"/>
    <w:rsid w:val="002B1830"/>
    <w:rsid w:val="002B1997"/>
    <w:rsid w:val="002B1A17"/>
    <w:rsid w:val="002B1B2B"/>
    <w:rsid w:val="002B1B65"/>
    <w:rsid w:val="002B1C51"/>
    <w:rsid w:val="002B1C53"/>
    <w:rsid w:val="002B1D97"/>
    <w:rsid w:val="002B1EFD"/>
    <w:rsid w:val="002B1F62"/>
    <w:rsid w:val="002B21FD"/>
    <w:rsid w:val="002B23D7"/>
    <w:rsid w:val="002B2508"/>
    <w:rsid w:val="002B2650"/>
    <w:rsid w:val="002B27C6"/>
    <w:rsid w:val="002B2998"/>
    <w:rsid w:val="002B2A17"/>
    <w:rsid w:val="002B2AD6"/>
    <w:rsid w:val="002B2BF2"/>
    <w:rsid w:val="002B2EED"/>
    <w:rsid w:val="002B2F11"/>
    <w:rsid w:val="002B2F5A"/>
    <w:rsid w:val="002B30FD"/>
    <w:rsid w:val="002B32AC"/>
    <w:rsid w:val="002B35DE"/>
    <w:rsid w:val="002B360E"/>
    <w:rsid w:val="002B3762"/>
    <w:rsid w:val="002B37EC"/>
    <w:rsid w:val="002B388C"/>
    <w:rsid w:val="002B3CEB"/>
    <w:rsid w:val="002B3D07"/>
    <w:rsid w:val="002B418A"/>
    <w:rsid w:val="002B41E0"/>
    <w:rsid w:val="002B4380"/>
    <w:rsid w:val="002B43C3"/>
    <w:rsid w:val="002B4497"/>
    <w:rsid w:val="002B4643"/>
    <w:rsid w:val="002B4862"/>
    <w:rsid w:val="002B4928"/>
    <w:rsid w:val="002B4935"/>
    <w:rsid w:val="002B4AD4"/>
    <w:rsid w:val="002B4AF8"/>
    <w:rsid w:val="002B4BCB"/>
    <w:rsid w:val="002B4C3B"/>
    <w:rsid w:val="002B5112"/>
    <w:rsid w:val="002B514B"/>
    <w:rsid w:val="002B516E"/>
    <w:rsid w:val="002B51B2"/>
    <w:rsid w:val="002B534F"/>
    <w:rsid w:val="002B54A9"/>
    <w:rsid w:val="002B561D"/>
    <w:rsid w:val="002B569C"/>
    <w:rsid w:val="002B58A1"/>
    <w:rsid w:val="002B58A4"/>
    <w:rsid w:val="002B5969"/>
    <w:rsid w:val="002B5AD6"/>
    <w:rsid w:val="002B6187"/>
    <w:rsid w:val="002B6437"/>
    <w:rsid w:val="002B657E"/>
    <w:rsid w:val="002B65FF"/>
    <w:rsid w:val="002B66D7"/>
    <w:rsid w:val="002B66E5"/>
    <w:rsid w:val="002B6786"/>
    <w:rsid w:val="002B6787"/>
    <w:rsid w:val="002B6B7B"/>
    <w:rsid w:val="002B6C78"/>
    <w:rsid w:val="002B6EA1"/>
    <w:rsid w:val="002B6EF8"/>
    <w:rsid w:val="002B703F"/>
    <w:rsid w:val="002B731E"/>
    <w:rsid w:val="002B759C"/>
    <w:rsid w:val="002B76EB"/>
    <w:rsid w:val="002B7753"/>
    <w:rsid w:val="002B7785"/>
    <w:rsid w:val="002B7A7F"/>
    <w:rsid w:val="002B7CB1"/>
    <w:rsid w:val="002B7D51"/>
    <w:rsid w:val="002B7DEA"/>
    <w:rsid w:val="002C0175"/>
    <w:rsid w:val="002C01D7"/>
    <w:rsid w:val="002C021A"/>
    <w:rsid w:val="002C02DB"/>
    <w:rsid w:val="002C043D"/>
    <w:rsid w:val="002C0826"/>
    <w:rsid w:val="002C0980"/>
    <w:rsid w:val="002C0AF0"/>
    <w:rsid w:val="002C0AF5"/>
    <w:rsid w:val="002C0B80"/>
    <w:rsid w:val="002C0C14"/>
    <w:rsid w:val="002C0C93"/>
    <w:rsid w:val="002C0E94"/>
    <w:rsid w:val="002C0E9D"/>
    <w:rsid w:val="002C0EC1"/>
    <w:rsid w:val="002C0F6D"/>
    <w:rsid w:val="002C0FB2"/>
    <w:rsid w:val="002C0FD5"/>
    <w:rsid w:val="002C1123"/>
    <w:rsid w:val="002C11AD"/>
    <w:rsid w:val="002C1261"/>
    <w:rsid w:val="002C13FD"/>
    <w:rsid w:val="002C1541"/>
    <w:rsid w:val="002C156B"/>
    <w:rsid w:val="002C15D9"/>
    <w:rsid w:val="002C1866"/>
    <w:rsid w:val="002C195E"/>
    <w:rsid w:val="002C1A65"/>
    <w:rsid w:val="002C1B3B"/>
    <w:rsid w:val="002C1B9F"/>
    <w:rsid w:val="002C1EED"/>
    <w:rsid w:val="002C20E1"/>
    <w:rsid w:val="002C21A5"/>
    <w:rsid w:val="002C221E"/>
    <w:rsid w:val="002C2660"/>
    <w:rsid w:val="002C2734"/>
    <w:rsid w:val="002C28C1"/>
    <w:rsid w:val="002C29FC"/>
    <w:rsid w:val="002C2A43"/>
    <w:rsid w:val="002C2A51"/>
    <w:rsid w:val="002C2A9B"/>
    <w:rsid w:val="002C2E0C"/>
    <w:rsid w:val="002C2E39"/>
    <w:rsid w:val="002C2F2A"/>
    <w:rsid w:val="002C3093"/>
    <w:rsid w:val="002C34D3"/>
    <w:rsid w:val="002C359A"/>
    <w:rsid w:val="002C385D"/>
    <w:rsid w:val="002C38F9"/>
    <w:rsid w:val="002C38FB"/>
    <w:rsid w:val="002C3A89"/>
    <w:rsid w:val="002C3C73"/>
    <w:rsid w:val="002C3D86"/>
    <w:rsid w:val="002C3DED"/>
    <w:rsid w:val="002C3EEF"/>
    <w:rsid w:val="002C3F73"/>
    <w:rsid w:val="002C3FB2"/>
    <w:rsid w:val="002C4163"/>
    <w:rsid w:val="002C4175"/>
    <w:rsid w:val="002C41C6"/>
    <w:rsid w:val="002C42E6"/>
    <w:rsid w:val="002C44AE"/>
    <w:rsid w:val="002C454C"/>
    <w:rsid w:val="002C4720"/>
    <w:rsid w:val="002C48B8"/>
    <w:rsid w:val="002C48E0"/>
    <w:rsid w:val="002C49F5"/>
    <w:rsid w:val="002C4B5C"/>
    <w:rsid w:val="002C4D9E"/>
    <w:rsid w:val="002C4DC2"/>
    <w:rsid w:val="002C4EDF"/>
    <w:rsid w:val="002C4FCA"/>
    <w:rsid w:val="002C506F"/>
    <w:rsid w:val="002C51CF"/>
    <w:rsid w:val="002C51E4"/>
    <w:rsid w:val="002C5211"/>
    <w:rsid w:val="002C52B9"/>
    <w:rsid w:val="002C5357"/>
    <w:rsid w:val="002C5383"/>
    <w:rsid w:val="002C54B8"/>
    <w:rsid w:val="002C5658"/>
    <w:rsid w:val="002C56B7"/>
    <w:rsid w:val="002C5850"/>
    <w:rsid w:val="002C5888"/>
    <w:rsid w:val="002C589D"/>
    <w:rsid w:val="002C5943"/>
    <w:rsid w:val="002C5A2E"/>
    <w:rsid w:val="002C5A7C"/>
    <w:rsid w:val="002C5B8A"/>
    <w:rsid w:val="002C5C30"/>
    <w:rsid w:val="002C5EFD"/>
    <w:rsid w:val="002C628E"/>
    <w:rsid w:val="002C62A5"/>
    <w:rsid w:val="002C6316"/>
    <w:rsid w:val="002C63E1"/>
    <w:rsid w:val="002C644C"/>
    <w:rsid w:val="002C668A"/>
    <w:rsid w:val="002C679B"/>
    <w:rsid w:val="002C68E8"/>
    <w:rsid w:val="002C6951"/>
    <w:rsid w:val="002C69A8"/>
    <w:rsid w:val="002C6B0A"/>
    <w:rsid w:val="002C6C61"/>
    <w:rsid w:val="002C6E75"/>
    <w:rsid w:val="002C7793"/>
    <w:rsid w:val="002C7E6E"/>
    <w:rsid w:val="002C7EB3"/>
    <w:rsid w:val="002C7F97"/>
    <w:rsid w:val="002C7FB8"/>
    <w:rsid w:val="002C7FCC"/>
    <w:rsid w:val="002D0047"/>
    <w:rsid w:val="002D0362"/>
    <w:rsid w:val="002D0497"/>
    <w:rsid w:val="002D0522"/>
    <w:rsid w:val="002D0878"/>
    <w:rsid w:val="002D0A28"/>
    <w:rsid w:val="002D0DF1"/>
    <w:rsid w:val="002D1206"/>
    <w:rsid w:val="002D147C"/>
    <w:rsid w:val="002D14DB"/>
    <w:rsid w:val="002D174E"/>
    <w:rsid w:val="002D1CF5"/>
    <w:rsid w:val="002D1D09"/>
    <w:rsid w:val="002D1D6A"/>
    <w:rsid w:val="002D1E9C"/>
    <w:rsid w:val="002D1FCE"/>
    <w:rsid w:val="002D23D4"/>
    <w:rsid w:val="002D24C3"/>
    <w:rsid w:val="002D2636"/>
    <w:rsid w:val="002D2873"/>
    <w:rsid w:val="002D29F7"/>
    <w:rsid w:val="002D2EA3"/>
    <w:rsid w:val="002D2F0B"/>
    <w:rsid w:val="002D30CF"/>
    <w:rsid w:val="002D3115"/>
    <w:rsid w:val="002D3158"/>
    <w:rsid w:val="002D3279"/>
    <w:rsid w:val="002D3356"/>
    <w:rsid w:val="002D3600"/>
    <w:rsid w:val="002D379A"/>
    <w:rsid w:val="002D3885"/>
    <w:rsid w:val="002D3B50"/>
    <w:rsid w:val="002D3C75"/>
    <w:rsid w:val="002D3D13"/>
    <w:rsid w:val="002D3D83"/>
    <w:rsid w:val="002D3EC5"/>
    <w:rsid w:val="002D3EEA"/>
    <w:rsid w:val="002D3F90"/>
    <w:rsid w:val="002D4086"/>
    <w:rsid w:val="002D43CE"/>
    <w:rsid w:val="002D43EE"/>
    <w:rsid w:val="002D4458"/>
    <w:rsid w:val="002D44BC"/>
    <w:rsid w:val="002D46AD"/>
    <w:rsid w:val="002D46B3"/>
    <w:rsid w:val="002D47A4"/>
    <w:rsid w:val="002D49CE"/>
    <w:rsid w:val="002D49D2"/>
    <w:rsid w:val="002D49F2"/>
    <w:rsid w:val="002D4A04"/>
    <w:rsid w:val="002D4B5E"/>
    <w:rsid w:val="002D51D3"/>
    <w:rsid w:val="002D51D9"/>
    <w:rsid w:val="002D51E8"/>
    <w:rsid w:val="002D5206"/>
    <w:rsid w:val="002D538B"/>
    <w:rsid w:val="002D5636"/>
    <w:rsid w:val="002D575E"/>
    <w:rsid w:val="002D58AB"/>
    <w:rsid w:val="002D5A5B"/>
    <w:rsid w:val="002D5DAC"/>
    <w:rsid w:val="002D62DD"/>
    <w:rsid w:val="002D6414"/>
    <w:rsid w:val="002D654D"/>
    <w:rsid w:val="002D6750"/>
    <w:rsid w:val="002D6773"/>
    <w:rsid w:val="002D6A9B"/>
    <w:rsid w:val="002D6F70"/>
    <w:rsid w:val="002D709E"/>
    <w:rsid w:val="002D75F0"/>
    <w:rsid w:val="002D760F"/>
    <w:rsid w:val="002D78CE"/>
    <w:rsid w:val="002D790E"/>
    <w:rsid w:val="002D7A5A"/>
    <w:rsid w:val="002D7AB4"/>
    <w:rsid w:val="002D7AF8"/>
    <w:rsid w:val="002D7C81"/>
    <w:rsid w:val="002D7D2E"/>
    <w:rsid w:val="002D7DCB"/>
    <w:rsid w:val="002D7F2F"/>
    <w:rsid w:val="002D7F61"/>
    <w:rsid w:val="002E0014"/>
    <w:rsid w:val="002E0083"/>
    <w:rsid w:val="002E013C"/>
    <w:rsid w:val="002E04AC"/>
    <w:rsid w:val="002E04C9"/>
    <w:rsid w:val="002E05CE"/>
    <w:rsid w:val="002E069E"/>
    <w:rsid w:val="002E0770"/>
    <w:rsid w:val="002E0939"/>
    <w:rsid w:val="002E0BB2"/>
    <w:rsid w:val="002E0C90"/>
    <w:rsid w:val="002E0E65"/>
    <w:rsid w:val="002E0ED1"/>
    <w:rsid w:val="002E0F2E"/>
    <w:rsid w:val="002E0F89"/>
    <w:rsid w:val="002E10C8"/>
    <w:rsid w:val="002E124C"/>
    <w:rsid w:val="002E1295"/>
    <w:rsid w:val="002E1996"/>
    <w:rsid w:val="002E1B99"/>
    <w:rsid w:val="002E1BDF"/>
    <w:rsid w:val="002E1BE0"/>
    <w:rsid w:val="002E1C41"/>
    <w:rsid w:val="002E1DF8"/>
    <w:rsid w:val="002E1E74"/>
    <w:rsid w:val="002E1EDA"/>
    <w:rsid w:val="002E1FE4"/>
    <w:rsid w:val="002E2197"/>
    <w:rsid w:val="002E220D"/>
    <w:rsid w:val="002E2217"/>
    <w:rsid w:val="002E2302"/>
    <w:rsid w:val="002E243E"/>
    <w:rsid w:val="002E24DD"/>
    <w:rsid w:val="002E25BD"/>
    <w:rsid w:val="002E261C"/>
    <w:rsid w:val="002E26CF"/>
    <w:rsid w:val="002E2823"/>
    <w:rsid w:val="002E2B37"/>
    <w:rsid w:val="002E2D32"/>
    <w:rsid w:val="002E2ED5"/>
    <w:rsid w:val="002E2F1C"/>
    <w:rsid w:val="002E2F99"/>
    <w:rsid w:val="002E2FFD"/>
    <w:rsid w:val="002E3231"/>
    <w:rsid w:val="002E3273"/>
    <w:rsid w:val="002E327C"/>
    <w:rsid w:val="002E32F1"/>
    <w:rsid w:val="002E3377"/>
    <w:rsid w:val="002E3450"/>
    <w:rsid w:val="002E36F1"/>
    <w:rsid w:val="002E3807"/>
    <w:rsid w:val="002E38DD"/>
    <w:rsid w:val="002E3A2F"/>
    <w:rsid w:val="002E3B98"/>
    <w:rsid w:val="002E3C59"/>
    <w:rsid w:val="002E3C5D"/>
    <w:rsid w:val="002E3CB1"/>
    <w:rsid w:val="002E3D24"/>
    <w:rsid w:val="002E3D2B"/>
    <w:rsid w:val="002E3E19"/>
    <w:rsid w:val="002E3EBC"/>
    <w:rsid w:val="002E3F09"/>
    <w:rsid w:val="002E404F"/>
    <w:rsid w:val="002E41CE"/>
    <w:rsid w:val="002E4336"/>
    <w:rsid w:val="002E46B4"/>
    <w:rsid w:val="002E48C6"/>
    <w:rsid w:val="002E48F2"/>
    <w:rsid w:val="002E4BFF"/>
    <w:rsid w:val="002E4D87"/>
    <w:rsid w:val="002E4F1C"/>
    <w:rsid w:val="002E50A4"/>
    <w:rsid w:val="002E5591"/>
    <w:rsid w:val="002E5667"/>
    <w:rsid w:val="002E587D"/>
    <w:rsid w:val="002E5891"/>
    <w:rsid w:val="002E59CF"/>
    <w:rsid w:val="002E5A1B"/>
    <w:rsid w:val="002E5AC2"/>
    <w:rsid w:val="002E5D8A"/>
    <w:rsid w:val="002E5E1C"/>
    <w:rsid w:val="002E623C"/>
    <w:rsid w:val="002E629C"/>
    <w:rsid w:val="002E63B3"/>
    <w:rsid w:val="002E661D"/>
    <w:rsid w:val="002E6667"/>
    <w:rsid w:val="002E67D2"/>
    <w:rsid w:val="002E67DC"/>
    <w:rsid w:val="002E686E"/>
    <w:rsid w:val="002E6983"/>
    <w:rsid w:val="002E6A89"/>
    <w:rsid w:val="002E6B13"/>
    <w:rsid w:val="002E6B69"/>
    <w:rsid w:val="002E6C53"/>
    <w:rsid w:val="002E6CC3"/>
    <w:rsid w:val="002E6F97"/>
    <w:rsid w:val="002E6FE5"/>
    <w:rsid w:val="002E716E"/>
    <w:rsid w:val="002E7212"/>
    <w:rsid w:val="002E755F"/>
    <w:rsid w:val="002E7569"/>
    <w:rsid w:val="002E76D6"/>
    <w:rsid w:val="002E7AC5"/>
    <w:rsid w:val="002E7B28"/>
    <w:rsid w:val="002E7C12"/>
    <w:rsid w:val="002E7C3A"/>
    <w:rsid w:val="002E7D39"/>
    <w:rsid w:val="002E7F74"/>
    <w:rsid w:val="002E7FAA"/>
    <w:rsid w:val="002E7FFB"/>
    <w:rsid w:val="002F00D6"/>
    <w:rsid w:val="002F021D"/>
    <w:rsid w:val="002F0223"/>
    <w:rsid w:val="002F0502"/>
    <w:rsid w:val="002F061A"/>
    <w:rsid w:val="002F0858"/>
    <w:rsid w:val="002F085E"/>
    <w:rsid w:val="002F087E"/>
    <w:rsid w:val="002F0882"/>
    <w:rsid w:val="002F0952"/>
    <w:rsid w:val="002F0B55"/>
    <w:rsid w:val="002F0C55"/>
    <w:rsid w:val="002F0DE5"/>
    <w:rsid w:val="002F0FF1"/>
    <w:rsid w:val="002F139B"/>
    <w:rsid w:val="002F13F7"/>
    <w:rsid w:val="002F176F"/>
    <w:rsid w:val="002F17A0"/>
    <w:rsid w:val="002F17B5"/>
    <w:rsid w:val="002F1955"/>
    <w:rsid w:val="002F1978"/>
    <w:rsid w:val="002F1A78"/>
    <w:rsid w:val="002F1AC8"/>
    <w:rsid w:val="002F1CF0"/>
    <w:rsid w:val="002F1EED"/>
    <w:rsid w:val="002F1FD5"/>
    <w:rsid w:val="002F2042"/>
    <w:rsid w:val="002F21C7"/>
    <w:rsid w:val="002F2248"/>
    <w:rsid w:val="002F226A"/>
    <w:rsid w:val="002F23C4"/>
    <w:rsid w:val="002F26A3"/>
    <w:rsid w:val="002F26A9"/>
    <w:rsid w:val="002F27E5"/>
    <w:rsid w:val="002F27FA"/>
    <w:rsid w:val="002F28AC"/>
    <w:rsid w:val="002F2945"/>
    <w:rsid w:val="002F2D47"/>
    <w:rsid w:val="002F2E31"/>
    <w:rsid w:val="002F2F20"/>
    <w:rsid w:val="002F2FD5"/>
    <w:rsid w:val="002F302C"/>
    <w:rsid w:val="002F332F"/>
    <w:rsid w:val="002F3413"/>
    <w:rsid w:val="002F34E2"/>
    <w:rsid w:val="002F35C5"/>
    <w:rsid w:val="002F380E"/>
    <w:rsid w:val="002F3834"/>
    <w:rsid w:val="002F3893"/>
    <w:rsid w:val="002F3937"/>
    <w:rsid w:val="002F3BBE"/>
    <w:rsid w:val="002F3F98"/>
    <w:rsid w:val="002F3FFA"/>
    <w:rsid w:val="002F4018"/>
    <w:rsid w:val="002F40B9"/>
    <w:rsid w:val="002F40E4"/>
    <w:rsid w:val="002F4171"/>
    <w:rsid w:val="002F42AA"/>
    <w:rsid w:val="002F43B6"/>
    <w:rsid w:val="002F4553"/>
    <w:rsid w:val="002F45A4"/>
    <w:rsid w:val="002F463D"/>
    <w:rsid w:val="002F4649"/>
    <w:rsid w:val="002F4997"/>
    <w:rsid w:val="002F4A6F"/>
    <w:rsid w:val="002F4A80"/>
    <w:rsid w:val="002F4ABE"/>
    <w:rsid w:val="002F4CE1"/>
    <w:rsid w:val="002F4DF1"/>
    <w:rsid w:val="002F4E85"/>
    <w:rsid w:val="002F4F32"/>
    <w:rsid w:val="002F4F70"/>
    <w:rsid w:val="002F50D5"/>
    <w:rsid w:val="002F50EC"/>
    <w:rsid w:val="002F52F1"/>
    <w:rsid w:val="002F5374"/>
    <w:rsid w:val="002F55A9"/>
    <w:rsid w:val="002F5714"/>
    <w:rsid w:val="002F588B"/>
    <w:rsid w:val="002F58CD"/>
    <w:rsid w:val="002F5922"/>
    <w:rsid w:val="002F59C0"/>
    <w:rsid w:val="002F59E6"/>
    <w:rsid w:val="002F5A53"/>
    <w:rsid w:val="002F5AB7"/>
    <w:rsid w:val="002F5B36"/>
    <w:rsid w:val="002F5C00"/>
    <w:rsid w:val="002F5C9D"/>
    <w:rsid w:val="002F5CBB"/>
    <w:rsid w:val="002F5E43"/>
    <w:rsid w:val="002F5E96"/>
    <w:rsid w:val="002F5FB0"/>
    <w:rsid w:val="002F6078"/>
    <w:rsid w:val="002F6398"/>
    <w:rsid w:val="002F645F"/>
    <w:rsid w:val="002F6579"/>
    <w:rsid w:val="002F6638"/>
    <w:rsid w:val="002F6814"/>
    <w:rsid w:val="002F6AC0"/>
    <w:rsid w:val="002F6C7F"/>
    <w:rsid w:val="002F6EB4"/>
    <w:rsid w:val="002F6FF1"/>
    <w:rsid w:val="002F70F9"/>
    <w:rsid w:val="002F71BF"/>
    <w:rsid w:val="002F7254"/>
    <w:rsid w:val="002F73AE"/>
    <w:rsid w:val="002F73F7"/>
    <w:rsid w:val="002F7525"/>
    <w:rsid w:val="002F75BE"/>
    <w:rsid w:val="002F760A"/>
    <w:rsid w:val="002F7825"/>
    <w:rsid w:val="002F7876"/>
    <w:rsid w:val="002F7EA5"/>
    <w:rsid w:val="002F7F87"/>
    <w:rsid w:val="002F7F91"/>
    <w:rsid w:val="0030033B"/>
    <w:rsid w:val="003003E7"/>
    <w:rsid w:val="0030053D"/>
    <w:rsid w:val="003006C3"/>
    <w:rsid w:val="00300732"/>
    <w:rsid w:val="00300840"/>
    <w:rsid w:val="0030088E"/>
    <w:rsid w:val="003008DF"/>
    <w:rsid w:val="00300916"/>
    <w:rsid w:val="00300E1B"/>
    <w:rsid w:val="00300F22"/>
    <w:rsid w:val="00301202"/>
    <w:rsid w:val="00301248"/>
    <w:rsid w:val="0030150F"/>
    <w:rsid w:val="00301519"/>
    <w:rsid w:val="0030156D"/>
    <w:rsid w:val="00301876"/>
    <w:rsid w:val="00301910"/>
    <w:rsid w:val="003019BF"/>
    <w:rsid w:val="00301ABB"/>
    <w:rsid w:val="00301C0E"/>
    <w:rsid w:val="00301C9D"/>
    <w:rsid w:val="00301FA5"/>
    <w:rsid w:val="00301FF4"/>
    <w:rsid w:val="00302332"/>
    <w:rsid w:val="003024C4"/>
    <w:rsid w:val="00302556"/>
    <w:rsid w:val="003026A0"/>
    <w:rsid w:val="00302A41"/>
    <w:rsid w:val="00302A50"/>
    <w:rsid w:val="00302A8A"/>
    <w:rsid w:val="00302AD0"/>
    <w:rsid w:val="00302BEA"/>
    <w:rsid w:val="00302F39"/>
    <w:rsid w:val="00302F56"/>
    <w:rsid w:val="003031E7"/>
    <w:rsid w:val="003032B6"/>
    <w:rsid w:val="00303414"/>
    <w:rsid w:val="00303443"/>
    <w:rsid w:val="00303470"/>
    <w:rsid w:val="003036EC"/>
    <w:rsid w:val="003038B0"/>
    <w:rsid w:val="003039C7"/>
    <w:rsid w:val="00303B27"/>
    <w:rsid w:val="00303C3D"/>
    <w:rsid w:val="003040D7"/>
    <w:rsid w:val="003042DB"/>
    <w:rsid w:val="00304441"/>
    <w:rsid w:val="0030453B"/>
    <w:rsid w:val="0030459B"/>
    <w:rsid w:val="003045A5"/>
    <w:rsid w:val="003045F5"/>
    <w:rsid w:val="00304A37"/>
    <w:rsid w:val="00304C96"/>
    <w:rsid w:val="00304D63"/>
    <w:rsid w:val="00304FF9"/>
    <w:rsid w:val="00305187"/>
    <w:rsid w:val="00305515"/>
    <w:rsid w:val="0030570F"/>
    <w:rsid w:val="00305736"/>
    <w:rsid w:val="00305838"/>
    <w:rsid w:val="003058A0"/>
    <w:rsid w:val="00305C1C"/>
    <w:rsid w:val="00305D10"/>
    <w:rsid w:val="00305FE8"/>
    <w:rsid w:val="00306189"/>
    <w:rsid w:val="00306215"/>
    <w:rsid w:val="003062BB"/>
    <w:rsid w:val="003062C2"/>
    <w:rsid w:val="00306426"/>
    <w:rsid w:val="003065A2"/>
    <w:rsid w:val="003065CF"/>
    <w:rsid w:val="00306704"/>
    <w:rsid w:val="003067B4"/>
    <w:rsid w:val="00306AFB"/>
    <w:rsid w:val="00306B13"/>
    <w:rsid w:val="00306D0C"/>
    <w:rsid w:val="00306DC9"/>
    <w:rsid w:val="00306FB1"/>
    <w:rsid w:val="00307214"/>
    <w:rsid w:val="0030755C"/>
    <w:rsid w:val="00307A1D"/>
    <w:rsid w:val="00307AE9"/>
    <w:rsid w:val="00307FBB"/>
    <w:rsid w:val="00310056"/>
    <w:rsid w:val="003102AF"/>
    <w:rsid w:val="00310315"/>
    <w:rsid w:val="0031040E"/>
    <w:rsid w:val="00310AE4"/>
    <w:rsid w:val="00310B34"/>
    <w:rsid w:val="00310C96"/>
    <w:rsid w:val="00310DF6"/>
    <w:rsid w:val="00310EB4"/>
    <w:rsid w:val="00310ED4"/>
    <w:rsid w:val="00311105"/>
    <w:rsid w:val="00311131"/>
    <w:rsid w:val="003112CB"/>
    <w:rsid w:val="003113DC"/>
    <w:rsid w:val="00311458"/>
    <w:rsid w:val="0031148B"/>
    <w:rsid w:val="003115E0"/>
    <w:rsid w:val="00311662"/>
    <w:rsid w:val="0031194D"/>
    <w:rsid w:val="00311959"/>
    <w:rsid w:val="00311D0F"/>
    <w:rsid w:val="00311D68"/>
    <w:rsid w:val="00311DAE"/>
    <w:rsid w:val="00311F85"/>
    <w:rsid w:val="00311F8A"/>
    <w:rsid w:val="00311FB5"/>
    <w:rsid w:val="00312015"/>
    <w:rsid w:val="003120E3"/>
    <w:rsid w:val="00312202"/>
    <w:rsid w:val="0031225A"/>
    <w:rsid w:val="00312276"/>
    <w:rsid w:val="00312301"/>
    <w:rsid w:val="00312412"/>
    <w:rsid w:val="003125FD"/>
    <w:rsid w:val="00312B6D"/>
    <w:rsid w:val="00312C41"/>
    <w:rsid w:val="00312CE6"/>
    <w:rsid w:val="00312E23"/>
    <w:rsid w:val="00312F43"/>
    <w:rsid w:val="0031302A"/>
    <w:rsid w:val="00313082"/>
    <w:rsid w:val="003130E7"/>
    <w:rsid w:val="0031318E"/>
    <w:rsid w:val="00313582"/>
    <w:rsid w:val="00313623"/>
    <w:rsid w:val="0031381D"/>
    <w:rsid w:val="00313A7D"/>
    <w:rsid w:val="00313B4C"/>
    <w:rsid w:val="00313BAC"/>
    <w:rsid w:val="00313C19"/>
    <w:rsid w:val="00313D9D"/>
    <w:rsid w:val="00313DC2"/>
    <w:rsid w:val="00313F09"/>
    <w:rsid w:val="00313F8E"/>
    <w:rsid w:val="00313F8F"/>
    <w:rsid w:val="0031432B"/>
    <w:rsid w:val="003143BB"/>
    <w:rsid w:val="003143C9"/>
    <w:rsid w:val="0031450B"/>
    <w:rsid w:val="003145C5"/>
    <w:rsid w:val="003145F0"/>
    <w:rsid w:val="0031472B"/>
    <w:rsid w:val="0031492A"/>
    <w:rsid w:val="003149BF"/>
    <w:rsid w:val="00314A40"/>
    <w:rsid w:val="00314B43"/>
    <w:rsid w:val="00314CA0"/>
    <w:rsid w:val="00314D33"/>
    <w:rsid w:val="00314DB7"/>
    <w:rsid w:val="00314E9B"/>
    <w:rsid w:val="00314F27"/>
    <w:rsid w:val="0031504E"/>
    <w:rsid w:val="003154A9"/>
    <w:rsid w:val="003155E9"/>
    <w:rsid w:val="0031565A"/>
    <w:rsid w:val="003156B1"/>
    <w:rsid w:val="003156CA"/>
    <w:rsid w:val="00315716"/>
    <w:rsid w:val="00315841"/>
    <w:rsid w:val="00315A13"/>
    <w:rsid w:val="00315B0F"/>
    <w:rsid w:val="00315B9E"/>
    <w:rsid w:val="00315BE3"/>
    <w:rsid w:val="00315C28"/>
    <w:rsid w:val="00315E17"/>
    <w:rsid w:val="00315E45"/>
    <w:rsid w:val="00315ECC"/>
    <w:rsid w:val="00315F04"/>
    <w:rsid w:val="00316204"/>
    <w:rsid w:val="003166E4"/>
    <w:rsid w:val="003168D6"/>
    <w:rsid w:val="0031691E"/>
    <w:rsid w:val="00316C1A"/>
    <w:rsid w:val="00316C72"/>
    <w:rsid w:val="00316F5B"/>
    <w:rsid w:val="003171B3"/>
    <w:rsid w:val="003171E7"/>
    <w:rsid w:val="003172D1"/>
    <w:rsid w:val="003172FF"/>
    <w:rsid w:val="0031740A"/>
    <w:rsid w:val="003177C1"/>
    <w:rsid w:val="00317A4C"/>
    <w:rsid w:val="00317D41"/>
    <w:rsid w:val="00320342"/>
    <w:rsid w:val="003204B9"/>
    <w:rsid w:val="003205BC"/>
    <w:rsid w:val="003206CF"/>
    <w:rsid w:val="003208B1"/>
    <w:rsid w:val="00320953"/>
    <w:rsid w:val="00320A2D"/>
    <w:rsid w:val="00320B96"/>
    <w:rsid w:val="00320BFE"/>
    <w:rsid w:val="00320DEB"/>
    <w:rsid w:val="00320E38"/>
    <w:rsid w:val="00320E5C"/>
    <w:rsid w:val="00320F6D"/>
    <w:rsid w:val="00321095"/>
    <w:rsid w:val="00321143"/>
    <w:rsid w:val="00321176"/>
    <w:rsid w:val="00321243"/>
    <w:rsid w:val="00321330"/>
    <w:rsid w:val="0032136A"/>
    <w:rsid w:val="003214AD"/>
    <w:rsid w:val="00321665"/>
    <w:rsid w:val="0032169A"/>
    <w:rsid w:val="003216D5"/>
    <w:rsid w:val="003217CC"/>
    <w:rsid w:val="00321A43"/>
    <w:rsid w:val="00321A5D"/>
    <w:rsid w:val="00321AF1"/>
    <w:rsid w:val="00321B08"/>
    <w:rsid w:val="00321D0D"/>
    <w:rsid w:val="00321E0F"/>
    <w:rsid w:val="00321F56"/>
    <w:rsid w:val="00322029"/>
    <w:rsid w:val="00322384"/>
    <w:rsid w:val="0032245B"/>
    <w:rsid w:val="00322533"/>
    <w:rsid w:val="0032256A"/>
    <w:rsid w:val="0032268F"/>
    <w:rsid w:val="003226B0"/>
    <w:rsid w:val="0032273A"/>
    <w:rsid w:val="00322875"/>
    <w:rsid w:val="00322B52"/>
    <w:rsid w:val="00322DA1"/>
    <w:rsid w:val="00322E88"/>
    <w:rsid w:val="00322E8D"/>
    <w:rsid w:val="00322E97"/>
    <w:rsid w:val="00322F3C"/>
    <w:rsid w:val="00322F4F"/>
    <w:rsid w:val="003232A3"/>
    <w:rsid w:val="0032339F"/>
    <w:rsid w:val="00323437"/>
    <w:rsid w:val="0032354C"/>
    <w:rsid w:val="00323932"/>
    <w:rsid w:val="00323C73"/>
    <w:rsid w:val="00323C94"/>
    <w:rsid w:val="00323E80"/>
    <w:rsid w:val="0032400A"/>
    <w:rsid w:val="00324155"/>
    <w:rsid w:val="003242AB"/>
    <w:rsid w:val="0032437F"/>
    <w:rsid w:val="003243D6"/>
    <w:rsid w:val="00324607"/>
    <w:rsid w:val="00324997"/>
    <w:rsid w:val="003249B3"/>
    <w:rsid w:val="00324AAA"/>
    <w:rsid w:val="00324B35"/>
    <w:rsid w:val="00324B54"/>
    <w:rsid w:val="00324C9D"/>
    <w:rsid w:val="00324D9B"/>
    <w:rsid w:val="00325059"/>
    <w:rsid w:val="003250BC"/>
    <w:rsid w:val="0032546B"/>
    <w:rsid w:val="00325501"/>
    <w:rsid w:val="00325663"/>
    <w:rsid w:val="003258A7"/>
    <w:rsid w:val="00325905"/>
    <w:rsid w:val="0032599A"/>
    <w:rsid w:val="00325AED"/>
    <w:rsid w:val="00325B22"/>
    <w:rsid w:val="00325B49"/>
    <w:rsid w:val="00325E04"/>
    <w:rsid w:val="00325FD7"/>
    <w:rsid w:val="003263D3"/>
    <w:rsid w:val="003264E2"/>
    <w:rsid w:val="003266B0"/>
    <w:rsid w:val="0032677C"/>
    <w:rsid w:val="00326931"/>
    <w:rsid w:val="00326C58"/>
    <w:rsid w:val="00326E38"/>
    <w:rsid w:val="00326F98"/>
    <w:rsid w:val="003270C9"/>
    <w:rsid w:val="0032734E"/>
    <w:rsid w:val="00327438"/>
    <w:rsid w:val="003275E8"/>
    <w:rsid w:val="003276BC"/>
    <w:rsid w:val="003276EE"/>
    <w:rsid w:val="0032773B"/>
    <w:rsid w:val="0032796C"/>
    <w:rsid w:val="003279CC"/>
    <w:rsid w:val="00327BB2"/>
    <w:rsid w:val="00327C65"/>
    <w:rsid w:val="00327D0A"/>
    <w:rsid w:val="00327E24"/>
    <w:rsid w:val="0033009E"/>
    <w:rsid w:val="003300F0"/>
    <w:rsid w:val="003301FC"/>
    <w:rsid w:val="00330663"/>
    <w:rsid w:val="003306C2"/>
    <w:rsid w:val="003308C9"/>
    <w:rsid w:val="00330A85"/>
    <w:rsid w:val="00330AB3"/>
    <w:rsid w:val="00330CEC"/>
    <w:rsid w:val="00330D67"/>
    <w:rsid w:val="00330E58"/>
    <w:rsid w:val="00330F79"/>
    <w:rsid w:val="00331101"/>
    <w:rsid w:val="00331140"/>
    <w:rsid w:val="00331141"/>
    <w:rsid w:val="003311E8"/>
    <w:rsid w:val="0033123F"/>
    <w:rsid w:val="003313D2"/>
    <w:rsid w:val="00331435"/>
    <w:rsid w:val="0033144D"/>
    <w:rsid w:val="0033151D"/>
    <w:rsid w:val="003315D2"/>
    <w:rsid w:val="003315FA"/>
    <w:rsid w:val="0033166F"/>
    <w:rsid w:val="00331BCE"/>
    <w:rsid w:val="00331C10"/>
    <w:rsid w:val="00331CDD"/>
    <w:rsid w:val="00331EC8"/>
    <w:rsid w:val="00331F7D"/>
    <w:rsid w:val="00331FE6"/>
    <w:rsid w:val="0033200C"/>
    <w:rsid w:val="003324B0"/>
    <w:rsid w:val="003325B6"/>
    <w:rsid w:val="003326A4"/>
    <w:rsid w:val="003326E1"/>
    <w:rsid w:val="00332794"/>
    <w:rsid w:val="00332C00"/>
    <w:rsid w:val="00332CE5"/>
    <w:rsid w:val="00332D59"/>
    <w:rsid w:val="003330E2"/>
    <w:rsid w:val="00333131"/>
    <w:rsid w:val="00333204"/>
    <w:rsid w:val="0033330A"/>
    <w:rsid w:val="00333349"/>
    <w:rsid w:val="003336EB"/>
    <w:rsid w:val="003336F1"/>
    <w:rsid w:val="00333930"/>
    <w:rsid w:val="003339F9"/>
    <w:rsid w:val="00333E5C"/>
    <w:rsid w:val="00334059"/>
    <w:rsid w:val="00334081"/>
    <w:rsid w:val="003340DB"/>
    <w:rsid w:val="00334173"/>
    <w:rsid w:val="003341CF"/>
    <w:rsid w:val="0033429B"/>
    <w:rsid w:val="003344D1"/>
    <w:rsid w:val="0033456C"/>
    <w:rsid w:val="00334951"/>
    <w:rsid w:val="003349F0"/>
    <w:rsid w:val="00334C0D"/>
    <w:rsid w:val="00334DF9"/>
    <w:rsid w:val="00334F4B"/>
    <w:rsid w:val="00335393"/>
    <w:rsid w:val="003353D0"/>
    <w:rsid w:val="003353E9"/>
    <w:rsid w:val="003354EC"/>
    <w:rsid w:val="00335680"/>
    <w:rsid w:val="00335686"/>
    <w:rsid w:val="00335A88"/>
    <w:rsid w:val="00335D15"/>
    <w:rsid w:val="00335D4D"/>
    <w:rsid w:val="00335DB1"/>
    <w:rsid w:val="00335E3C"/>
    <w:rsid w:val="0033602D"/>
    <w:rsid w:val="003362B4"/>
    <w:rsid w:val="003362D5"/>
    <w:rsid w:val="0033643E"/>
    <w:rsid w:val="003366E7"/>
    <w:rsid w:val="003367D6"/>
    <w:rsid w:val="00336959"/>
    <w:rsid w:val="00336A6D"/>
    <w:rsid w:val="00336AE6"/>
    <w:rsid w:val="00336B7C"/>
    <w:rsid w:val="00336DE7"/>
    <w:rsid w:val="00336ED2"/>
    <w:rsid w:val="00336EDE"/>
    <w:rsid w:val="003371BB"/>
    <w:rsid w:val="0033759B"/>
    <w:rsid w:val="00337814"/>
    <w:rsid w:val="00337822"/>
    <w:rsid w:val="00337B46"/>
    <w:rsid w:val="00337B6B"/>
    <w:rsid w:val="00337BE8"/>
    <w:rsid w:val="00337D4A"/>
    <w:rsid w:val="00337D7B"/>
    <w:rsid w:val="00337DC2"/>
    <w:rsid w:val="00337DFA"/>
    <w:rsid w:val="00337E1B"/>
    <w:rsid w:val="00337F98"/>
    <w:rsid w:val="003400D0"/>
    <w:rsid w:val="003403C0"/>
    <w:rsid w:val="00340471"/>
    <w:rsid w:val="003404AC"/>
    <w:rsid w:val="00340653"/>
    <w:rsid w:val="00340687"/>
    <w:rsid w:val="00340814"/>
    <w:rsid w:val="00340890"/>
    <w:rsid w:val="00340AEE"/>
    <w:rsid w:val="00340BB0"/>
    <w:rsid w:val="00340ED5"/>
    <w:rsid w:val="00341267"/>
    <w:rsid w:val="00341502"/>
    <w:rsid w:val="0034157D"/>
    <w:rsid w:val="0034185A"/>
    <w:rsid w:val="0034187B"/>
    <w:rsid w:val="003418FD"/>
    <w:rsid w:val="00341920"/>
    <w:rsid w:val="00341A92"/>
    <w:rsid w:val="00341B72"/>
    <w:rsid w:val="00341C4E"/>
    <w:rsid w:val="00341D5B"/>
    <w:rsid w:val="003421B1"/>
    <w:rsid w:val="00342324"/>
    <w:rsid w:val="0034235B"/>
    <w:rsid w:val="003423F4"/>
    <w:rsid w:val="003424D4"/>
    <w:rsid w:val="003425B4"/>
    <w:rsid w:val="00342653"/>
    <w:rsid w:val="003426F3"/>
    <w:rsid w:val="00342777"/>
    <w:rsid w:val="00342860"/>
    <w:rsid w:val="00342941"/>
    <w:rsid w:val="00342A57"/>
    <w:rsid w:val="00342A6A"/>
    <w:rsid w:val="00342D3B"/>
    <w:rsid w:val="00342E91"/>
    <w:rsid w:val="0034308C"/>
    <w:rsid w:val="003432FC"/>
    <w:rsid w:val="003433C9"/>
    <w:rsid w:val="003434A5"/>
    <w:rsid w:val="00343522"/>
    <w:rsid w:val="0034354F"/>
    <w:rsid w:val="0034367F"/>
    <w:rsid w:val="003436F5"/>
    <w:rsid w:val="00343750"/>
    <w:rsid w:val="003439B0"/>
    <w:rsid w:val="00343C10"/>
    <w:rsid w:val="00343C73"/>
    <w:rsid w:val="00343E6E"/>
    <w:rsid w:val="00343EB2"/>
    <w:rsid w:val="00343FD7"/>
    <w:rsid w:val="003441CD"/>
    <w:rsid w:val="00344400"/>
    <w:rsid w:val="0034449B"/>
    <w:rsid w:val="0034473A"/>
    <w:rsid w:val="00344758"/>
    <w:rsid w:val="003447DD"/>
    <w:rsid w:val="00344826"/>
    <w:rsid w:val="003448C1"/>
    <w:rsid w:val="00344B6D"/>
    <w:rsid w:val="00344BF8"/>
    <w:rsid w:val="00344D8A"/>
    <w:rsid w:val="00344ECC"/>
    <w:rsid w:val="00344EE3"/>
    <w:rsid w:val="00344FA8"/>
    <w:rsid w:val="003451BE"/>
    <w:rsid w:val="00345266"/>
    <w:rsid w:val="00345383"/>
    <w:rsid w:val="00345503"/>
    <w:rsid w:val="003455B6"/>
    <w:rsid w:val="00345643"/>
    <w:rsid w:val="00345771"/>
    <w:rsid w:val="003458C3"/>
    <w:rsid w:val="00345910"/>
    <w:rsid w:val="0034599D"/>
    <w:rsid w:val="003459AD"/>
    <w:rsid w:val="003459B1"/>
    <w:rsid w:val="00345C82"/>
    <w:rsid w:val="00345D85"/>
    <w:rsid w:val="00345E85"/>
    <w:rsid w:val="0034622E"/>
    <w:rsid w:val="00346282"/>
    <w:rsid w:val="003462B6"/>
    <w:rsid w:val="0034644F"/>
    <w:rsid w:val="0034656E"/>
    <w:rsid w:val="003465C1"/>
    <w:rsid w:val="00346863"/>
    <w:rsid w:val="00346960"/>
    <w:rsid w:val="00346A66"/>
    <w:rsid w:val="00346D25"/>
    <w:rsid w:val="00346D28"/>
    <w:rsid w:val="00346D55"/>
    <w:rsid w:val="00346DB7"/>
    <w:rsid w:val="00347142"/>
    <w:rsid w:val="0034740E"/>
    <w:rsid w:val="00347581"/>
    <w:rsid w:val="003476EA"/>
    <w:rsid w:val="003478BC"/>
    <w:rsid w:val="00347A6D"/>
    <w:rsid w:val="00347ABA"/>
    <w:rsid w:val="00347DFD"/>
    <w:rsid w:val="00347E47"/>
    <w:rsid w:val="00347FCC"/>
    <w:rsid w:val="00350062"/>
    <w:rsid w:val="003501BD"/>
    <w:rsid w:val="003507FD"/>
    <w:rsid w:val="00350957"/>
    <w:rsid w:val="00350979"/>
    <w:rsid w:val="00350A1B"/>
    <w:rsid w:val="00350D1B"/>
    <w:rsid w:val="00350E1B"/>
    <w:rsid w:val="003510B7"/>
    <w:rsid w:val="003510D9"/>
    <w:rsid w:val="003511A2"/>
    <w:rsid w:val="00351314"/>
    <w:rsid w:val="0035132A"/>
    <w:rsid w:val="003515BC"/>
    <w:rsid w:val="00351799"/>
    <w:rsid w:val="00351878"/>
    <w:rsid w:val="00351C31"/>
    <w:rsid w:val="00351DA7"/>
    <w:rsid w:val="0035212C"/>
    <w:rsid w:val="0035220F"/>
    <w:rsid w:val="00352298"/>
    <w:rsid w:val="003522D6"/>
    <w:rsid w:val="0035235B"/>
    <w:rsid w:val="0035265D"/>
    <w:rsid w:val="00352872"/>
    <w:rsid w:val="00352C22"/>
    <w:rsid w:val="00352E42"/>
    <w:rsid w:val="00353195"/>
    <w:rsid w:val="00353376"/>
    <w:rsid w:val="003534F2"/>
    <w:rsid w:val="00353555"/>
    <w:rsid w:val="00353683"/>
    <w:rsid w:val="00353946"/>
    <w:rsid w:val="00353965"/>
    <w:rsid w:val="0035396E"/>
    <w:rsid w:val="0035397A"/>
    <w:rsid w:val="00353AFC"/>
    <w:rsid w:val="00353BBF"/>
    <w:rsid w:val="00353CD8"/>
    <w:rsid w:val="00353DED"/>
    <w:rsid w:val="00353EA2"/>
    <w:rsid w:val="00353EBF"/>
    <w:rsid w:val="00353EF4"/>
    <w:rsid w:val="0035427D"/>
    <w:rsid w:val="003543C9"/>
    <w:rsid w:val="00354424"/>
    <w:rsid w:val="00354453"/>
    <w:rsid w:val="0035488B"/>
    <w:rsid w:val="003548DE"/>
    <w:rsid w:val="003549A6"/>
    <w:rsid w:val="00354A4A"/>
    <w:rsid w:val="00354E02"/>
    <w:rsid w:val="00354E79"/>
    <w:rsid w:val="00354FBC"/>
    <w:rsid w:val="00355083"/>
    <w:rsid w:val="00355099"/>
    <w:rsid w:val="00355293"/>
    <w:rsid w:val="00355324"/>
    <w:rsid w:val="00355384"/>
    <w:rsid w:val="0035539C"/>
    <w:rsid w:val="003554D1"/>
    <w:rsid w:val="00355515"/>
    <w:rsid w:val="0035572A"/>
    <w:rsid w:val="003557A3"/>
    <w:rsid w:val="00355A11"/>
    <w:rsid w:val="00355A81"/>
    <w:rsid w:val="00355EA8"/>
    <w:rsid w:val="00355F09"/>
    <w:rsid w:val="00356008"/>
    <w:rsid w:val="003561C2"/>
    <w:rsid w:val="00356457"/>
    <w:rsid w:val="003565A8"/>
    <w:rsid w:val="003565BD"/>
    <w:rsid w:val="003565D9"/>
    <w:rsid w:val="00356636"/>
    <w:rsid w:val="003566EA"/>
    <w:rsid w:val="00356724"/>
    <w:rsid w:val="00356782"/>
    <w:rsid w:val="003567CA"/>
    <w:rsid w:val="003567CF"/>
    <w:rsid w:val="003567D7"/>
    <w:rsid w:val="00356B69"/>
    <w:rsid w:val="00356B85"/>
    <w:rsid w:val="00356C66"/>
    <w:rsid w:val="00356C78"/>
    <w:rsid w:val="00356D07"/>
    <w:rsid w:val="00356D85"/>
    <w:rsid w:val="00356E65"/>
    <w:rsid w:val="00356E99"/>
    <w:rsid w:val="00356EC3"/>
    <w:rsid w:val="00357009"/>
    <w:rsid w:val="003570F8"/>
    <w:rsid w:val="00357415"/>
    <w:rsid w:val="003574BA"/>
    <w:rsid w:val="003575DB"/>
    <w:rsid w:val="003575F9"/>
    <w:rsid w:val="00357673"/>
    <w:rsid w:val="0035780D"/>
    <w:rsid w:val="00357B16"/>
    <w:rsid w:val="00357D45"/>
    <w:rsid w:val="00357E8B"/>
    <w:rsid w:val="003604BF"/>
    <w:rsid w:val="00360599"/>
    <w:rsid w:val="003605AB"/>
    <w:rsid w:val="00360723"/>
    <w:rsid w:val="00360757"/>
    <w:rsid w:val="00360953"/>
    <w:rsid w:val="00360A01"/>
    <w:rsid w:val="00360CAF"/>
    <w:rsid w:val="00360CE9"/>
    <w:rsid w:val="00360D11"/>
    <w:rsid w:val="00360D22"/>
    <w:rsid w:val="00360FAA"/>
    <w:rsid w:val="003611FF"/>
    <w:rsid w:val="0036134B"/>
    <w:rsid w:val="00361379"/>
    <w:rsid w:val="003614F0"/>
    <w:rsid w:val="00361596"/>
    <w:rsid w:val="003615D0"/>
    <w:rsid w:val="0036161C"/>
    <w:rsid w:val="0036172A"/>
    <w:rsid w:val="003617EE"/>
    <w:rsid w:val="00361A45"/>
    <w:rsid w:val="00361B71"/>
    <w:rsid w:val="00361BCA"/>
    <w:rsid w:val="00361C18"/>
    <w:rsid w:val="0036203E"/>
    <w:rsid w:val="003620F7"/>
    <w:rsid w:val="0036230B"/>
    <w:rsid w:val="003624CF"/>
    <w:rsid w:val="003625AE"/>
    <w:rsid w:val="0036278E"/>
    <w:rsid w:val="0036283E"/>
    <w:rsid w:val="00362A6A"/>
    <w:rsid w:val="00362A6D"/>
    <w:rsid w:val="00362CA0"/>
    <w:rsid w:val="00362DF2"/>
    <w:rsid w:val="00362F20"/>
    <w:rsid w:val="00362F34"/>
    <w:rsid w:val="00362F43"/>
    <w:rsid w:val="00362F9B"/>
    <w:rsid w:val="0036332D"/>
    <w:rsid w:val="003633C6"/>
    <w:rsid w:val="003633D1"/>
    <w:rsid w:val="003633D6"/>
    <w:rsid w:val="00363479"/>
    <w:rsid w:val="003634BC"/>
    <w:rsid w:val="003634E1"/>
    <w:rsid w:val="00363619"/>
    <w:rsid w:val="00363711"/>
    <w:rsid w:val="00363958"/>
    <w:rsid w:val="003639E7"/>
    <w:rsid w:val="00363C39"/>
    <w:rsid w:val="00363CEF"/>
    <w:rsid w:val="00363CF1"/>
    <w:rsid w:val="00363D1E"/>
    <w:rsid w:val="00363D36"/>
    <w:rsid w:val="00363D7D"/>
    <w:rsid w:val="00363DA9"/>
    <w:rsid w:val="00364113"/>
    <w:rsid w:val="00364129"/>
    <w:rsid w:val="003641B5"/>
    <w:rsid w:val="0036427B"/>
    <w:rsid w:val="003643E9"/>
    <w:rsid w:val="003645DE"/>
    <w:rsid w:val="003646DF"/>
    <w:rsid w:val="003646EC"/>
    <w:rsid w:val="00364726"/>
    <w:rsid w:val="00364740"/>
    <w:rsid w:val="003647BF"/>
    <w:rsid w:val="003647E1"/>
    <w:rsid w:val="00364977"/>
    <w:rsid w:val="00364BE9"/>
    <w:rsid w:val="00364C3B"/>
    <w:rsid w:val="00364DC6"/>
    <w:rsid w:val="00364E30"/>
    <w:rsid w:val="00364F27"/>
    <w:rsid w:val="00364FC2"/>
    <w:rsid w:val="00364FF0"/>
    <w:rsid w:val="00365183"/>
    <w:rsid w:val="00365290"/>
    <w:rsid w:val="003652B6"/>
    <w:rsid w:val="003652DF"/>
    <w:rsid w:val="003653F4"/>
    <w:rsid w:val="0036555C"/>
    <w:rsid w:val="003655C8"/>
    <w:rsid w:val="0036562D"/>
    <w:rsid w:val="003657C6"/>
    <w:rsid w:val="00365939"/>
    <w:rsid w:val="00365952"/>
    <w:rsid w:val="00365D11"/>
    <w:rsid w:val="00365FB7"/>
    <w:rsid w:val="0036609E"/>
    <w:rsid w:val="0036611F"/>
    <w:rsid w:val="00366172"/>
    <w:rsid w:val="003662AD"/>
    <w:rsid w:val="00366420"/>
    <w:rsid w:val="00366553"/>
    <w:rsid w:val="0036675D"/>
    <w:rsid w:val="003667E9"/>
    <w:rsid w:val="00366941"/>
    <w:rsid w:val="00366A37"/>
    <w:rsid w:val="00366B26"/>
    <w:rsid w:val="00366EE3"/>
    <w:rsid w:val="00366F58"/>
    <w:rsid w:val="00366F6A"/>
    <w:rsid w:val="0036710A"/>
    <w:rsid w:val="0036711D"/>
    <w:rsid w:val="00367253"/>
    <w:rsid w:val="003672E1"/>
    <w:rsid w:val="003673B7"/>
    <w:rsid w:val="00367487"/>
    <w:rsid w:val="00367591"/>
    <w:rsid w:val="00367653"/>
    <w:rsid w:val="003677DD"/>
    <w:rsid w:val="0036796B"/>
    <w:rsid w:val="0036797A"/>
    <w:rsid w:val="00367B1E"/>
    <w:rsid w:val="00367D82"/>
    <w:rsid w:val="00367E04"/>
    <w:rsid w:val="00367E8B"/>
    <w:rsid w:val="00367F36"/>
    <w:rsid w:val="00367FE5"/>
    <w:rsid w:val="00370422"/>
    <w:rsid w:val="0037061C"/>
    <w:rsid w:val="00370887"/>
    <w:rsid w:val="00370C9E"/>
    <w:rsid w:val="00370CD7"/>
    <w:rsid w:val="00370CF2"/>
    <w:rsid w:val="00370E2B"/>
    <w:rsid w:val="00370EC7"/>
    <w:rsid w:val="00371004"/>
    <w:rsid w:val="0037101C"/>
    <w:rsid w:val="003712A8"/>
    <w:rsid w:val="00371438"/>
    <w:rsid w:val="00371B2F"/>
    <w:rsid w:val="00371C1F"/>
    <w:rsid w:val="00371C91"/>
    <w:rsid w:val="00371D24"/>
    <w:rsid w:val="00371D52"/>
    <w:rsid w:val="00371E44"/>
    <w:rsid w:val="00371EE4"/>
    <w:rsid w:val="00371F4E"/>
    <w:rsid w:val="0037203D"/>
    <w:rsid w:val="0037207F"/>
    <w:rsid w:val="003721E3"/>
    <w:rsid w:val="003721F1"/>
    <w:rsid w:val="003722C8"/>
    <w:rsid w:val="0037238E"/>
    <w:rsid w:val="003724A9"/>
    <w:rsid w:val="00372570"/>
    <w:rsid w:val="0037269E"/>
    <w:rsid w:val="00372816"/>
    <w:rsid w:val="003728D3"/>
    <w:rsid w:val="0037294E"/>
    <w:rsid w:val="00372AF0"/>
    <w:rsid w:val="00372C79"/>
    <w:rsid w:val="00372CA6"/>
    <w:rsid w:val="00372DB9"/>
    <w:rsid w:val="0037315B"/>
    <w:rsid w:val="003732A6"/>
    <w:rsid w:val="0037340B"/>
    <w:rsid w:val="0037341B"/>
    <w:rsid w:val="0037353D"/>
    <w:rsid w:val="00373624"/>
    <w:rsid w:val="003736E9"/>
    <w:rsid w:val="003738B2"/>
    <w:rsid w:val="00373B71"/>
    <w:rsid w:val="00373D25"/>
    <w:rsid w:val="00373E34"/>
    <w:rsid w:val="00373E5C"/>
    <w:rsid w:val="00373F2E"/>
    <w:rsid w:val="00373F87"/>
    <w:rsid w:val="00374144"/>
    <w:rsid w:val="0037435A"/>
    <w:rsid w:val="0037464F"/>
    <w:rsid w:val="0037467C"/>
    <w:rsid w:val="0037474C"/>
    <w:rsid w:val="00374AFC"/>
    <w:rsid w:val="00374C2E"/>
    <w:rsid w:val="00374C4A"/>
    <w:rsid w:val="00374D5E"/>
    <w:rsid w:val="00374E29"/>
    <w:rsid w:val="00374EA5"/>
    <w:rsid w:val="00374ED1"/>
    <w:rsid w:val="0037505F"/>
    <w:rsid w:val="003751AD"/>
    <w:rsid w:val="00375280"/>
    <w:rsid w:val="0037531A"/>
    <w:rsid w:val="00375436"/>
    <w:rsid w:val="0037548F"/>
    <w:rsid w:val="0037559E"/>
    <w:rsid w:val="0037561F"/>
    <w:rsid w:val="003757DC"/>
    <w:rsid w:val="00375811"/>
    <w:rsid w:val="00375815"/>
    <w:rsid w:val="003758DE"/>
    <w:rsid w:val="003759BD"/>
    <w:rsid w:val="00375BF3"/>
    <w:rsid w:val="00375C5C"/>
    <w:rsid w:val="00375C97"/>
    <w:rsid w:val="00375E6D"/>
    <w:rsid w:val="003760F4"/>
    <w:rsid w:val="0037630E"/>
    <w:rsid w:val="00376346"/>
    <w:rsid w:val="00376358"/>
    <w:rsid w:val="00376540"/>
    <w:rsid w:val="00376553"/>
    <w:rsid w:val="00376596"/>
    <w:rsid w:val="0037661C"/>
    <w:rsid w:val="00376B54"/>
    <w:rsid w:val="00376B60"/>
    <w:rsid w:val="00376C66"/>
    <w:rsid w:val="00376E86"/>
    <w:rsid w:val="00376F09"/>
    <w:rsid w:val="003771C9"/>
    <w:rsid w:val="00377243"/>
    <w:rsid w:val="003772D4"/>
    <w:rsid w:val="0037732E"/>
    <w:rsid w:val="00377855"/>
    <w:rsid w:val="00377B7C"/>
    <w:rsid w:val="00377CD1"/>
    <w:rsid w:val="00377DC9"/>
    <w:rsid w:val="00377F3D"/>
    <w:rsid w:val="0038016A"/>
    <w:rsid w:val="0038019F"/>
    <w:rsid w:val="003802A6"/>
    <w:rsid w:val="003807E1"/>
    <w:rsid w:val="00380855"/>
    <w:rsid w:val="00380BF1"/>
    <w:rsid w:val="00380C1F"/>
    <w:rsid w:val="00380C30"/>
    <w:rsid w:val="00380F73"/>
    <w:rsid w:val="00381031"/>
    <w:rsid w:val="003810B1"/>
    <w:rsid w:val="003811AF"/>
    <w:rsid w:val="0038159E"/>
    <w:rsid w:val="003816B6"/>
    <w:rsid w:val="003817E4"/>
    <w:rsid w:val="00381DF9"/>
    <w:rsid w:val="00381FDB"/>
    <w:rsid w:val="00381FFC"/>
    <w:rsid w:val="003821F8"/>
    <w:rsid w:val="003822D8"/>
    <w:rsid w:val="00382349"/>
    <w:rsid w:val="003823CA"/>
    <w:rsid w:val="0038241C"/>
    <w:rsid w:val="0038245F"/>
    <w:rsid w:val="003826EA"/>
    <w:rsid w:val="0038296E"/>
    <w:rsid w:val="00382B12"/>
    <w:rsid w:val="00382B40"/>
    <w:rsid w:val="00382B5A"/>
    <w:rsid w:val="003831B5"/>
    <w:rsid w:val="00383253"/>
    <w:rsid w:val="00383439"/>
    <w:rsid w:val="00383466"/>
    <w:rsid w:val="0038351C"/>
    <w:rsid w:val="0038353E"/>
    <w:rsid w:val="00383820"/>
    <w:rsid w:val="00383AEE"/>
    <w:rsid w:val="00383B90"/>
    <w:rsid w:val="00383B96"/>
    <w:rsid w:val="00383D59"/>
    <w:rsid w:val="00383FE7"/>
    <w:rsid w:val="00383FFA"/>
    <w:rsid w:val="003840B2"/>
    <w:rsid w:val="003840D5"/>
    <w:rsid w:val="0038410A"/>
    <w:rsid w:val="003844D8"/>
    <w:rsid w:val="00384684"/>
    <w:rsid w:val="003846FE"/>
    <w:rsid w:val="003847CA"/>
    <w:rsid w:val="0038482C"/>
    <w:rsid w:val="0038495C"/>
    <w:rsid w:val="00384971"/>
    <w:rsid w:val="00384986"/>
    <w:rsid w:val="00384AB5"/>
    <w:rsid w:val="00384DCB"/>
    <w:rsid w:val="00384E60"/>
    <w:rsid w:val="00384F06"/>
    <w:rsid w:val="003850CC"/>
    <w:rsid w:val="00385146"/>
    <w:rsid w:val="00385489"/>
    <w:rsid w:val="003854C7"/>
    <w:rsid w:val="0038551A"/>
    <w:rsid w:val="0038559C"/>
    <w:rsid w:val="00385808"/>
    <w:rsid w:val="0038582C"/>
    <w:rsid w:val="00385BF3"/>
    <w:rsid w:val="00385C6F"/>
    <w:rsid w:val="00385F1D"/>
    <w:rsid w:val="00385F29"/>
    <w:rsid w:val="00385F98"/>
    <w:rsid w:val="00386085"/>
    <w:rsid w:val="00386146"/>
    <w:rsid w:val="003865F5"/>
    <w:rsid w:val="00386603"/>
    <w:rsid w:val="00386769"/>
    <w:rsid w:val="003867D5"/>
    <w:rsid w:val="0038691E"/>
    <w:rsid w:val="00386BF6"/>
    <w:rsid w:val="00386CEF"/>
    <w:rsid w:val="00386E93"/>
    <w:rsid w:val="00386F32"/>
    <w:rsid w:val="003870A2"/>
    <w:rsid w:val="00387235"/>
    <w:rsid w:val="00387680"/>
    <w:rsid w:val="0038779D"/>
    <w:rsid w:val="00387807"/>
    <w:rsid w:val="0038795E"/>
    <w:rsid w:val="00387C5A"/>
    <w:rsid w:val="00387C8B"/>
    <w:rsid w:val="00387D74"/>
    <w:rsid w:val="00387FB0"/>
    <w:rsid w:val="00387FC5"/>
    <w:rsid w:val="00390062"/>
    <w:rsid w:val="00390132"/>
    <w:rsid w:val="00390184"/>
    <w:rsid w:val="003904BA"/>
    <w:rsid w:val="00390506"/>
    <w:rsid w:val="00390542"/>
    <w:rsid w:val="00390601"/>
    <w:rsid w:val="0039063F"/>
    <w:rsid w:val="00390663"/>
    <w:rsid w:val="00390689"/>
    <w:rsid w:val="003906C7"/>
    <w:rsid w:val="0039084C"/>
    <w:rsid w:val="00390930"/>
    <w:rsid w:val="00390D5A"/>
    <w:rsid w:val="00390E86"/>
    <w:rsid w:val="00390F1A"/>
    <w:rsid w:val="00391074"/>
    <w:rsid w:val="003910BD"/>
    <w:rsid w:val="0039136E"/>
    <w:rsid w:val="003917A8"/>
    <w:rsid w:val="003919AA"/>
    <w:rsid w:val="003919CD"/>
    <w:rsid w:val="003919D1"/>
    <w:rsid w:val="00391C32"/>
    <w:rsid w:val="00391D2F"/>
    <w:rsid w:val="0039240D"/>
    <w:rsid w:val="00392413"/>
    <w:rsid w:val="003924B2"/>
    <w:rsid w:val="003925A4"/>
    <w:rsid w:val="003926C2"/>
    <w:rsid w:val="0039284B"/>
    <w:rsid w:val="0039286A"/>
    <w:rsid w:val="00392899"/>
    <w:rsid w:val="0039292C"/>
    <w:rsid w:val="0039298A"/>
    <w:rsid w:val="00392996"/>
    <w:rsid w:val="00392A51"/>
    <w:rsid w:val="00392AAE"/>
    <w:rsid w:val="00392C18"/>
    <w:rsid w:val="00392DEB"/>
    <w:rsid w:val="00392F42"/>
    <w:rsid w:val="00392F61"/>
    <w:rsid w:val="00392FA7"/>
    <w:rsid w:val="00393055"/>
    <w:rsid w:val="00393154"/>
    <w:rsid w:val="00393222"/>
    <w:rsid w:val="00393312"/>
    <w:rsid w:val="003935C2"/>
    <w:rsid w:val="0039362C"/>
    <w:rsid w:val="0039373E"/>
    <w:rsid w:val="00393755"/>
    <w:rsid w:val="00393835"/>
    <w:rsid w:val="00393872"/>
    <w:rsid w:val="003938DB"/>
    <w:rsid w:val="00393AE5"/>
    <w:rsid w:val="00393B90"/>
    <w:rsid w:val="00393D7E"/>
    <w:rsid w:val="00393E08"/>
    <w:rsid w:val="00393E18"/>
    <w:rsid w:val="00394032"/>
    <w:rsid w:val="00394102"/>
    <w:rsid w:val="003943DB"/>
    <w:rsid w:val="00394449"/>
    <w:rsid w:val="003944FE"/>
    <w:rsid w:val="003945CE"/>
    <w:rsid w:val="0039469C"/>
    <w:rsid w:val="003946A2"/>
    <w:rsid w:val="00394724"/>
    <w:rsid w:val="00394A32"/>
    <w:rsid w:val="00394DCE"/>
    <w:rsid w:val="00394DD1"/>
    <w:rsid w:val="00394E43"/>
    <w:rsid w:val="003951D1"/>
    <w:rsid w:val="003952BF"/>
    <w:rsid w:val="00395492"/>
    <w:rsid w:val="0039555F"/>
    <w:rsid w:val="00395679"/>
    <w:rsid w:val="00395768"/>
    <w:rsid w:val="003957E3"/>
    <w:rsid w:val="003958D7"/>
    <w:rsid w:val="00395AFA"/>
    <w:rsid w:val="00395B03"/>
    <w:rsid w:val="00395B65"/>
    <w:rsid w:val="00395C7B"/>
    <w:rsid w:val="00395CDF"/>
    <w:rsid w:val="00395D77"/>
    <w:rsid w:val="00395F88"/>
    <w:rsid w:val="00396104"/>
    <w:rsid w:val="0039627B"/>
    <w:rsid w:val="00396451"/>
    <w:rsid w:val="003964BC"/>
    <w:rsid w:val="003966FB"/>
    <w:rsid w:val="00396A34"/>
    <w:rsid w:val="00396CA9"/>
    <w:rsid w:val="00396D5D"/>
    <w:rsid w:val="00396D6D"/>
    <w:rsid w:val="00396E8D"/>
    <w:rsid w:val="00397092"/>
    <w:rsid w:val="003970C8"/>
    <w:rsid w:val="00397597"/>
    <w:rsid w:val="003976B0"/>
    <w:rsid w:val="003977EF"/>
    <w:rsid w:val="003979E2"/>
    <w:rsid w:val="00397A99"/>
    <w:rsid w:val="00397CF5"/>
    <w:rsid w:val="00397F8D"/>
    <w:rsid w:val="003A033F"/>
    <w:rsid w:val="003A0398"/>
    <w:rsid w:val="003A03E7"/>
    <w:rsid w:val="003A04CD"/>
    <w:rsid w:val="003A06F9"/>
    <w:rsid w:val="003A0755"/>
    <w:rsid w:val="003A0818"/>
    <w:rsid w:val="003A0965"/>
    <w:rsid w:val="003A0B64"/>
    <w:rsid w:val="003A0C46"/>
    <w:rsid w:val="003A0F22"/>
    <w:rsid w:val="003A0FA1"/>
    <w:rsid w:val="003A124E"/>
    <w:rsid w:val="003A12D9"/>
    <w:rsid w:val="003A1635"/>
    <w:rsid w:val="003A1637"/>
    <w:rsid w:val="003A168E"/>
    <w:rsid w:val="003A17AC"/>
    <w:rsid w:val="003A1848"/>
    <w:rsid w:val="003A1998"/>
    <w:rsid w:val="003A1C6B"/>
    <w:rsid w:val="003A1DAD"/>
    <w:rsid w:val="003A1E07"/>
    <w:rsid w:val="003A1E61"/>
    <w:rsid w:val="003A1F7F"/>
    <w:rsid w:val="003A2031"/>
    <w:rsid w:val="003A2124"/>
    <w:rsid w:val="003A21C8"/>
    <w:rsid w:val="003A241E"/>
    <w:rsid w:val="003A2475"/>
    <w:rsid w:val="003A28ED"/>
    <w:rsid w:val="003A2904"/>
    <w:rsid w:val="003A2AFE"/>
    <w:rsid w:val="003A2B34"/>
    <w:rsid w:val="003A2C13"/>
    <w:rsid w:val="003A336D"/>
    <w:rsid w:val="003A352D"/>
    <w:rsid w:val="003A35B1"/>
    <w:rsid w:val="003A35EB"/>
    <w:rsid w:val="003A3797"/>
    <w:rsid w:val="003A3798"/>
    <w:rsid w:val="003A3C17"/>
    <w:rsid w:val="003A3C51"/>
    <w:rsid w:val="003A3DC4"/>
    <w:rsid w:val="003A3DF0"/>
    <w:rsid w:val="003A40F3"/>
    <w:rsid w:val="003A4166"/>
    <w:rsid w:val="003A4281"/>
    <w:rsid w:val="003A432A"/>
    <w:rsid w:val="003A43C2"/>
    <w:rsid w:val="003A4456"/>
    <w:rsid w:val="003A4818"/>
    <w:rsid w:val="003A48B7"/>
    <w:rsid w:val="003A48CE"/>
    <w:rsid w:val="003A4B6B"/>
    <w:rsid w:val="003A4C66"/>
    <w:rsid w:val="003A4E1D"/>
    <w:rsid w:val="003A4EF3"/>
    <w:rsid w:val="003A4FEB"/>
    <w:rsid w:val="003A500B"/>
    <w:rsid w:val="003A512F"/>
    <w:rsid w:val="003A5185"/>
    <w:rsid w:val="003A51F5"/>
    <w:rsid w:val="003A5368"/>
    <w:rsid w:val="003A5408"/>
    <w:rsid w:val="003A5436"/>
    <w:rsid w:val="003A543A"/>
    <w:rsid w:val="003A5522"/>
    <w:rsid w:val="003A553A"/>
    <w:rsid w:val="003A554B"/>
    <w:rsid w:val="003A5627"/>
    <w:rsid w:val="003A5795"/>
    <w:rsid w:val="003A57A8"/>
    <w:rsid w:val="003A5B03"/>
    <w:rsid w:val="003A5B2A"/>
    <w:rsid w:val="003A5D33"/>
    <w:rsid w:val="003A5D52"/>
    <w:rsid w:val="003A5FCE"/>
    <w:rsid w:val="003A6325"/>
    <w:rsid w:val="003A647A"/>
    <w:rsid w:val="003A64C5"/>
    <w:rsid w:val="003A650B"/>
    <w:rsid w:val="003A6565"/>
    <w:rsid w:val="003A65A7"/>
    <w:rsid w:val="003A66F2"/>
    <w:rsid w:val="003A6738"/>
    <w:rsid w:val="003A6893"/>
    <w:rsid w:val="003A689A"/>
    <w:rsid w:val="003A6AF7"/>
    <w:rsid w:val="003A6BBE"/>
    <w:rsid w:val="003A6CF4"/>
    <w:rsid w:val="003A717E"/>
    <w:rsid w:val="003A743C"/>
    <w:rsid w:val="003A7574"/>
    <w:rsid w:val="003A7611"/>
    <w:rsid w:val="003A77B5"/>
    <w:rsid w:val="003A7947"/>
    <w:rsid w:val="003A7C12"/>
    <w:rsid w:val="003A7CC4"/>
    <w:rsid w:val="003A7D07"/>
    <w:rsid w:val="003A7E4A"/>
    <w:rsid w:val="003A7E6F"/>
    <w:rsid w:val="003B00A2"/>
    <w:rsid w:val="003B00AA"/>
    <w:rsid w:val="003B00BF"/>
    <w:rsid w:val="003B02B6"/>
    <w:rsid w:val="003B047C"/>
    <w:rsid w:val="003B05A1"/>
    <w:rsid w:val="003B068E"/>
    <w:rsid w:val="003B06B7"/>
    <w:rsid w:val="003B06CA"/>
    <w:rsid w:val="003B0753"/>
    <w:rsid w:val="003B0D25"/>
    <w:rsid w:val="003B0DE7"/>
    <w:rsid w:val="003B0F25"/>
    <w:rsid w:val="003B0F31"/>
    <w:rsid w:val="003B0FB4"/>
    <w:rsid w:val="003B116C"/>
    <w:rsid w:val="003B1175"/>
    <w:rsid w:val="003B1440"/>
    <w:rsid w:val="003B1621"/>
    <w:rsid w:val="003B1630"/>
    <w:rsid w:val="003B18F1"/>
    <w:rsid w:val="003B1B69"/>
    <w:rsid w:val="003B1CAE"/>
    <w:rsid w:val="003B1D14"/>
    <w:rsid w:val="003B1DEC"/>
    <w:rsid w:val="003B1F11"/>
    <w:rsid w:val="003B2046"/>
    <w:rsid w:val="003B2054"/>
    <w:rsid w:val="003B222F"/>
    <w:rsid w:val="003B2282"/>
    <w:rsid w:val="003B2295"/>
    <w:rsid w:val="003B2345"/>
    <w:rsid w:val="003B2593"/>
    <w:rsid w:val="003B276B"/>
    <w:rsid w:val="003B27ED"/>
    <w:rsid w:val="003B2867"/>
    <w:rsid w:val="003B2B63"/>
    <w:rsid w:val="003B2B93"/>
    <w:rsid w:val="003B2C09"/>
    <w:rsid w:val="003B2E51"/>
    <w:rsid w:val="003B2F25"/>
    <w:rsid w:val="003B3068"/>
    <w:rsid w:val="003B3105"/>
    <w:rsid w:val="003B3112"/>
    <w:rsid w:val="003B3135"/>
    <w:rsid w:val="003B31D7"/>
    <w:rsid w:val="003B323B"/>
    <w:rsid w:val="003B3249"/>
    <w:rsid w:val="003B326D"/>
    <w:rsid w:val="003B3374"/>
    <w:rsid w:val="003B33FD"/>
    <w:rsid w:val="003B3410"/>
    <w:rsid w:val="003B3665"/>
    <w:rsid w:val="003B38C6"/>
    <w:rsid w:val="003B39CF"/>
    <w:rsid w:val="003B3A14"/>
    <w:rsid w:val="003B3A7C"/>
    <w:rsid w:val="003B3A91"/>
    <w:rsid w:val="003B3AE2"/>
    <w:rsid w:val="003B3C3E"/>
    <w:rsid w:val="003B3CA0"/>
    <w:rsid w:val="003B3CA9"/>
    <w:rsid w:val="003B3E8A"/>
    <w:rsid w:val="003B3EA6"/>
    <w:rsid w:val="003B3F22"/>
    <w:rsid w:val="003B3F4A"/>
    <w:rsid w:val="003B4097"/>
    <w:rsid w:val="003B4153"/>
    <w:rsid w:val="003B4388"/>
    <w:rsid w:val="003B453B"/>
    <w:rsid w:val="003B45CA"/>
    <w:rsid w:val="003B4632"/>
    <w:rsid w:val="003B4638"/>
    <w:rsid w:val="003B4798"/>
    <w:rsid w:val="003B4859"/>
    <w:rsid w:val="003B4A7C"/>
    <w:rsid w:val="003B4BCF"/>
    <w:rsid w:val="003B4C4F"/>
    <w:rsid w:val="003B4CEE"/>
    <w:rsid w:val="003B4DD0"/>
    <w:rsid w:val="003B4EBD"/>
    <w:rsid w:val="003B5113"/>
    <w:rsid w:val="003B519A"/>
    <w:rsid w:val="003B51CB"/>
    <w:rsid w:val="003B5447"/>
    <w:rsid w:val="003B560E"/>
    <w:rsid w:val="003B56E1"/>
    <w:rsid w:val="003B586E"/>
    <w:rsid w:val="003B5981"/>
    <w:rsid w:val="003B59FC"/>
    <w:rsid w:val="003B5AC5"/>
    <w:rsid w:val="003B5CE0"/>
    <w:rsid w:val="003B5EDC"/>
    <w:rsid w:val="003B6000"/>
    <w:rsid w:val="003B6040"/>
    <w:rsid w:val="003B61F8"/>
    <w:rsid w:val="003B6332"/>
    <w:rsid w:val="003B6462"/>
    <w:rsid w:val="003B647A"/>
    <w:rsid w:val="003B66A9"/>
    <w:rsid w:val="003B67B4"/>
    <w:rsid w:val="003B6827"/>
    <w:rsid w:val="003B688A"/>
    <w:rsid w:val="003B69BA"/>
    <w:rsid w:val="003B6A4A"/>
    <w:rsid w:val="003B6AE1"/>
    <w:rsid w:val="003B6BBB"/>
    <w:rsid w:val="003B6BD2"/>
    <w:rsid w:val="003B6CC3"/>
    <w:rsid w:val="003B70D2"/>
    <w:rsid w:val="003B714C"/>
    <w:rsid w:val="003B721F"/>
    <w:rsid w:val="003B7691"/>
    <w:rsid w:val="003B76FA"/>
    <w:rsid w:val="003B7787"/>
    <w:rsid w:val="003B7799"/>
    <w:rsid w:val="003B7954"/>
    <w:rsid w:val="003B7B06"/>
    <w:rsid w:val="003B7C77"/>
    <w:rsid w:val="003B7DFD"/>
    <w:rsid w:val="003B7F11"/>
    <w:rsid w:val="003B7F6A"/>
    <w:rsid w:val="003B7F9B"/>
    <w:rsid w:val="003B7F9E"/>
    <w:rsid w:val="003B7FD7"/>
    <w:rsid w:val="003C030B"/>
    <w:rsid w:val="003C03FA"/>
    <w:rsid w:val="003C043C"/>
    <w:rsid w:val="003C04F1"/>
    <w:rsid w:val="003C0573"/>
    <w:rsid w:val="003C067F"/>
    <w:rsid w:val="003C0692"/>
    <w:rsid w:val="003C0698"/>
    <w:rsid w:val="003C06DA"/>
    <w:rsid w:val="003C0773"/>
    <w:rsid w:val="003C0828"/>
    <w:rsid w:val="003C0BEA"/>
    <w:rsid w:val="003C0FEE"/>
    <w:rsid w:val="003C100E"/>
    <w:rsid w:val="003C1170"/>
    <w:rsid w:val="003C125F"/>
    <w:rsid w:val="003C12F2"/>
    <w:rsid w:val="003C132A"/>
    <w:rsid w:val="003C134F"/>
    <w:rsid w:val="003C1359"/>
    <w:rsid w:val="003C140C"/>
    <w:rsid w:val="003C154D"/>
    <w:rsid w:val="003C15A0"/>
    <w:rsid w:val="003C15AC"/>
    <w:rsid w:val="003C165A"/>
    <w:rsid w:val="003C1829"/>
    <w:rsid w:val="003C1AD2"/>
    <w:rsid w:val="003C1B3B"/>
    <w:rsid w:val="003C1BBC"/>
    <w:rsid w:val="003C1CA4"/>
    <w:rsid w:val="003C1CEE"/>
    <w:rsid w:val="003C1DB0"/>
    <w:rsid w:val="003C1F36"/>
    <w:rsid w:val="003C20B1"/>
    <w:rsid w:val="003C21F7"/>
    <w:rsid w:val="003C2294"/>
    <w:rsid w:val="003C23F1"/>
    <w:rsid w:val="003C2455"/>
    <w:rsid w:val="003C2795"/>
    <w:rsid w:val="003C27B5"/>
    <w:rsid w:val="003C2853"/>
    <w:rsid w:val="003C28E1"/>
    <w:rsid w:val="003C292D"/>
    <w:rsid w:val="003C2A54"/>
    <w:rsid w:val="003C2A92"/>
    <w:rsid w:val="003C2B21"/>
    <w:rsid w:val="003C2BFC"/>
    <w:rsid w:val="003C2C28"/>
    <w:rsid w:val="003C2CE1"/>
    <w:rsid w:val="003C3098"/>
    <w:rsid w:val="003C37F0"/>
    <w:rsid w:val="003C38A0"/>
    <w:rsid w:val="003C3A32"/>
    <w:rsid w:val="003C3AC7"/>
    <w:rsid w:val="003C3BC8"/>
    <w:rsid w:val="003C3D06"/>
    <w:rsid w:val="003C3F30"/>
    <w:rsid w:val="003C3F9F"/>
    <w:rsid w:val="003C3FE1"/>
    <w:rsid w:val="003C4220"/>
    <w:rsid w:val="003C4306"/>
    <w:rsid w:val="003C4395"/>
    <w:rsid w:val="003C4535"/>
    <w:rsid w:val="003C4568"/>
    <w:rsid w:val="003C45B9"/>
    <w:rsid w:val="003C4648"/>
    <w:rsid w:val="003C4C84"/>
    <w:rsid w:val="003C4D6C"/>
    <w:rsid w:val="003C4E76"/>
    <w:rsid w:val="003C4F6C"/>
    <w:rsid w:val="003C514A"/>
    <w:rsid w:val="003C517F"/>
    <w:rsid w:val="003C52F2"/>
    <w:rsid w:val="003C538B"/>
    <w:rsid w:val="003C550D"/>
    <w:rsid w:val="003C5753"/>
    <w:rsid w:val="003C588F"/>
    <w:rsid w:val="003C5B3E"/>
    <w:rsid w:val="003C5E78"/>
    <w:rsid w:val="003C5E81"/>
    <w:rsid w:val="003C6146"/>
    <w:rsid w:val="003C6217"/>
    <w:rsid w:val="003C62AA"/>
    <w:rsid w:val="003C62B4"/>
    <w:rsid w:val="003C6444"/>
    <w:rsid w:val="003C65F2"/>
    <w:rsid w:val="003C661E"/>
    <w:rsid w:val="003C67C5"/>
    <w:rsid w:val="003C6BCD"/>
    <w:rsid w:val="003C6BFB"/>
    <w:rsid w:val="003C6C3B"/>
    <w:rsid w:val="003C6E32"/>
    <w:rsid w:val="003C72E1"/>
    <w:rsid w:val="003C73C9"/>
    <w:rsid w:val="003C7481"/>
    <w:rsid w:val="003C748D"/>
    <w:rsid w:val="003C77FD"/>
    <w:rsid w:val="003C78A5"/>
    <w:rsid w:val="003C7B53"/>
    <w:rsid w:val="003C7BE9"/>
    <w:rsid w:val="003C7F2F"/>
    <w:rsid w:val="003D0065"/>
    <w:rsid w:val="003D00E0"/>
    <w:rsid w:val="003D03A9"/>
    <w:rsid w:val="003D03CB"/>
    <w:rsid w:val="003D049A"/>
    <w:rsid w:val="003D04A5"/>
    <w:rsid w:val="003D04E4"/>
    <w:rsid w:val="003D04FA"/>
    <w:rsid w:val="003D0559"/>
    <w:rsid w:val="003D0573"/>
    <w:rsid w:val="003D0709"/>
    <w:rsid w:val="003D0B7D"/>
    <w:rsid w:val="003D0BD9"/>
    <w:rsid w:val="003D0C65"/>
    <w:rsid w:val="003D0F58"/>
    <w:rsid w:val="003D102E"/>
    <w:rsid w:val="003D11BC"/>
    <w:rsid w:val="003D146E"/>
    <w:rsid w:val="003D1776"/>
    <w:rsid w:val="003D1779"/>
    <w:rsid w:val="003D17CB"/>
    <w:rsid w:val="003D186C"/>
    <w:rsid w:val="003D19B5"/>
    <w:rsid w:val="003D19F2"/>
    <w:rsid w:val="003D1D00"/>
    <w:rsid w:val="003D1E70"/>
    <w:rsid w:val="003D1E71"/>
    <w:rsid w:val="003D1EAE"/>
    <w:rsid w:val="003D1ED2"/>
    <w:rsid w:val="003D1FDF"/>
    <w:rsid w:val="003D2353"/>
    <w:rsid w:val="003D24EA"/>
    <w:rsid w:val="003D2683"/>
    <w:rsid w:val="003D27C4"/>
    <w:rsid w:val="003D2B5D"/>
    <w:rsid w:val="003D2B97"/>
    <w:rsid w:val="003D2DD7"/>
    <w:rsid w:val="003D3069"/>
    <w:rsid w:val="003D30FC"/>
    <w:rsid w:val="003D32A7"/>
    <w:rsid w:val="003D3397"/>
    <w:rsid w:val="003D363B"/>
    <w:rsid w:val="003D383B"/>
    <w:rsid w:val="003D3C09"/>
    <w:rsid w:val="003D3D95"/>
    <w:rsid w:val="003D3E38"/>
    <w:rsid w:val="003D3F06"/>
    <w:rsid w:val="003D407D"/>
    <w:rsid w:val="003D4298"/>
    <w:rsid w:val="003D429B"/>
    <w:rsid w:val="003D4486"/>
    <w:rsid w:val="003D45B2"/>
    <w:rsid w:val="003D46DD"/>
    <w:rsid w:val="003D4727"/>
    <w:rsid w:val="003D4733"/>
    <w:rsid w:val="003D48E8"/>
    <w:rsid w:val="003D4AE8"/>
    <w:rsid w:val="003D4B92"/>
    <w:rsid w:val="003D4C25"/>
    <w:rsid w:val="003D4C96"/>
    <w:rsid w:val="003D4CEE"/>
    <w:rsid w:val="003D4F1F"/>
    <w:rsid w:val="003D4F84"/>
    <w:rsid w:val="003D522D"/>
    <w:rsid w:val="003D52C1"/>
    <w:rsid w:val="003D543F"/>
    <w:rsid w:val="003D54DE"/>
    <w:rsid w:val="003D5663"/>
    <w:rsid w:val="003D566B"/>
    <w:rsid w:val="003D56B6"/>
    <w:rsid w:val="003D56EA"/>
    <w:rsid w:val="003D57B6"/>
    <w:rsid w:val="003D59E7"/>
    <w:rsid w:val="003D5A06"/>
    <w:rsid w:val="003D5A19"/>
    <w:rsid w:val="003D5A55"/>
    <w:rsid w:val="003D5A7E"/>
    <w:rsid w:val="003D5A93"/>
    <w:rsid w:val="003D5AD6"/>
    <w:rsid w:val="003D5C94"/>
    <w:rsid w:val="003D5CAB"/>
    <w:rsid w:val="003D5E3A"/>
    <w:rsid w:val="003D5EFA"/>
    <w:rsid w:val="003D5F4E"/>
    <w:rsid w:val="003D616B"/>
    <w:rsid w:val="003D6345"/>
    <w:rsid w:val="003D66E6"/>
    <w:rsid w:val="003D67C0"/>
    <w:rsid w:val="003D6870"/>
    <w:rsid w:val="003D6897"/>
    <w:rsid w:val="003D6905"/>
    <w:rsid w:val="003D69AF"/>
    <w:rsid w:val="003D6A4A"/>
    <w:rsid w:val="003D6A8E"/>
    <w:rsid w:val="003D6C94"/>
    <w:rsid w:val="003D6D8F"/>
    <w:rsid w:val="003D6DCA"/>
    <w:rsid w:val="003D737F"/>
    <w:rsid w:val="003D7455"/>
    <w:rsid w:val="003D745D"/>
    <w:rsid w:val="003D7538"/>
    <w:rsid w:val="003D75AD"/>
    <w:rsid w:val="003D76E8"/>
    <w:rsid w:val="003D76FC"/>
    <w:rsid w:val="003D7813"/>
    <w:rsid w:val="003D7960"/>
    <w:rsid w:val="003D7AA0"/>
    <w:rsid w:val="003D7AE0"/>
    <w:rsid w:val="003D7C35"/>
    <w:rsid w:val="003D7CC5"/>
    <w:rsid w:val="003D7D43"/>
    <w:rsid w:val="003D7E53"/>
    <w:rsid w:val="003D7E9C"/>
    <w:rsid w:val="003D7ED4"/>
    <w:rsid w:val="003E004C"/>
    <w:rsid w:val="003E03EC"/>
    <w:rsid w:val="003E0415"/>
    <w:rsid w:val="003E04D1"/>
    <w:rsid w:val="003E0D8C"/>
    <w:rsid w:val="003E0EC0"/>
    <w:rsid w:val="003E109E"/>
    <w:rsid w:val="003E11D5"/>
    <w:rsid w:val="003E1230"/>
    <w:rsid w:val="003E13E1"/>
    <w:rsid w:val="003E1402"/>
    <w:rsid w:val="003E154F"/>
    <w:rsid w:val="003E15FE"/>
    <w:rsid w:val="003E1997"/>
    <w:rsid w:val="003E19D9"/>
    <w:rsid w:val="003E1A00"/>
    <w:rsid w:val="003E1BC9"/>
    <w:rsid w:val="003E1E99"/>
    <w:rsid w:val="003E1FA4"/>
    <w:rsid w:val="003E1FE6"/>
    <w:rsid w:val="003E2259"/>
    <w:rsid w:val="003E2277"/>
    <w:rsid w:val="003E24F1"/>
    <w:rsid w:val="003E2514"/>
    <w:rsid w:val="003E279F"/>
    <w:rsid w:val="003E2855"/>
    <w:rsid w:val="003E28F9"/>
    <w:rsid w:val="003E290E"/>
    <w:rsid w:val="003E2AAE"/>
    <w:rsid w:val="003E2AF9"/>
    <w:rsid w:val="003E2BB1"/>
    <w:rsid w:val="003E2CEE"/>
    <w:rsid w:val="003E2DEE"/>
    <w:rsid w:val="003E2FFC"/>
    <w:rsid w:val="003E3148"/>
    <w:rsid w:val="003E31BE"/>
    <w:rsid w:val="003E3271"/>
    <w:rsid w:val="003E3430"/>
    <w:rsid w:val="003E3636"/>
    <w:rsid w:val="003E3871"/>
    <w:rsid w:val="003E38A3"/>
    <w:rsid w:val="003E38D4"/>
    <w:rsid w:val="003E39CB"/>
    <w:rsid w:val="003E3F3E"/>
    <w:rsid w:val="003E406C"/>
    <w:rsid w:val="003E41BF"/>
    <w:rsid w:val="003E4224"/>
    <w:rsid w:val="003E449F"/>
    <w:rsid w:val="003E44D5"/>
    <w:rsid w:val="003E44EA"/>
    <w:rsid w:val="003E4519"/>
    <w:rsid w:val="003E45B7"/>
    <w:rsid w:val="003E45EB"/>
    <w:rsid w:val="003E46FB"/>
    <w:rsid w:val="003E486C"/>
    <w:rsid w:val="003E4A1A"/>
    <w:rsid w:val="003E4A88"/>
    <w:rsid w:val="003E4CA7"/>
    <w:rsid w:val="003E4CFD"/>
    <w:rsid w:val="003E4DEE"/>
    <w:rsid w:val="003E4E63"/>
    <w:rsid w:val="003E4E91"/>
    <w:rsid w:val="003E4F74"/>
    <w:rsid w:val="003E50B7"/>
    <w:rsid w:val="003E514A"/>
    <w:rsid w:val="003E524A"/>
    <w:rsid w:val="003E5273"/>
    <w:rsid w:val="003E52DB"/>
    <w:rsid w:val="003E5BB9"/>
    <w:rsid w:val="003E5DEF"/>
    <w:rsid w:val="003E5FAE"/>
    <w:rsid w:val="003E5FD5"/>
    <w:rsid w:val="003E610E"/>
    <w:rsid w:val="003E6160"/>
    <w:rsid w:val="003E6226"/>
    <w:rsid w:val="003E6245"/>
    <w:rsid w:val="003E6490"/>
    <w:rsid w:val="003E65F1"/>
    <w:rsid w:val="003E6A7F"/>
    <w:rsid w:val="003E6BF3"/>
    <w:rsid w:val="003E6C0D"/>
    <w:rsid w:val="003E6C64"/>
    <w:rsid w:val="003E75CF"/>
    <w:rsid w:val="003E76EB"/>
    <w:rsid w:val="003E77D7"/>
    <w:rsid w:val="003E7916"/>
    <w:rsid w:val="003E792E"/>
    <w:rsid w:val="003E7D8D"/>
    <w:rsid w:val="003E7E0E"/>
    <w:rsid w:val="003E7F0E"/>
    <w:rsid w:val="003E7F79"/>
    <w:rsid w:val="003E7F8E"/>
    <w:rsid w:val="003E7FE8"/>
    <w:rsid w:val="003F0134"/>
    <w:rsid w:val="003F0374"/>
    <w:rsid w:val="003F03C1"/>
    <w:rsid w:val="003F0483"/>
    <w:rsid w:val="003F05B8"/>
    <w:rsid w:val="003F06DA"/>
    <w:rsid w:val="003F08B0"/>
    <w:rsid w:val="003F095E"/>
    <w:rsid w:val="003F0B8B"/>
    <w:rsid w:val="003F0C07"/>
    <w:rsid w:val="003F0CF3"/>
    <w:rsid w:val="003F0DED"/>
    <w:rsid w:val="003F0F12"/>
    <w:rsid w:val="003F0F1A"/>
    <w:rsid w:val="003F0F80"/>
    <w:rsid w:val="003F0FDB"/>
    <w:rsid w:val="003F1349"/>
    <w:rsid w:val="003F18E8"/>
    <w:rsid w:val="003F19D3"/>
    <w:rsid w:val="003F1BF0"/>
    <w:rsid w:val="003F1E96"/>
    <w:rsid w:val="003F1F10"/>
    <w:rsid w:val="003F2166"/>
    <w:rsid w:val="003F225F"/>
    <w:rsid w:val="003F2392"/>
    <w:rsid w:val="003F23E1"/>
    <w:rsid w:val="003F23F3"/>
    <w:rsid w:val="003F2594"/>
    <w:rsid w:val="003F25D8"/>
    <w:rsid w:val="003F2638"/>
    <w:rsid w:val="003F2642"/>
    <w:rsid w:val="003F2740"/>
    <w:rsid w:val="003F2A50"/>
    <w:rsid w:val="003F2AA5"/>
    <w:rsid w:val="003F2B9E"/>
    <w:rsid w:val="003F2C8E"/>
    <w:rsid w:val="003F2CDD"/>
    <w:rsid w:val="003F2F06"/>
    <w:rsid w:val="003F2FA8"/>
    <w:rsid w:val="003F2FC7"/>
    <w:rsid w:val="003F30D1"/>
    <w:rsid w:val="003F34E8"/>
    <w:rsid w:val="003F37FE"/>
    <w:rsid w:val="003F386D"/>
    <w:rsid w:val="003F386F"/>
    <w:rsid w:val="003F3D92"/>
    <w:rsid w:val="003F3E7B"/>
    <w:rsid w:val="003F3EA9"/>
    <w:rsid w:val="003F3F52"/>
    <w:rsid w:val="003F3F74"/>
    <w:rsid w:val="003F42AD"/>
    <w:rsid w:val="003F43DA"/>
    <w:rsid w:val="003F43EA"/>
    <w:rsid w:val="003F4783"/>
    <w:rsid w:val="003F4784"/>
    <w:rsid w:val="003F49A1"/>
    <w:rsid w:val="003F4B96"/>
    <w:rsid w:val="003F4C3F"/>
    <w:rsid w:val="003F4CAF"/>
    <w:rsid w:val="003F4DA0"/>
    <w:rsid w:val="003F4DEA"/>
    <w:rsid w:val="003F4F77"/>
    <w:rsid w:val="003F4FA3"/>
    <w:rsid w:val="003F5152"/>
    <w:rsid w:val="003F5180"/>
    <w:rsid w:val="003F533A"/>
    <w:rsid w:val="003F55BE"/>
    <w:rsid w:val="003F579F"/>
    <w:rsid w:val="003F59B6"/>
    <w:rsid w:val="003F5C7C"/>
    <w:rsid w:val="003F5CC2"/>
    <w:rsid w:val="003F5E12"/>
    <w:rsid w:val="003F5E35"/>
    <w:rsid w:val="003F5F95"/>
    <w:rsid w:val="003F6036"/>
    <w:rsid w:val="003F619A"/>
    <w:rsid w:val="003F640C"/>
    <w:rsid w:val="003F6626"/>
    <w:rsid w:val="003F669B"/>
    <w:rsid w:val="003F6851"/>
    <w:rsid w:val="003F6976"/>
    <w:rsid w:val="003F6BF9"/>
    <w:rsid w:val="003F6D58"/>
    <w:rsid w:val="003F6D62"/>
    <w:rsid w:val="003F6EA1"/>
    <w:rsid w:val="003F7220"/>
    <w:rsid w:val="003F7348"/>
    <w:rsid w:val="003F73D8"/>
    <w:rsid w:val="003F7473"/>
    <w:rsid w:val="003F7536"/>
    <w:rsid w:val="003F767F"/>
    <w:rsid w:val="003F790D"/>
    <w:rsid w:val="003F7A7E"/>
    <w:rsid w:val="003F7B03"/>
    <w:rsid w:val="003F7B9B"/>
    <w:rsid w:val="003F7BD0"/>
    <w:rsid w:val="003F7C99"/>
    <w:rsid w:val="003F7C9F"/>
    <w:rsid w:val="003F7DCB"/>
    <w:rsid w:val="003F7EB7"/>
    <w:rsid w:val="003F7EEE"/>
    <w:rsid w:val="003F7F79"/>
    <w:rsid w:val="004001FC"/>
    <w:rsid w:val="00400317"/>
    <w:rsid w:val="0040035C"/>
    <w:rsid w:val="00400374"/>
    <w:rsid w:val="00400399"/>
    <w:rsid w:val="0040055A"/>
    <w:rsid w:val="00400658"/>
    <w:rsid w:val="00400755"/>
    <w:rsid w:val="0040090E"/>
    <w:rsid w:val="004009C3"/>
    <w:rsid w:val="004009C4"/>
    <w:rsid w:val="00400C74"/>
    <w:rsid w:val="00400DBE"/>
    <w:rsid w:val="00400F3C"/>
    <w:rsid w:val="00400FF8"/>
    <w:rsid w:val="00401471"/>
    <w:rsid w:val="00401536"/>
    <w:rsid w:val="0040182A"/>
    <w:rsid w:val="00401833"/>
    <w:rsid w:val="004019C5"/>
    <w:rsid w:val="00401E10"/>
    <w:rsid w:val="00401EB8"/>
    <w:rsid w:val="004023FA"/>
    <w:rsid w:val="00402439"/>
    <w:rsid w:val="004024CA"/>
    <w:rsid w:val="004025C7"/>
    <w:rsid w:val="00402630"/>
    <w:rsid w:val="004026DB"/>
    <w:rsid w:val="004028A2"/>
    <w:rsid w:val="00402BDF"/>
    <w:rsid w:val="00402E74"/>
    <w:rsid w:val="00402F89"/>
    <w:rsid w:val="00402FEC"/>
    <w:rsid w:val="00403018"/>
    <w:rsid w:val="004030BF"/>
    <w:rsid w:val="004030C9"/>
    <w:rsid w:val="00403586"/>
    <w:rsid w:val="004037FB"/>
    <w:rsid w:val="00403889"/>
    <w:rsid w:val="004038C2"/>
    <w:rsid w:val="004039D2"/>
    <w:rsid w:val="00403C86"/>
    <w:rsid w:val="00403DAA"/>
    <w:rsid w:val="00403E2F"/>
    <w:rsid w:val="0040416C"/>
    <w:rsid w:val="004041CE"/>
    <w:rsid w:val="004041DB"/>
    <w:rsid w:val="00404586"/>
    <w:rsid w:val="004047B0"/>
    <w:rsid w:val="0040486F"/>
    <w:rsid w:val="00404887"/>
    <w:rsid w:val="0040497E"/>
    <w:rsid w:val="00404988"/>
    <w:rsid w:val="004049D3"/>
    <w:rsid w:val="00404A7B"/>
    <w:rsid w:val="00404B9F"/>
    <w:rsid w:val="00404D6F"/>
    <w:rsid w:val="00404F85"/>
    <w:rsid w:val="00404FA9"/>
    <w:rsid w:val="004050DD"/>
    <w:rsid w:val="0040513C"/>
    <w:rsid w:val="00405160"/>
    <w:rsid w:val="004053E4"/>
    <w:rsid w:val="00405600"/>
    <w:rsid w:val="00405785"/>
    <w:rsid w:val="00405EAA"/>
    <w:rsid w:val="00405ECE"/>
    <w:rsid w:val="00406087"/>
    <w:rsid w:val="0040625C"/>
    <w:rsid w:val="004062AB"/>
    <w:rsid w:val="00406488"/>
    <w:rsid w:val="00406A9A"/>
    <w:rsid w:val="00406AAD"/>
    <w:rsid w:val="00406DE8"/>
    <w:rsid w:val="00406EBF"/>
    <w:rsid w:val="00406F35"/>
    <w:rsid w:val="00406F55"/>
    <w:rsid w:val="004071CE"/>
    <w:rsid w:val="004073AF"/>
    <w:rsid w:val="00407458"/>
    <w:rsid w:val="00407738"/>
    <w:rsid w:val="0040787F"/>
    <w:rsid w:val="0040789D"/>
    <w:rsid w:val="00407BEE"/>
    <w:rsid w:val="00407CC3"/>
    <w:rsid w:val="00407D99"/>
    <w:rsid w:val="00410248"/>
    <w:rsid w:val="0041029B"/>
    <w:rsid w:val="00410363"/>
    <w:rsid w:val="004103A2"/>
    <w:rsid w:val="004106BC"/>
    <w:rsid w:val="00410840"/>
    <w:rsid w:val="004108EF"/>
    <w:rsid w:val="00410A8C"/>
    <w:rsid w:val="00410D1F"/>
    <w:rsid w:val="00410DD6"/>
    <w:rsid w:val="00410E32"/>
    <w:rsid w:val="00410EBC"/>
    <w:rsid w:val="00411013"/>
    <w:rsid w:val="00411288"/>
    <w:rsid w:val="00411484"/>
    <w:rsid w:val="0041172E"/>
    <w:rsid w:val="0041182B"/>
    <w:rsid w:val="00411979"/>
    <w:rsid w:val="00411A50"/>
    <w:rsid w:val="00411B26"/>
    <w:rsid w:val="00411D36"/>
    <w:rsid w:val="00411D82"/>
    <w:rsid w:val="00411E95"/>
    <w:rsid w:val="0041202F"/>
    <w:rsid w:val="004120AD"/>
    <w:rsid w:val="00412121"/>
    <w:rsid w:val="004121FC"/>
    <w:rsid w:val="00412315"/>
    <w:rsid w:val="0041236B"/>
    <w:rsid w:val="00412575"/>
    <w:rsid w:val="00412608"/>
    <w:rsid w:val="00412620"/>
    <w:rsid w:val="0041264E"/>
    <w:rsid w:val="00412B9F"/>
    <w:rsid w:val="00412C4D"/>
    <w:rsid w:val="00412CB9"/>
    <w:rsid w:val="00412D39"/>
    <w:rsid w:val="00412E27"/>
    <w:rsid w:val="00413097"/>
    <w:rsid w:val="00413234"/>
    <w:rsid w:val="004133FB"/>
    <w:rsid w:val="00413659"/>
    <w:rsid w:val="004136C0"/>
    <w:rsid w:val="00413709"/>
    <w:rsid w:val="004138FA"/>
    <w:rsid w:val="00413AF4"/>
    <w:rsid w:val="00413BBF"/>
    <w:rsid w:val="00413BDF"/>
    <w:rsid w:val="00413C22"/>
    <w:rsid w:val="00413C75"/>
    <w:rsid w:val="00413CE5"/>
    <w:rsid w:val="00413D22"/>
    <w:rsid w:val="00413FAC"/>
    <w:rsid w:val="00414051"/>
    <w:rsid w:val="004140EA"/>
    <w:rsid w:val="0041424D"/>
    <w:rsid w:val="00414351"/>
    <w:rsid w:val="00414477"/>
    <w:rsid w:val="00414584"/>
    <w:rsid w:val="0041467A"/>
    <w:rsid w:val="00414698"/>
    <w:rsid w:val="0041474F"/>
    <w:rsid w:val="004147EB"/>
    <w:rsid w:val="00414858"/>
    <w:rsid w:val="004148F9"/>
    <w:rsid w:val="004149E2"/>
    <w:rsid w:val="004149F1"/>
    <w:rsid w:val="00414B88"/>
    <w:rsid w:val="00414CCF"/>
    <w:rsid w:val="00414CED"/>
    <w:rsid w:val="00414ED1"/>
    <w:rsid w:val="004150BD"/>
    <w:rsid w:val="0041526B"/>
    <w:rsid w:val="004152AD"/>
    <w:rsid w:val="004156ED"/>
    <w:rsid w:val="0041573D"/>
    <w:rsid w:val="00415787"/>
    <w:rsid w:val="00415850"/>
    <w:rsid w:val="004158D9"/>
    <w:rsid w:val="00415A4B"/>
    <w:rsid w:val="00415A56"/>
    <w:rsid w:val="00415A96"/>
    <w:rsid w:val="00415D23"/>
    <w:rsid w:val="00415D2E"/>
    <w:rsid w:val="00415D6A"/>
    <w:rsid w:val="00415D77"/>
    <w:rsid w:val="0041607A"/>
    <w:rsid w:val="00416095"/>
    <w:rsid w:val="004160CB"/>
    <w:rsid w:val="00416175"/>
    <w:rsid w:val="0041619B"/>
    <w:rsid w:val="004161F0"/>
    <w:rsid w:val="0041623F"/>
    <w:rsid w:val="00416477"/>
    <w:rsid w:val="00416846"/>
    <w:rsid w:val="004169B8"/>
    <w:rsid w:val="00416A1C"/>
    <w:rsid w:val="00416D9C"/>
    <w:rsid w:val="004171D7"/>
    <w:rsid w:val="004171EC"/>
    <w:rsid w:val="0041723E"/>
    <w:rsid w:val="0041726B"/>
    <w:rsid w:val="00417275"/>
    <w:rsid w:val="00417312"/>
    <w:rsid w:val="00417382"/>
    <w:rsid w:val="0041756C"/>
    <w:rsid w:val="0041757A"/>
    <w:rsid w:val="004175D3"/>
    <w:rsid w:val="00417665"/>
    <w:rsid w:val="00417705"/>
    <w:rsid w:val="00417856"/>
    <w:rsid w:val="004178AD"/>
    <w:rsid w:val="00417B49"/>
    <w:rsid w:val="00417C6E"/>
    <w:rsid w:val="00417CE5"/>
    <w:rsid w:val="00417DBA"/>
    <w:rsid w:val="00417F18"/>
    <w:rsid w:val="004201C0"/>
    <w:rsid w:val="00420266"/>
    <w:rsid w:val="00420390"/>
    <w:rsid w:val="004206D9"/>
    <w:rsid w:val="00420796"/>
    <w:rsid w:val="00420B27"/>
    <w:rsid w:val="00420B5C"/>
    <w:rsid w:val="00420CF2"/>
    <w:rsid w:val="00420EE0"/>
    <w:rsid w:val="00420EEE"/>
    <w:rsid w:val="00420F9F"/>
    <w:rsid w:val="0042122D"/>
    <w:rsid w:val="004212E8"/>
    <w:rsid w:val="00421489"/>
    <w:rsid w:val="00421600"/>
    <w:rsid w:val="0042183A"/>
    <w:rsid w:val="00421B08"/>
    <w:rsid w:val="00421BF7"/>
    <w:rsid w:val="00421DCD"/>
    <w:rsid w:val="00421E0D"/>
    <w:rsid w:val="00421EE8"/>
    <w:rsid w:val="0042208C"/>
    <w:rsid w:val="00422417"/>
    <w:rsid w:val="004224C9"/>
    <w:rsid w:val="00422719"/>
    <w:rsid w:val="00422780"/>
    <w:rsid w:val="00422A58"/>
    <w:rsid w:val="00422E46"/>
    <w:rsid w:val="00422E82"/>
    <w:rsid w:val="00422FAC"/>
    <w:rsid w:val="00423058"/>
    <w:rsid w:val="00423069"/>
    <w:rsid w:val="004232CC"/>
    <w:rsid w:val="0042343A"/>
    <w:rsid w:val="004235C2"/>
    <w:rsid w:val="0042372A"/>
    <w:rsid w:val="004238C0"/>
    <w:rsid w:val="00423964"/>
    <w:rsid w:val="00423B2A"/>
    <w:rsid w:val="00423B7E"/>
    <w:rsid w:val="004240F4"/>
    <w:rsid w:val="004241BA"/>
    <w:rsid w:val="0042421B"/>
    <w:rsid w:val="00424233"/>
    <w:rsid w:val="0042437F"/>
    <w:rsid w:val="004243CE"/>
    <w:rsid w:val="00424526"/>
    <w:rsid w:val="004247D8"/>
    <w:rsid w:val="00424811"/>
    <w:rsid w:val="00424991"/>
    <w:rsid w:val="00424BFE"/>
    <w:rsid w:val="00424C11"/>
    <w:rsid w:val="00424C4B"/>
    <w:rsid w:val="00424DC8"/>
    <w:rsid w:val="00425147"/>
    <w:rsid w:val="00425274"/>
    <w:rsid w:val="00425347"/>
    <w:rsid w:val="0042552E"/>
    <w:rsid w:val="00425C31"/>
    <w:rsid w:val="00425C43"/>
    <w:rsid w:val="00425D6D"/>
    <w:rsid w:val="00425DFC"/>
    <w:rsid w:val="00426122"/>
    <w:rsid w:val="00426208"/>
    <w:rsid w:val="004262F4"/>
    <w:rsid w:val="0042648C"/>
    <w:rsid w:val="00426641"/>
    <w:rsid w:val="004266C8"/>
    <w:rsid w:val="00426891"/>
    <w:rsid w:val="004268AE"/>
    <w:rsid w:val="004268D9"/>
    <w:rsid w:val="00426A59"/>
    <w:rsid w:val="00426A65"/>
    <w:rsid w:val="00426CCD"/>
    <w:rsid w:val="00426F49"/>
    <w:rsid w:val="00426FAB"/>
    <w:rsid w:val="00426FCC"/>
    <w:rsid w:val="004270EA"/>
    <w:rsid w:val="004275FE"/>
    <w:rsid w:val="004277F7"/>
    <w:rsid w:val="00427843"/>
    <w:rsid w:val="004278A1"/>
    <w:rsid w:val="00427977"/>
    <w:rsid w:val="00427A40"/>
    <w:rsid w:val="00427A75"/>
    <w:rsid w:val="00427ADF"/>
    <w:rsid w:val="00427B0A"/>
    <w:rsid w:val="00427BD9"/>
    <w:rsid w:val="00427D07"/>
    <w:rsid w:val="00427E9D"/>
    <w:rsid w:val="00427EE1"/>
    <w:rsid w:val="00427F41"/>
    <w:rsid w:val="00427FA4"/>
    <w:rsid w:val="00430005"/>
    <w:rsid w:val="0043010D"/>
    <w:rsid w:val="00430370"/>
    <w:rsid w:val="00430488"/>
    <w:rsid w:val="004305C1"/>
    <w:rsid w:val="004305C7"/>
    <w:rsid w:val="0043087C"/>
    <w:rsid w:val="004309A2"/>
    <w:rsid w:val="00430F12"/>
    <w:rsid w:val="004310BC"/>
    <w:rsid w:val="0043115D"/>
    <w:rsid w:val="0043135E"/>
    <w:rsid w:val="0043142F"/>
    <w:rsid w:val="004317FB"/>
    <w:rsid w:val="00431BA2"/>
    <w:rsid w:val="00431C1F"/>
    <w:rsid w:val="00431D27"/>
    <w:rsid w:val="00431D71"/>
    <w:rsid w:val="00431E20"/>
    <w:rsid w:val="00431EF4"/>
    <w:rsid w:val="00431FE1"/>
    <w:rsid w:val="00432576"/>
    <w:rsid w:val="00432667"/>
    <w:rsid w:val="00432762"/>
    <w:rsid w:val="004328AB"/>
    <w:rsid w:val="0043293A"/>
    <w:rsid w:val="00432B5B"/>
    <w:rsid w:val="00432C0F"/>
    <w:rsid w:val="00432C3E"/>
    <w:rsid w:val="00432DD2"/>
    <w:rsid w:val="00432FA1"/>
    <w:rsid w:val="00432FC7"/>
    <w:rsid w:val="004332E0"/>
    <w:rsid w:val="00433333"/>
    <w:rsid w:val="004334F7"/>
    <w:rsid w:val="00433581"/>
    <w:rsid w:val="004335DC"/>
    <w:rsid w:val="0043361B"/>
    <w:rsid w:val="004336AB"/>
    <w:rsid w:val="004336D0"/>
    <w:rsid w:val="00433770"/>
    <w:rsid w:val="004337B1"/>
    <w:rsid w:val="00433DE5"/>
    <w:rsid w:val="00433EA9"/>
    <w:rsid w:val="00433EB0"/>
    <w:rsid w:val="00433F0F"/>
    <w:rsid w:val="004340AA"/>
    <w:rsid w:val="00434352"/>
    <w:rsid w:val="0043436A"/>
    <w:rsid w:val="00434524"/>
    <w:rsid w:val="004345AA"/>
    <w:rsid w:val="0043480A"/>
    <w:rsid w:val="00434945"/>
    <w:rsid w:val="004349F7"/>
    <w:rsid w:val="00434A38"/>
    <w:rsid w:val="00434B89"/>
    <w:rsid w:val="00434CCF"/>
    <w:rsid w:val="00434E47"/>
    <w:rsid w:val="00434ECB"/>
    <w:rsid w:val="0043522C"/>
    <w:rsid w:val="0043526C"/>
    <w:rsid w:val="0043537A"/>
    <w:rsid w:val="00435462"/>
    <w:rsid w:val="00435756"/>
    <w:rsid w:val="00435776"/>
    <w:rsid w:val="004358A0"/>
    <w:rsid w:val="00435BDB"/>
    <w:rsid w:val="00435D84"/>
    <w:rsid w:val="00435E45"/>
    <w:rsid w:val="00436209"/>
    <w:rsid w:val="0043632B"/>
    <w:rsid w:val="004364BD"/>
    <w:rsid w:val="0043655E"/>
    <w:rsid w:val="004365B8"/>
    <w:rsid w:val="0043686E"/>
    <w:rsid w:val="0043696E"/>
    <w:rsid w:val="00436970"/>
    <w:rsid w:val="004369E2"/>
    <w:rsid w:val="00436A89"/>
    <w:rsid w:val="00436B51"/>
    <w:rsid w:val="00436B8E"/>
    <w:rsid w:val="00436EE9"/>
    <w:rsid w:val="00437017"/>
    <w:rsid w:val="00437139"/>
    <w:rsid w:val="00437159"/>
    <w:rsid w:val="00437243"/>
    <w:rsid w:val="004376F1"/>
    <w:rsid w:val="0043777D"/>
    <w:rsid w:val="004377AF"/>
    <w:rsid w:val="00437D42"/>
    <w:rsid w:val="00437DC7"/>
    <w:rsid w:val="00437E26"/>
    <w:rsid w:val="00437EA1"/>
    <w:rsid w:val="00437FE7"/>
    <w:rsid w:val="0044009C"/>
    <w:rsid w:val="00440401"/>
    <w:rsid w:val="004404AA"/>
    <w:rsid w:val="004406CF"/>
    <w:rsid w:val="004407D9"/>
    <w:rsid w:val="004409FE"/>
    <w:rsid w:val="00440AE2"/>
    <w:rsid w:val="00440B2F"/>
    <w:rsid w:val="00440BC9"/>
    <w:rsid w:val="00440BE2"/>
    <w:rsid w:val="00440C22"/>
    <w:rsid w:val="00440CBD"/>
    <w:rsid w:val="00440D31"/>
    <w:rsid w:val="00440F47"/>
    <w:rsid w:val="00440FA9"/>
    <w:rsid w:val="00440FFD"/>
    <w:rsid w:val="0044107D"/>
    <w:rsid w:val="00441251"/>
    <w:rsid w:val="004414E7"/>
    <w:rsid w:val="0044167A"/>
    <w:rsid w:val="00441724"/>
    <w:rsid w:val="00441884"/>
    <w:rsid w:val="0044190D"/>
    <w:rsid w:val="00441C44"/>
    <w:rsid w:val="00441C81"/>
    <w:rsid w:val="00441DA8"/>
    <w:rsid w:val="00441EDA"/>
    <w:rsid w:val="0044227A"/>
    <w:rsid w:val="0044236F"/>
    <w:rsid w:val="00442437"/>
    <w:rsid w:val="004424A9"/>
    <w:rsid w:val="0044252C"/>
    <w:rsid w:val="004429D4"/>
    <w:rsid w:val="00442BE8"/>
    <w:rsid w:val="00442C70"/>
    <w:rsid w:val="00442E3D"/>
    <w:rsid w:val="00442EAE"/>
    <w:rsid w:val="00442ECF"/>
    <w:rsid w:val="00442FBF"/>
    <w:rsid w:val="00443072"/>
    <w:rsid w:val="00443158"/>
    <w:rsid w:val="004431D1"/>
    <w:rsid w:val="004432B1"/>
    <w:rsid w:val="004434CB"/>
    <w:rsid w:val="004434D4"/>
    <w:rsid w:val="0044352F"/>
    <w:rsid w:val="00443546"/>
    <w:rsid w:val="004435CE"/>
    <w:rsid w:val="0044368C"/>
    <w:rsid w:val="0044369A"/>
    <w:rsid w:val="004439C9"/>
    <w:rsid w:val="00443A10"/>
    <w:rsid w:val="00443E29"/>
    <w:rsid w:val="0044414B"/>
    <w:rsid w:val="004443AB"/>
    <w:rsid w:val="004443AC"/>
    <w:rsid w:val="0044465C"/>
    <w:rsid w:val="004447E2"/>
    <w:rsid w:val="00444837"/>
    <w:rsid w:val="0044484A"/>
    <w:rsid w:val="0044489C"/>
    <w:rsid w:val="0044493F"/>
    <w:rsid w:val="00444B69"/>
    <w:rsid w:val="00444BA3"/>
    <w:rsid w:val="00444C97"/>
    <w:rsid w:val="00444DD4"/>
    <w:rsid w:val="00444E51"/>
    <w:rsid w:val="00444E6C"/>
    <w:rsid w:val="00444F4A"/>
    <w:rsid w:val="00444F7B"/>
    <w:rsid w:val="0044522F"/>
    <w:rsid w:val="00445303"/>
    <w:rsid w:val="004458F6"/>
    <w:rsid w:val="004459F1"/>
    <w:rsid w:val="00445B27"/>
    <w:rsid w:val="00445B4B"/>
    <w:rsid w:val="00445CB5"/>
    <w:rsid w:val="00445D5F"/>
    <w:rsid w:val="00445EDC"/>
    <w:rsid w:val="00445FE8"/>
    <w:rsid w:val="00446068"/>
    <w:rsid w:val="004464CD"/>
    <w:rsid w:val="0044671C"/>
    <w:rsid w:val="00446960"/>
    <w:rsid w:val="00446981"/>
    <w:rsid w:val="00446A0C"/>
    <w:rsid w:val="00446B70"/>
    <w:rsid w:val="00446C1D"/>
    <w:rsid w:val="00446D35"/>
    <w:rsid w:val="00446DBF"/>
    <w:rsid w:val="00447160"/>
    <w:rsid w:val="004471D4"/>
    <w:rsid w:val="00447347"/>
    <w:rsid w:val="00447375"/>
    <w:rsid w:val="004476E1"/>
    <w:rsid w:val="004477BC"/>
    <w:rsid w:val="004478AA"/>
    <w:rsid w:val="00447BBA"/>
    <w:rsid w:val="00447BC2"/>
    <w:rsid w:val="00447CED"/>
    <w:rsid w:val="00447E2D"/>
    <w:rsid w:val="0045004C"/>
    <w:rsid w:val="004500C1"/>
    <w:rsid w:val="00450254"/>
    <w:rsid w:val="0045031A"/>
    <w:rsid w:val="0045085A"/>
    <w:rsid w:val="00450BF1"/>
    <w:rsid w:val="00450CC2"/>
    <w:rsid w:val="00450D6C"/>
    <w:rsid w:val="00450DBC"/>
    <w:rsid w:val="00450DF5"/>
    <w:rsid w:val="00450E12"/>
    <w:rsid w:val="00450F1C"/>
    <w:rsid w:val="00450F7E"/>
    <w:rsid w:val="004511C3"/>
    <w:rsid w:val="0045127B"/>
    <w:rsid w:val="004513E1"/>
    <w:rsid w:val="00451443"/>
    <w:rsid w:val="0045171A"/>
    <w:rsid w:val="0045181B"/>
    <w:rsid w:val="004518F0"/>
    <w:rsid w:val="004519A0"/>
    <w:rsid w:val="00451A70"/>
    <w:rsid w:val="00451AB5"/>
    <w:rsid w:val="00451B6E"/>
    <w:rsid w:val="00451BDD"/>
    <w:rsid w:val="00451D66"/>
    <w:rsid w:val="00451DCC"/>
    <w:rsid w:val="00451ED8"/>
    <w:rsid w:val="004520C4"/>
    <w:rsid w:val="00452120"/>
    <w:rsid w:val="004521D9"/>
    <w:rsid w:val="004526A9"/>
    <w:rsid w:val="00452724"/>
    <w:rsid w:val="00452736"/>
    <w:rsid w:val="004529DF"/>
    <w:rsid w:val="00452AA6"/>
    <w:rsid w:val="00452AE6"/>
    <w:rsid w:val="00452B7B"/>
    <w:rsid w:val="00452C85"/>
    <w:rsid w:val="00452D41"/>
    <w:rsid w:val="00452F76"/>
    <w:rsid w:val="00453043"/>
    <w:rsid w:val="004530BB"/>
    <w:rsid w:val="0045316B"/>
    <w:rsid w:val="004532B6"/>
    <w:rsid w:val="004533F5"/>
    <w:rsid w:val="00453508"/>
    <w:rsid w:val="00453625"/>
    <w:rsid w:val="0045365B"/>
    <w:rsid w:val="0045369E"/>
    <w:rsid w:val="0045373D"/>
    <w:rsid w:val="00453AA3"/>
    <w:rsid w:val="00453B68"/>
    <w:rsid w:val="00453D17"/>
    <w:rsid w:val="00453D2A"/>
    <w:rsid w:val="00453ECF"/>
    <w:rsid w:val="00453F33"/>
    <w:rsid w:val="0045405B"/>
    <w:rsid w:val="0045410C"/>
    <w:rsid w:val="00454175"/>
    <w:rsid w:val="0045422E"/>
    <w:rsid w:val="00454232"/>
    <w:rsid w:val="004542A6"/>
    <w:rsid w:val="0045452C"/>
    <w:rsid w:val="0045495C"/>
    <w:rsid w:val="00454C72"/>
    <w:rsid w:val="00454F59"/>
    <w:rsid w:val="00455001"/>
    <w:rsid w:val="00455052"/>
    <w:rsid w:val="004550AA"/>
    <w:rsid w:val="004554EE"/>
    <w:rsid w:val="004555EC"/>
    <w:rsid w:val="00455674"/>
    <w:rsid w:val="004556FD"/>
    <w:rsid w:val="00455AD3"/>
    <w:rsid w:val="00455C18"/>
    <w:rsid w:val="00455E4A"/>
    <w:rsid w:val="00455EFA"/>
    <w:rsid w:val="00456008"/>
    <w:rsid w:val="00456061"/>
    <w:rsid w:val="0045617F"/>
    <w:rsid w:val="004562B2"/>
    <w:rsid w:val="004563B4"/>
    <w:rsid w:val="0045645C"/>
    <w:rsid w:val="0045662B"/>
    <w:rsid w:val="00456696"/>
    <w:rsid w:val="004566F8"/>
    <w:rsid w:val="00456C55"/>
    <w:rsid w:val="00456E4D"/>
    <w:rsid w:val="00456E55"/>
    <w:rsid w:val="00456F8A"/>
    <w:rsid w:val="004572B3"/>
    <w:rsid w:val="004574CE"/>
    <w:rsid w:val="004574EB"/>
    <w:rsid w:val="00457677"/>
    <w:rsid w:val="0045769D"/>
    <w:rsid w:val="004576D5"/>
    <w:rsid w:val="00457725"/>
    <w:rsid w:val="0045774F"/>
    <w:rsid w:val="00457A6E"/>
    <w:rsid w:val="00457A9A"/>
    <w:rsid w:val="00457AA0"/>
    <w:rsid w:val="00457AD2"/>
    <w:rsid w:val="00457AE6"/>
    <w:rsid w:val="00457C60"/>
    <w:rsid w:val="00457D29"/>
    <w:rsid w:val="00460200"/>
    <w:rsid w:val="00460366"/>
    <w:rsid w:val="0046041D"/>
    <w:rsid w:val="004607AA"/>
    <w:rsid w:val="004608B6"/>
    <w:rsid w:val="00460965"/>
    <w:rsid w:val="00460DB2"/>
    <w:rsid w:val="00460EB5"/>
    <w:rsid w:val="00460EE0"/>
    <w:rsid w:val="00460FD6"/>
    <w:rsid w:val="0046105C"/>
    <w:rsid w:val="00461259"/>
    <w:rsid w:val="004612EB"/>
    <w:rsid w:val="0046135D"/>
    <w:rsid w:val="00461465"/>
    <w:rsid w:val="004614BB"/>
    <w:rsid w:val="0046155E"/>
    <w:rsid w:val="004619C0"/>
    <w:rsid w:val="00461DA4"/>
    <w:rsid w:val="00461ECB"/>
    <w:rsid w:val="00461EF6"/>
    <w:rsid w:val="00462068"/>
    <w:rsid w:val="00462278"/>
    <w:rsid w:val="00462374"/>
    <w:rsid w:val="00462730"/>
    <w:rsid w:val="004627FD"/>
    <w:rsid w:val="00462967"/>
    <w:rsid w:val="004629F9"/>
    <w:rsid w:val="00462A64"/>
    <w:rsid w:val="00462A86"/>
    <w:rsid w:val="00462E48"/>
    <w:rsid w:val="00462FE0"/>
    <w:rsid w:val="00463000"/>
    <w:rsid w:val="00463273"/>
    <w:rsid w:val="00463407"/>
    <w:rsid w:val="0046344D"/>
    <w:rsid w:val="00463545"/>
    <w:rsid w:val="004638D1"/>
    <w:rsid w:val="00463974"/>
    <w:rsid w:val="004639AA"/>
    <w:rsid w:val="004639AE"/>
    <w:rsid w:val="00463A89"/>
    <w:rsid w:val="00463AFD"/>
    <w:rsid w:val="00463CD9"/>
    <w:rsid w:val="00463D08"/>
    <w:rsid w:val="00464033"/>
    <w:rsid w:val="004640B7"/>
    <w:rsid w:val="004640F8"/>
    <w:rsid w:val="0046418C"/>
    <w:rsid w:val="0046426D"/>
    <w:rsid w:val="0046444F"/>
    <w:rsid w:val="00464478"/>
    <w:rsid w:val="004644E2"/>
    <w:rsid w:val="00464669"/>
    <w:rsid w:val="004649F9"/>
    <w:rsid w:val="00464ABF"/>
    <w:rsid w:val="00464C14"/>
    <w:rsid w:val="00464DA1"/>
    <w:rsid w:val="00464E86"/>
    <w:rsid w:val="004651FB"/>
    <w:rsid w:val="00465224"/>
    <w:rsid w:val="0046579D"/>
    <w:rsid w:val="00465833"/>
    <w:rsid w:val="00465A9B"/>
    <w:rsid w:val="00465BB2"/>
    <w:rsid w:val="00465CEC"/>
    <w:rsid w:val="00465DCA"/>
    <w:rsid w:val="00465E08"/>
    <w:rsid w:val="00465EF8"/>
    <w:rsid w:val="0046608C"/>
    <w:rsid w:val="004661E5"/>
    <w:rsid w:val="0046622D"/>
    <w:rsid w:val="00466375"/>
    <w:rsid w:val="0046637D"/>
    <w:rsid w:val="00466620"/>
    <w:rsid w:val="0046678A"/>
    <w:rsid w:val="00466975"/>
    <w:rsid w:val="00466A47"/>
    <w:rsid w:val="00466B1C"/>
    <w:rsid w:val="00466BE0"/>
    <w:rsid w:val="00466E57"/>
    <w:rsid w:val="00466E61"/>
    <w:rsid w:val="00466FE6"/>
    <w:rsid w:val="00467209"/>
    <w:rsid w:val="00467288"/>
    <w:rsid w:val="00467500"/>
    <w:rsid w:val="004676B8"/>
    <w:rsid w:val="004678E9"/>
    <w:rsid w:val="00467C19"/>
    <w:rsid w:val="00467CF7"/>
    <w:rsid w:val="00467EB1"/>
    <w:rsid w:val="00467F2E"/>
    <w:rsid w:val="00470225"/>
    <w:rsid w:val="00470341"/>
    <w:rsid w:val="00470360"/>
    <w:rsid w:val="0047071A"/>
    <w:rsid w:val="0047073A"/>
    <w:rsid w:val="00470866"/>
    <w:rsid w:val="004709A8"/>
    <w:rsid w:val="00470C69"/>
    <w:rsid w:val="00470E26"/>
    <w:rsid w:val="00470F4D"/>
    <w:rsid w:val="0047117E"/>
    <w:rsid w:val="004712FB"/>
    <w:rsid w:val="00471308"/>
    <w:rsid w:val="004713CD"/>
    <w:rsid w:val="004713FC"/>
    <w:rsid w:val="00471416"/>
    <w:rsid w:val="00471526"/>
    <w:rsid w:val="00471546"/>
    <w:rsid w:val="00471578"/>
    <w:rsid w:val="00471697"/>
    <w:rsid w:val="004716AC"/>
    <w:rsid w:val="004716B0"/>
    <w:rsid w:val="0047199B"/>
    <w:rsid w:val="00471ABB"/>
    <w:rsid w:val="00471B18"/>
    <w:rsid w:val="00471B73"/>
    <w:rsid w:val="00471BB7"/>
    <w:rsid w:val="00471C09"/>
    <w:rsid w:val="00471C12"/>
    <w:rsid w:val="0047229D"/>
    <w:rsid w:val="0047232D"/>
    <w:rsid w:val="004725E1"/>
    <w:rsid w:val="00472644"/>
    <w:rsid w:val="00472A36"/>
    <w:rsid w:val="00472A52"/>
    <w:rsid w:val="00472A95"/>
    <w:rsid w:val="00472AFA"/>
    <w:rsid w:val="00472EFF"/>
    <w:rsid w:val="004730E6"/>
    <w:rsid w:val="00473147"/>
    <w:rsid w:val="0047318F"/>
    <w:rsid w:val="004733D8"/>
    <w:rsid w:val="004735FA"/>
    <w:rsid w:val="004736C5"/>
    <w:rsid w:val="00473736"/>
    <w:rsid w:val="004738BC"/>
    <w:rsid w:val="004738C7"/>
    <w:rsid w:val="00473A4A"/>
    <w:rsid w:val="00473B5E"/>
    <w:rsid w:val="00473B73"/>
    <w:rsid w:val="00473BEA"/>
    <w:rsid w:val="00473CF6"/>
    <w:rsid w:val="00473E7C"/>
    <w:rsid w:val="00473ECB"/>
    <w:rsid w:val="00474063"/>
    <w:rsid w:val="00474105"/>
    <w:rsid w:val="0047416D"/>
    <w:rsid w:val="004741F5"/>
    <w:rsid w:val="00474226"/>
    <w:rsid w:val="0047473E"/>
    <w:rsid w:val="0047480C"/>
    <w:rsid w:val="00474935"/>
    <w:rsid w:val="00474BCB"/>
    <w:rsid w:val="00474D83"/>
    <w:rsid w:val="00474E5E"/>
    <w:rsid w:val="00474EBD"/>
    <w:rsid w:val="00474FCE"/>
    <w:rsid w:val="004750EA"/>
    <w:rsid w:val="0047510C"/>
    <w:rsid w:val="004759B7"/>
    <w:rsid w:val="00475B54"/>
    <w:rsid w:val="00475DEF"/>
    <w:rsid w:val="004764BF"/>
    <w:rsid w:val="004765FB"/>
    <w:rsid w:val="0047670A"/>
    <w:rsid w:val="00476793"/>
    <w:rsid w:val="004768D3"/>
    <w:rsid w:val="004769CA"/>
    <w:rsid w:val="00476ADB"/>
    <w:rsid w:val="00476B8D"/>
    <w:rsid w:val="00476BCF"/>
    <w:rsid w:val="0047721C"/>
    <w:rsid w:val="00477228"/>
    <w:rsid w:val="00477245"/>
    <w:rsid w:val="00477298"/>
    <w:rsid w:val="004775FB"/>
    <w:rsid w:val="0047760F"/>
    <w:rsid w:val="00477703"/>
    <w:rsid w:val="00477A91"/>
    <w:rsid w:val="00477AB4"/>
    <w:rsid w:val="00477AC2"/>
    <w:rsid w:val="00477ADF"/>
    <w:rsid w:val="00477C4A"/>
    <w:rsid w:val="00477CAF"/>
    <w:rsid w:val="00477E6C"/>
    <w:rsid w:val="00477EA1"/>
    <w:rsid w:val="00477EB6"/>
    <w:rsid w:val="00477F8F"/>
    <w:rsid w:val="00480246"/>
    <w:rsid w:val="00480337"/>
    <w:rsid w:val="0048035D"/>
    <w:rsid w:val="00480520"/>
    <w:rsid w:val="0048057C"/>
    <w:rsid w:val="004805A9"/>
    <w:rsid w:val="00480627"/>
    <w:rsid w:val="0048069A"/>
    <w:rsid w:val="004808B7"/>
    <w:rsid w:val="00480A68"/>
    <w:rsid w:val="00480DAB"/>
    <w:rsid w:val="00480DBD"/>
    <w:rsid w:val="00480DC0"/>
    <w:rsid w:val="00480E33"/>
    <w:rsid w:val="004812D0"/>
    <w:rsid w:val="004813E8"/>
    <w:rsid w:val="004815E5"/>
    <w:rsid w:val="00481A0E"/>
    <w:rsid w:val="00481A70"/>
    <w:rsid w:val="00481B2A"/>
    <w:rsid w:val="00481D1F"/>
    <w:rsid w:val="00481D50"/>
    <w:rsid w:val="00481E0B"/>
    <w:rsid w:val="00481E65"/>
    <w:rsid w:val="00481E94"/>
    <w:rsid w:val="00482091"/>
    <w:rsid w:val="004820FE"/>
    <w:rsid w:val="0048227F"/>
    <w:rsid w:val="0048236F"/>
    <w:rsid w:val="00482596"/>
    <w:rsid w:val="00482630"/>
    <w:rsid w:val="0048265B"/>
    <w:rsid w:val="004828B3"/>
    <w:rsid w:val="00482987"/>
    <w:rsid w:val="004829F4"/>
    <w:rsid w:val="00482A4C"/>
    <w:rsid w:val="00482CA7"/>
    <w:rsid w:val="00482DC5"/>
    <w:rsid w:val="0048314C"/>
    <w:rsid w:val="00483287"/>
    <w:rsid w:val="004833BF"/>
    <w:rsid w:val="004835A1"/>
    <w:rsid w:val="004837F1"/>
    <w:rsid w:val="00483ADC"/>
    <w:rsid w:val="00483B2F"/>
    <w:rsid w:val="00483B9F"/>
    <w:rsid w:val="00483BD0"/>
    <w:rsid w:val="00483F8C"/>
    <w:rsid w:val="0048400C"/>
    <w:rsid w:val="0048425D"/>
    <w:rsid w:val="00484698"/>
    <w:rsid w:val="004847AC"/>
    <w:rsid w:val="004849A1"/>
    <w:rsid w:val="00484DA4"/>
    <w:rsid w:val="00484F70"/>
    <w:rsid w:val="00484FEE"/>
    <w:rsid w:val="00485013"/>
    <w:rsid w:val="004851BF"/>
    <w:rsid w:val="00485236"/>
    <w:rsid w:val="00485280"/>
    <w:rsid w:val="004852BE"/>
    <w:rsid w:val="004852C9"/>
    <w:rsid w:val="0048534A"/>
    <w:rsid w:val="0048549F"/>
    <w:rsid w:val="004855B9"/>
    <w:rsid w:val="0048593F"/>
    <w:rsid w:val="00485948"/>
    <w:rsid w:val="004859BB"/>
    <w:rsid w:val="004859DE"/>
    <w:rsid w:val="00485D8E"/>
    <w:rsid w:val="00485E55"/>
    <w:rsid w:val="004860B0"/>
    <w:rsid w:val="004860B2"/>
    <w:rsid w:val="00486242"/>
    <w:rsid w:val="004862AE"/>
    <w:rsid w:val="004862EC"/>
    <w:rsid w:val="00486559"/>
    <w:rsid w:val="004866C0"/>
    <w:rsid w:val="00486909"/>
    <w:rsid w:val="00486B6F"/>
    <w:rsid w:val="00486B7C"/>
    <w:rsid w:val="00486BA6"/>
    <w:rsid w:val="00486BA8"/>
    <w:rsid w:val="00486C24"/>
    <w:rsid w:val="00486C85"/>
    <w:rsid w:val="00486F84"/>
    <w:rsid w:val="00487094"/>
    <w:rsid w:val="004870FA"/>
    <w:rsid w:val="004871FF"/>
    <w:rsid w:val="004872A7"/>
    <w:rsid w:val="00487568"/>
    <w:rsid w:val="0048774B"/>
    <w:rsid w:val="004878CD"/>
    <w:rsid w:val="0048790D"/>
    <w:rsid w:val="004879C9"/>
    <w:rsid w:val="004879F7"/>
    <w:rsid w:val="00487C4D"/>
    <w:rsid w:val="00487CD4"/>
    <w:rsid w:val="00487F05"/>
    <w:rsid w:val="00490106"/>
    <w:rsid w:val="004902D0"/>
    <w:rsid w:val="004902DF"/>
    <w:rsid w:val="004902F3"/>
    <w:rsid w:val="0049035E"/>
    <w:rsid w:val="004903C7"/>
    <w:rsid w:val="00490654"/>
    <w:rsid w:val="00490765"/>
    <w:rsid w:val="004908C0"/>
    <w:rsid w:val="004908C9"/>
    <w:rsid w:val="00490949"/>
    <w:rsid w:val="00490A4D"/>
    <w:rsid w:val="00490A6D"/>
    <w:rsid w:val="00490A7D"/>
    <w:rsid w:val="00490A95"/>
    <w:rsid w:val="00490AF9"/>
    <w:rsid w:val="00490DF0"/>
    <w:rsid w:val="00490EA3"/>
    <w:rsid w:val="0049119D"/>
    <w:rsid w:val="004912DF"/>
    <w:rsid w:val="00491308"/>
    <w:rsid w:val="00491352"/>
    <w:rsid w:val="00491354"/>
    <w:rsid w:val="00491355"/>
    <w:rsid w:val="004913E5"/>
    <w:rsid w:val="004914A0"/>
    <w:rsid w:val="0049160B"/>
    <w:rsid w:val="00491762"/>
    <w:rsid w:val="0049176B"/>
    <w:rsid w:val="00491830"/>
    <w:rsid w:val="0049192C"/>
    <w:rsid w:val="004919FB"/>
    <w:rsid w:val="00491BBA"/>
    <w:rsid w:val="00491CA2"/>
    <w:rsid w:val="00491DE5"/>
    <w:rsid w:val="00491E93"/>
    <w:rsid w:val="00491EB7"/>
    <w:rsid w:val="00492084"/>
    <w:rsid w:val="0049219C"/>
    <w:rsid w:val="004923ED"/>
    <w:rsid w:val="0049252E"/>
    <w:rsid w:val="004925A6"/>
    <w:rsid w:val="00492674"/>
    <w:rsid w:val="004926B4"/>
    <w:rsid w:val="0049293D"/>
    <w:rsid w:val="00492B6A"/>
    <w:rsid w:val="00492BF9"/>
    <w:rsid w:val="00492E7F"/>
    <w:rsid w:val="00492F36"/>
    <w:rsid w:val="00493053"/>
    <w:rsid w:val="004932E7"/>
    <w:rsid w:val="004933A1"/>
    <w:rsid w:val="0049341B"/>
    <w:rsid w:val="00493608"/>
    <w:rsid w:val="00493623"/>
    <w:rsid w:val="0049366B"/>
    <w:rsid w:val="00493826"/>
    <w:rsid w:val="00493964"/>
    <w:rsid w:val="00493A34"/>
    <w:rsid w:val="00493B6E"/>
    <w:rsid w:val="00493C38"/>
    <w:rsid w:val="004940F0"/>
    <w:rsid w:val="004942A7"/>
    <w:rsid w:val="004942E3"/>
    <w:rsid w:val="00494332"/>
    <w:rsid w:val="00494352"/>
    <w:rsid w:val="004943C1"/>
    <w:rsid w:val="004945C3"/>
    <w:rsid w:val="004947B0"/>
    <w:rsid w:val="00494AAE"/>
    <w:rsid w:val="00494AE2"/>
    <w:rsid w:val="00494C03"/>
    <w:rsid w:val="00494CC3"/>
    <w:rsid w:val="00494D1F"/>
    <w:rsid w:val="00494F25"/>
    <w:rsid w:val="00494F8C"/>
    <w:rsid w:val="004951FB"/>
    <w:rsid w:val="00495445"/>
    <w:rsid w:val="00495542"/>
    <w:rsid w:val="0049577E"/>
    <w:rsid w:val="004957A7"/>
    <w:rsid w:val="0049580D"/>
    <w:rsid w:val="00495A16"/>
    <w:rsid w:val="00495AA3"/>
    <w:rsid w:val="00495B54"/>
    <w:rsid w:val="00495DB8"/>
    <w:rsid w:val="00495FCD"/>
    <w:rsid w:val="00496135"/>
    <w:rsid w:val="00496196"/>
    <w:rsid w:val="004961A7"/>
    <w:rsid w:val="00496266"/>
    <w:rsid w:val="0049627B"/>
    <w:rsid w:val="00496298"/>
    <w:rsid w:val="00496379"/>
    <w:rsid w:val="004963D7"/>
    <w:rsid w:val="0049642C"/>
    <w:rsid w:val="004965E2"/>
    <w:rsid w:val="004967A9"/>
    <w:rsid w:val="004967D2"/>
    <w:rsid w:val="004969E2"/>
    <w:rsid w:val="00497006"/>
    <w:rsid w:val="0049715F"/>
    <w:rsid w:val="00497215"/>
    <w:rsid w:val="0049722B"/>
    <w:rsid w:val="004972B1"/>
    <w:rsid w:val="004972F3"/>
    <w:rsid w:val="0049743F"/>
    <w:rsid w:val="00497809"/>
    <w:rsid w:val="0049783A"/>
    <w:rsid w:val="00497975"/>
    <w:rsid w:val="00497A60"/>
    <w:rsid w:val="00497AFF"/>
    <w:rsid w:val="00497C72"/>
    <w:rsid w:val="00497E09"/>
    <w:rsid w:val="00497EDF"/>
    <w:rsid w:val="00497FF2"/>
    <w:rsid w:val="004A0064"/>
    <w:rsid w:val="004A05E9"/>
    <w:rsid w:val="004A06C5"/>
    <w:rsid w:val="004A0791"/>
    <w:rsid w:val="004A08E2"/>
    <w:rsid w:val="004A09C8"/>
    <w:rsid w:val="004A0B66"/>
    <w:rsid w:val="004A0BA9"/>
    <w:rsid w:val="004A0C88"/>
    <w:rsid w:val="004A0CEC"/>
    <w:rsid w:val="004A0DBE"/>
    <w:rsid w:val="004A0EB3"/>
    <w:rsid w:val="004A0F17"/>
    <w:rsid w:val="004A0FD4"/>
    <w:rsid w:val="004A10AD"/>
    <w:rsid w:val="004A11D0"/>
    <w:rsid w:val="004A187B"/>
    <w:rsid w:val="004A1CA5"/>
    <w:rsid w:val="004A1EA1"/>
    <w:rsid w:val="004A211C"/>
    <w:rsid w:val="004A2472"/>
    <w:rsid w:val="004A24A5"/>
    <w:rsid w:val="004A28AF"/>
    <w:rsid w:val="004A2A64"/>
    <w:rsid w:val="004A2D3C"/>
    <w:rsid w:val="004A30B5"/>
    <w:rsid w:val="004A30B7"/>
    <w:rsid w:val="004A3444"/>
    <w:rsid w:val="004A3708"/>
    <w:rsid w:val="004A3766"/>
    <w:rsid w:val="004A3834"/>
    <w:rsid w:val="004A39AB"/>
    <w:rsid w:val="004A3AB4"/>
    <w:rsid w:val="004A3B54"/>
    <w:rsid w:val="004A3D28"/>
    <w:rsid w:val="004A3DEB"/>
    <w:rsid w:val="004A3E75"/>
    <w:rsid w:val="004A426F"/>
    <w:rsid w:val="004A4495"/>
    <w:rsid w:val="004A4597"/>
    <w:rsid w:val="004A45E0"/>
    <w:rsid w:val="004A46C3"/>
    <w:rsid w:val="004A470D"/>
    <w:rsid w:val="004A4B6F"/>
    <w:rsid w:val="004A4C0A"/>
    <w:rsid w:val="004A4CBB"/>
    <w:rsid w:val="004A5021"/>
    <w:rsid w:val="004A5138"/>
    <w:rsid w:val="004A5195"/>
    <w:rsid w:val="004A52C3"/>
    <w:rsid w:val="004A531C"/>
    <w:rsid w:val="004A532E"/>
    <w:rsid w:val="004A56AA"/>
    <w:rsid w:val="004A594F"/>
    <w:rsid w:val="004A5D94"/>
    <w:rsid w:val="004A5E7D"/>
    <w:rsid w:val="004A5F73"/>
    <w:rsid w:val="004A5F90"/>
    <w:rsid w:val="004A61C5"/>
    <w:rsid w:val="004A6469"/>
    <w:rsid w:val="004A647B"/>
    <w:rsid w:val="004A651E"/>
    <w:rsid w:val="004A670F"/>
    <w:rsid w:val="004A6716"/>
    <w:rsid w:val="004A675A"/>
    <w:rsid w:val="004A67F1"/>
    <w:rsid w:val="004A694E"/>
    <w:rsid w:val="004A6E6F"/>
    <w:rsid w:val="004A6E89"/>
    <w:rsid w:val="004A6F82"/>
    <w:rsid w:val="004A7079"/>
    <w:rsid w:val="004A7558"/>
    <w:rsid w:val="004A76A9"/>
    <w:rsid w:val="004A76F5"/>
    <w:rsid w:val="004A76F8"/>
    <w:rsid w:val="004A7728"/>
    <w:rsid w:val="004A7CE1"/>
    <w:rsid w:val="004A7DE4"/>
    <w:rsid w:val="004B007A"/>
    <w:rsid w:val="004B02B1"/>
    <w:rsid w:val="004B02BC"/>
    <w:rsid w:val="004B0393"/>
    <w:rsid w:val="004B039C"/>
    <w:rsid w:val="004B05CE"/>
    <w:rsid w:val="004B0622"/>
    <w:rsid w:val="004B07B6"/>
    <w:rsid w:val="004B0F4B"/>
    <w:rsid w:val="004B0F6D"/>
    <w:rsid w:val="004B1185"/>
    <w:rsid w:val="004B11D1"/>
    <w:rsid w:val="004B11E4"/>
    <w:rsid w:val="004B120D"/>
    <w:rsid w:val="004B1247"/>
    <w:rsid w:val="004B1517"/>
    <w:rsid w:val="004B1682"/>
    <w:rsid w:val="004B16FB"/>
    <w:rsid w:val="004B19B6"/>
    <w:rsid w:val="004B1CC6"/>
    <w:rsid w:val="004B1CD8"/>
    <w:rsid w:val="004B1D01"/>
    <w:rsid w:val="004B1D1E"/>
    <w:rsid w:val="004B1EC7"/>
    <w:rsid w:val="004B204C"/>
    <w:rsid w:val="004B20B0"/>
    <w:rsid w:val="004B22BF"/>
    <w:rsid w:val="004B2369"/>
    <w:rsid w:val="004B2440"/>
    <w:rsid w:val="004B260A"/>
    <w:rsid w:val="004B2653"/>
    <w:rsid w:val="004B28EA"/>
    <w:rsid w:val="004B29F6"/>
    <w:rsid w:val="004B2A1A"/>
    <w:rsid w:val="004B2A76"/>
    <w:rsid w:val="004B2AA5"/>
    <w:rsid w:val="004B2B8B"/>
    <w:rsid w:val="004B2C32"/>
    <w:rsid w:val="004B2D43"/>
    <w:rsid w:val="004B2D55"/>
    <w:rsid w:val="004B2D65"/>
    <w:rsid w:val="004B2F73"/>
    <w:rsid w:val="004B2FB1"/>
    <w:rsid w:val="004B3050"/>
    <w:rsid w:val="004B328E"/>
    <w:rsid w:val="004B32CE"/>
    <w:rsid w:val="004B3364"/>
    <w:rsid w:val="004B33CF"/>
    <w:rsid w:val="004B3811"/>
    <w:rsid w:val="004B38C4"/>
    <w:rsid w:val="004B3B2B"/>
    <w:rsid w:val="004B3B42"/>
    <w:rsid w:val="004B3BAB"/>
    <w:rsid w:val="004B3BB0"/>
    <w:rsid w:val="004B3DBC"/>
    <w:rsid w:val="004B3DD4"/>
    <w:rsid w:val="004B446A"/>
    <w:rsid w:val="004B463A"/>
    <w:rsid w:val="004B4B40"/>
    <w:rsid w:val="004B56BD"/>
    <w:rsid w:val="004B58F8"/>
    <w:rsid w:val="004B59F8"/>
    <w:rsid w:val="004B5A0A"/>
    <w:rsid w:val="004B5A69"/>
    <w:rsid w:val="004B5B0B"/>
    <w:rsid w:val="004B5B27"/>
    <w:rsid w:val="004B5BF4"/>
    <w:rsid w:val="004B5CEA"/>
    <w:rsid w:val="004B5D27"/>
    <w:rsid w:val="004B5D37"/>
    <w:rsid w:val="004B5D76"/>
    <w:rsid w:val="004B5F5C"/>
    <w:rsid w:val="004B60BB"/>
    <w:rsid w:val="004B62B4"/>
    <w:rsid w:val="004B646E"/>
    <w:rsid w:val="004B648D"/>
    <w:rsid w:val="004B648E"/>
    <w:rsid w:val="004B6770"/>
    <w:rsid w:val="004B686C"/>
    <w:rsid w:val="004B6876"/>
    <w:rsid w:val="004B687C"/>
    <w:rsid w:val="004B6936"/>
    <w:rsid w:val="004B6A30"/>
    <w:rsid w:val="004B6C33"/>
    <w:rsid w:val="004B6C47"/>
    <w:rsid w:val="004B6C6E"/>
    <w:rsid w:val="004B6D4B"/>
    <w:rsid w:val="004B6D77"/>
    <w:rsid w:val="004B6DDA"/>
    <w:rsid w:val="004B6DEA"/>
    <w:rsid w:val="004B7129"/>
    <w:rsid w:val="004B713A"/>
    <w:rsid w:val="004B7327"/>
    <w:rsid w:val="004B7397"/>
    <w:rsid w:val="004B749B"/>
    <w:rsid w:val="004B76BB"/>
    <w:rsid w:val="004B7770"/>
    <w:rsid w:val="004B7834"/>
    <w:rsid w:val="004B79CE"/>
    <w:rsid w:val="004B7B36"/>
    <w:rsid w:val="004B7C9A"/>
    <w:rsid w:val="004B7CA3"/>
    <w:rsid w:val="004B7D6E"/>
    <w:rsid w:val="004B7DD1"/>
    <w:rsid w:val="004B7E0E"/>
    <w:rsid w:val="004B7E88"/>
    <w:rsid w:val="004B7F14"/>
    <w:rsid w:val="004C00C9"/>
    <w:rsid w:val="004C02D9"/>
    <w:rsid w:val="004C03E9"/>
    <w:rsid w:val="004C041C"/>
    <w:rsid w:val="004C0A68"/>
    <w:rsid w:val="004C0BBC"/>
    <w:rsid w:val="004C0C18"/>
    <w:rsid w:val="004C0E69"/>
    <w:rsid w:val="004C10AF"/>
    <w:rsid w:val="004C1149"/>
    <w:rsid w:val="004C1153"/>
    <w:rsid w:val="004C11B7"/>
    <w:rsid w:val="004C1268"/>
    <w:rsid w:val="004C1422"/>
    <w:rsid w:val="004C1436"/>
    <w:rsid w:val="004C15C0"/>
    <w:rsid w:val="004C1686"/>
    <w:rsid w:val="004C18F4"/>
    <w:rsid w:val="004C190D"/>
    <w:rsid w:val="004C1923"/>
    <w:rsid w:val="004C1940"/>
    <w:rsid w:val="004C1949"/>
    <w:rsid w:val="004C1989"/>
    <w:rsid w:val="004C1AC3"/>
    <w:rsid w:val="004C1AF5"/>
    <w:rsid w:val="004C1B4D"/>
    <w:rsid w:val="004C1BEC"/>
    <w:rsid w:val="004C1C43"/>
    <w:rsid w:val="004C2035"/>
    <w:rsid w:val="004C28A7"/>
    <w:rsid w:val="004C2942"/>
    <w:rsid w:val="004C2966"/>
    <w:rsid w:val="004C2B7D"/>
    <w:rsid w:val="004C2D3A"/>
    <w:rsid w:val="004C2D78"/>
    <w:rsid w:val="004C31DB"/>
    <w:rsid w:val="004C322C"/>
    <w:rsid w:val="004C32AA"/>
    <w:rsid w:val="004C3507"/>
    <w:rsid w:val="004C35DE"/>
    <w:rsid w:val="004C3766"/>
    <w:rsid w:val="004C3925"/>
    <w:rsid w:val="004C3A9E"/>
    <w:rsid w:val="004C3BC5"/>
    <w:rsid w:val="004C3E34"/>
    <w:rsid w:val="004C3E50"/>
    <w:rsid w:val="004C414B"/>
    <w:rsid w:val="004C42A8"/>
    <w:rsid w:val="004C44C9"/>
    <w:rsid w:val="004C459E"/>
    <w:rsid w:val="004C4835"/>
    <w:rsid w:val="004C48B7"/>
    <w:rsid w:val="004C490A"/>
    <w:rsid w:val="004C4A99"/>
    <w:rsid w:val="004C4EAE"/>
    <w:rsid w:val="004C4FDB"/>
    <w:rsid w:val="004C508F"/>
    <w:rsid w:val="004C50CB"/>
    <w:rsid w:val="004C5149"/>
    <w:rsid w:val="004C51DA"/>
    <w:rsid w:val="004C5299"/>
    <w:rsid w:val="004C5379"/>
    <w:rsid w:val="004C549A"/>
    <w:rsid w:val="004C5683"/>
    <w:rsid w:val="004C579E"/>
    <w:rsid w:val="004C57AD"/>
    <w:rsid w:val="004C5915"/>
    <w:rsid w:val="004C5AA2"/>
    <w:rsid w:val="004C5C71"/>
    <w:rsid w:val="004C6180"/>
    <w:rsid w:val="004C63E3"/>
    <w:rsid w:val="004C6698"/>
    <w:rsid w:val="004C6758"/>
    <w:rsid w:val="004C679C"/>
    <w:rsid w:val="004C68A4"/>
    <w:rsid w:val="004C68D3"/>
    <w:rsid w:val="004C6A35"/>
    <w:rsid w:val="004C6B00"/>
    <w:rsid w:val="004C6B01"/>
    <w:rsid w:val="004C6BFE"/>
    <w:rsid w:val="004C6C0F"/>
    <w:rsid w:val="004C6D76"/>
    <w:rsid w:val="004C7098"/>
    <w:rsid w:val="004C70B0"/>
    <w:rsid w:val="004C7214"/>
    <w:rsid w:val="004C7243"/>
    <w:rsid w:val="004C7279"/>
    <w:rsid w:val="004C7410"/>
    <w:rsid w:val="004C7412"/>
    <w:rsid w:val="004C74C2"/>
    <w:rsid w:val="004C77DE"/>
    <w:rsid w:val="004C78C4"/>
    <w:rsid w:val="004C7975"/>
    <w:rsid w:val="004C7B95"/>
    <w:rsid w:val="004C7C43"/>
    <w:rsid w:val="004C7E8B"/>
    <w:rsid w:val="004C7ED7"/>
    <w:rsid w:val="004D0057"/>
    <w:rsid w:val="004D00CD"/>
    <w:rsid w:val="004D01AB"/>
    <w:rsid w:val="004D01EF"/>
    <w:rsid w:val="004D02D2"/>
    <w:rsid w:val="004D030A"/>
    <w:rsid w:val="004D03B4"/>
    <w:rsid w:val="004D0468"/>
    <w:rsid w:val="004D04BF"/>
    <w:rsid w:val="004D04E6"/>
    <w:rsid w:val="004D050D"/>
    <w:rsid w:val="004D05C5"/>
    <w:rsid w:val="004D09CC"/>
    <w:rsid w:val="004D09D7"/>
    <w:rsid w:val="004D0A2D"/>
    <w:rsid w:val="004D0AEB"/>
    <w:rsid w:val="004D0B22"/>
    <w:rsid w:val="004D0BED"/>
    <w:rsid w:val="004D0C44"/>
    <w:rsid w:val="004D10BC"/>
    <w:rsid w:val="004D112F"/>
    <w:rsid w:val="004D11B8"/>
    <w:rsid w:val="004D13C1"/>
    <w:rsid w:val="004D1648"/>
    <w:rsid w:val="004D1680"/>
    <w:rsid w:val="004D1792"/>
    <w:rsid w:val="004D1940"/>
    <w:rsid w:val="004D1A16"/>
    <w:rsid w:val="004D1B2F"/>
    <w:rsid w:val="004D1B38"/>
    <w:rsid w:val="004D1BBD"/>
    <w:rsid w:val="004D1EA7"/>
    <w:rsid w:val="004D2013"/>
    <w:rsid w:val="004D2390"/>
    <w:rsid w:val="004D23AB"/>
    <w:rsid w:val="004D2512"/>
    <w:rsid w:val="004D2552"/>
    <w:rsid w:val="004D2564"/>
    <w:rsid w:val="004D2577"/>
    <w:rsid w:val="004D2853"/>
    <w:rsid w:val="004D2A0F"/>
    <w:rsid w:val="004D2A56"/>
    <w:rsid w:val="004D2BD6"/>
    <w:rsid w:val="004D2C19"/>
    <w:rsid w:val="004D2CA3"/>
    <w:rsid w:val="004D2E05"/>
    <w:rsid w:val="004D2E5D"/>
    <w:rsid w:val="004D2ECA"/>
    <w:rsid w:val="004D319B"/>
    <w:rsid w:val="004D322C"/>
    <w:rsid w:val="004D32FC"/>
    <w:rsid w:val="004D3530"/>
    <w:rsid w:val="004D3556"/>
    <w:rsid w:val="004D3681"/>
    <w:rsid w:val="004D36FC"/>
    <w:rsid w:val="004D3723"/>
    <w:rsid w:val="004D37CD"/>
    <w:rsid w:val="004D387C"/>
    <w:rsid w:val="004D38A8"/>
    <w:rsid w:val="004D3A9C"/>
    <w:rsid w:val="004D3B74"/>
    <w:rsid w:val="004D3B80"/>
    <w:rsid w:val="004D3C08"/>
    <w:rsid w:val="004D3C35"/>
    <w:rsid w:val="004D3C74"/>
    <w:rsid w:val="004D3E07"/>
    <w:rsid w:val="004D3EB6"/>
    <w:rsid w:val="004D3F5F"/>
    <w:rsid w:val="004D3F9D"/>
    <w:rsid w:val="004D407F"/>
    <w:rsid w:val="004D408B"/>
    <w:rsid w:val="004D40CB"/>
    <w:rsid w:val="004D41E8"/>
    <w:rsid w:val="004D4323"/>
    <w:rsid w:val="004D4357"/>
    <w:rsid w:val="004D4485"/>
    <w:rsid w:val="004D44CA"/>
    <w:rsid w:val="004D4702"/>
    <w:rsid w:val="004D475C"/>
    <w:rsid w:val="004D47E1"/>
    <w:rsid w:val="004D48AA"/>
    <w:rsid w:val="004D4992"/>
    <w:rsid w:val="004D4B0C"/>
    <w:rsid w:val="004D4B92"/>
    <w:rsid w:val="004D4C37"/>
    <w:rsid w:val="004D4CC5"/>
    <w:rsid w:val="004D4E30"/>
    <w:rsid w:val="004D4ED4"/>
    <w:rsid w:val="004D4F9B"/>
    <w:rsid w:val="004D4FD8"/>
    <w:rsid w:val="004D505A"/>
    <w:rsid w:val="004D5149"/>
    <w:rsid w:val="004D51BF"/>
    <w:rsid w:val="004D52E5"/>
    <w:rsid w:val="004D5545"/>
    <w:rsid w:val="004D5668"/>
    <w:rsid w:val="004D56C3"/>
    <w:rsid w:val="004D581C"/>
    <w:rsid w:val="004D58C8"/>
    <w:rsid w:val="004D5D35"/>
    <w:rsid w:val="004D5E08"/>
    <w:rsid w:val="004D5E96"/>
    <w:rsid w:val="004D60D2"/>
    <w:rsid w:val="004D6335"/>
    <w:rsid w:val="004D6433"/>
    <w:rsid w:val="004D65C4"/>
    <w:rsid w:val="004D6713"/>
    <w:rsid w:val="004D67E7"/>
    <w:rsid w:val="004D688B"/>
    <w:rsid w:val="004D68DA"/>
    <w:rsid w:val="004D6A84"/>
    <w:rsid w:val="004D6C88"/>
    <w:rsid w:val="004D6CBA"/>
    <w:rsid w:val="004D6D4E"/>
    <w:rsid w:val="004D6E10"/>
    <w:rsid w:val="004D6EE1"/>
    <w:rsid w:val="004D6FD0"/>
    <w:rsid w:val="004D7008"/>
    <w:rsid w:val="004D71FB"/>
    <w:rsid w:val="004D7303"/>
    <w:rsid w:val="004D7305"/>
    <w:rsid w:val="004D7375"/>
    <w:rsid w:val="004D74D8"/>
    <w:rsid w:val="004D756B"/>
    <w:rsid w:val="004D7928"/>
    <w:rsid w:val="004D7C43"/>
    <w:rsid w:val="004D7CF2"/>
    <w:rsid w:val="004D7EE4"/>
    <w:rsid w:val="004D7F02"/>
    <w:rsid w:val="004D7FF6"/>
    <w:rsid w:val="004E000F"/>
    <w:rsid w:val="004E0016"/>
    <w:rsid w:val="004E01E9"/>
    <w:rsid w:val="004E02E1"/>
    <w:rsid w:val="004E0336"/>
    <w:rsid w:val="004E03A1"/>
    <w:rsid w:val="004E0449"/>
    <w:rsid w:val="004E0516"/>
    <w:rsid w:val="004E05E1"/>
    <w:rsid w:val="004E0928"/>
    <w:rsid w:val="004E0AE4"/>
    <w:rsid w:val="004E0B50"/>
    <w:rsid w:val="004E0DFF"/>
    <w:rsid w:val="004E0F6A"/>
    <w:rsid w:val="004E0FA9"/>
    <w:rsid w:val="004E0FD7"/>
    <w:rsid w:val="004E1292"/>
    <w:rsid w:val="004E1504"/>
    <w:rsid w:val="004E1571"/>
    <w:rsid w:val="004E170E"/>
    <w:rsid w:val="004E179E"/>
    <w:rsid w:val="004E17BB"/>
    <w:rsid w:val="004E1814"/>
    <w:rsid w:val="004E1A58"/>
    <w:rsid w:val="004E1D4B"/>
    <w:rsid w:val="004E1F9F"/>
    <w:rsid w:val="004E20E8"/>
    <w:rsid w:val="004E2106"/>
    <w:rsid w:val="004E22D1"/>
    <w:rsid w:val="004E2317"/>
    <w:rsid w:val="004E23D2"/>
    <w:rsid w:val="004E23D3"/>
    <w:rsid w:val="004E2422"/>
    <w:rsid w:val="004E27D9"/>
    <w:rsid w:val="004E29BD"/>
    <w:rsid w:val="004E29E6"/>
    <w:rsid w:val="004E2BCE"/>
    <w:rsid w:val="004E2F68"/>
    <w:rsid w:val="004E310C"/>
    <w:rsid w:val="004E31E2"/>
    <w:rsid w:val="004E371E"/>
    <w:rsid w:val="004E37AA"/>
    <w:rsid w:val="004E37EE"/>
    <w:rsid w:val="004E3B81"/>
    <w:rsid w:val="004E3B9C"/>
    <w:rsid w:val="004E3BCF"/>
    <w:rsid w:val="004E3C60"/>
    <w:rsid w:val="004E3C93"/>
    <w:rsid w:val="004E3EA9"/>
    <w:rsid w:val="004E3F51"/>
    <w:rsid w:val="004E3F8C"/>
    <w:rsid w:val="004E3F99"/>
    <w:rsid w:val="004E3FA1"/>
    <w:rsid w:val="004E405D"/>
    <w:rsid w:val="004E40C8"/>
    <w:rsid w:val="004E43F9"/>
    <w:rsid w:val="004E4652"/>
    <w:rsid w:val="004E46D2"/>
    <w:rsid w:val="004E47A2"/>
    <w:rsid w:val="004E4CE9"/>
    <w:rsid w:val="004E4E2F"/>
    <w:rsid w:val="004E4F90"/>
    <w:rsid w:val="004E50AF"/>
    <w:rsid w:val="004E525A"/>
    <w:rsid w:val="004E531F"/>
    <w:rsid w:val="004E538D"/>
    <w:rsid w:val="004E558E"/>
    <w:rsid w:val="004E55BB"/>
    <w:rsid w:val="004E56D6"/>
    <w:rsid w:val="004E57D7"/>
    <w:rsid w:val="004E5925"/>
    <w:rsid w:val="004E5936"/>
    <w:rsid w:val="004E5AB3"/>
    <w:rsid w:val="004E5B21"/>
    <w:rsid w:val="004E5DB4"/>
    <w:rsid w:val="004E603D"/>
    <w:rsid w:val="004E6057"/>
    <w:rsid w:val="004E6066"/>
    <w:rsid w:val="004E60F6"/>
    <w:rsid w:val="004E6221"/>
    <w:rsid w:val="004E624A"/>
    <w:rsid w:val="004E638C"/>
    <w:rsid w:val="004E6651"/>
    <w:rsid w:val="004E66DF"/>
    <w:rsid w:val="004E6962"/>
    <w:rsid w:val="004E6AE1"/>
    <w:rsid w:val="004E6B2F"/>
    <w:rsid w:val="004E6C38"/>
    <w:rsid w:val="004E6DE9"/>
    <w:rsid w:val="004E6DF2"/>
    <w:rsid w:val="004E6F65"/>
    <w:rsid w:val="004E6F76"/>
    <w:rsid w:val="004E6F96"/>
    <w:rsid w:val="004E7095"/>
    <w:rsid w:val="004E71CB"/>
    <w:rsid w:val="004E7225"/>
    <w:rsid w:val="004E7435"/>
    <w:rsid w:val="004E7550"/>
    <w:rsid w:val="004E759C"/>
    <w:rsid w:val="004E77F5"/>
    <w:rsid w:val="004F00AE"/>
    <w:rsid w:val="004F02CA"/>
    <w:rsid w:val="004F0394"/>
    <w:rsid w:val="004F04E3"/>
    <w:rsid w:val="004F0616"/>
    <w:rsid w:val="004F0834"/>
    <w:rsid w:val="004F09DD"/>
    <w:rsid w:val="004F0B1A"/>
    <w:rsid w:val="004F0B57"/>
    <w:rsid w:val="004F0CC1"/>
    <w:rsid w:val="004F0D90"/>
    <w:rsid w:val="004F0F0F"/>
    <w:rsid w:val="004F0F9B"/>
    <w:rsid w:val="004F0FB4"/>
    <w:rsid w:val="004F0FF5"/>
    <w:rsid w:val="004F120F"/>
    <w:rsid w:val="004F1278"/>
    <w:rsid w:val="004F12C9"/>
    <w:rsid w:val="004F12E0"/>
    <w:rsid w:val="004F1635"/>
    <w:rsid w:val="004F16FE"/>
    <w:rsid w:val="004F1899"/>
    <w:rsid w:val="004F189A"/>
    <w:rsid w:val="004F1938"/>
    <w:rsid w:val="004F1A29"/>
    <w:rsid w:val="004F1C7C"/>
    <w:rsid w:val="004F1CBE"/>
    <w:rsid w:val="004F1D82"/>
    <w:rsid w:val="004F1D8E"/>
    <w:rsid w:val="004F1DB5"/>
    <w:rsid w:val="004F1E3B"/>
    <w:rsid w:val="004F1F3F"/>
    <w:rsid w:val="004F2019"/>
    <w:rsid w:val="004F201E"/>
    <w:rsid w:val="004F21D1"/>
    <w:rsid w:val="004F249E"/>
    <w:rsid w:val="004F25CB"/>
    <w:rsid w:val="004F25CF"/>
    <w:rsid w:val="004F2640"/>
    <w:rsid w:val="004F274F"/>
    <w:rsid w:val="004F2788"/>
    <w:rsid w:val="004F28E4"/>
    <w:rsid w:val="004F2BED"/>
    <w:rsid w:val="004F2C49"/>
    <w:rsid w:val="004F2F07"/>
    <w:rsid w:val="004F308D"/>
    <w:rsid w:val="004F3275"/>
    <w:rsid w:val="004F370F"/>
    <w:rsid w:val="004F3736"/>
    <w:rsid w:val="004F37F5"/>
    <w:rsid w:val="004F38C9"/>
    <w:rsid w:val="004F38D5"/>
    <w:rsid w:val="004F3CAC"/>
    <w:rsid w:val="004F3D7B"/>
    <w:rsid w:val="004F3D96"/>
    <w:rsid w:val="004F4001"/>
    <w:rsid w:val="004F41D6"/>
    <w:rsid w:val="004F4481"/>
    <w:rsid w:val="004F4709"/>
    <w:rsid w:val="004F47E5"/>
    <w:rsid w:val="004F48FA"/>
    <w:rsid w:val="004F4A4C"/>
    <w:rsid w:val="004F4B2D"/>
    <w:rsid w:val="004F4EC5"/>
    <w:rsid w:val="004F5129"/>
    <w:rsid w:val="004F5238"/>
    <w:rsid w:val="004F544A"/>
    <w:rsid w:val="004F5450"/>
    <w:rsid w:val="004F549E"/>
    <w:rsid w:val="004F5541"/>
    <w:rsid w:val="004F5791"/>
    <w:rsid w:val="004F5926"/>
    <w:rsid w:val="004F59F7"/>
    <w:rsid w:val="004F5F72"/>
    <w:rsid w:val="004F6056"/>
    <w:rsid w:val="004F6066"/>
    <w:rsid w:val="004F60BC"/>
    <w:rsid w:val="004F6154"/>
    <w:rsid w:val="004F656F"/>
    <w:rsid w:val="004F66FD"/>
    <w:rsid w:val="004F67E8"/>
    <w:rsid w:val="004F69C1"/>
    <w:rsid w:val="004F6AEA"/>
    <w:rsid w:val="004F6AF3"/>
    <w:rsid w:val="004F6BA5"/>
    <w:rsid w:val="004F7043"/>
    <w:rsid w:val="004F7361"/>
    <w:rsid w:val="004F75D5"/>
    <w:rsid w:val="004F77E3"/>
    <w:rsid w:val="004F78F1"/>
    <w:rsid w:val="004F7A22"/>
    <w:rsid w:val="004F7BBB"/>
    <w:rsid w:val="004F7DA2"/>
    <w:rsid w:val="004F7FD2"/>
    <w:rsid w:val="0050003B"/>
    <w:rsid w:val="00500243"/>
    <w:rsid w:val="0050030E"/>
    <w:rsid w:val="0050030F"/>
    <w:rsid w:val="00500355"/>
    <w:rsid w:val="005003C5"/>
    <w:rsid w:val="005004B9"/>
    <w:rsid w:val="0050052B"/>
    <w:rsid w:val="005006AE"/>
    <w:rsid w:val="00500A51"/>
    <w:rsid w:val="00500B29"/>
    <w:rsid w:val="00500C1C"/>
    <w:rsid w:val="00500D0D"/>
    <w:rsid w:val="00500D68"/>
    <w:rsid w:val="00500F08"/>
    <w:rsid w:val="00500FBA"/>
    <w:rsid w:val="0050108A"/>
    <w:rsid w:val="005010EF"/>
    <w:rsid w:val="005013D1"/>
    <w:rsid w:val="005014F8"/>
    <w:rsid w:val="0050167D"/>
    <w:rsid w:val="005016CC"/>
    <w:rsid w:val="005017B6"/>
    <w:rsid w:val="005017E8"/>
    <w:rsid w:val="00501AF4"/>
    <w:rsid w:val="00501B24"/>
    <w:rsid w:val="00501BB4"/>
    <w:rsid w:val="00501BEC"/>
    <w:rsid w:val="00502030"/>
    <w:rsid w:val="005022E7"/>
    <w:rsid w:val="0050249C"/>
    <w:rsid w:val="0050256B"/>
    <w:rsid w:val="005025C2"/>
    <w:rsid w:val="0050277A"/>
    <w:rsid w:val="005027F5"/>
    <w:rsid w:val="005029BA"/>
    <w:rsid w:val="00502C9B"/>
    <w:rsid w:val="00502CE9"/>
    <w:rsid w:val="00502FAD"/>
    <w:rsid w:val="00503024"/>
    <w:rsid w:val="00503116"/>
    <w:rsid w:val="0050323B"/>
    <w:rsid w:val="005032FA"/>
    <w:rsid w:val="0050342C"/>
    <w:rsid w:val="005035D7"/>
    <w:rsid w:val="0050383E"/>
    <w:rsid w:val="00503938"/>
    <w:rsid w:val="005039AB"/>
    <w:rsid w:val="00503B78"/>
    <w:rsid w:val="00503BED"/>
    <w:rsid w:val="00503F25"/>
    <w:rsid w:val="00503FB9"/>
    <w:rsid w:val="00503FCE"/>
    <w:rsid w:val="00503FE9"/>
    <w:rsid w:val="0050406E"/>
    <w:rsid w:val="005040F6"/>
    <w:rsid w:val="005042AE"/>
    <w:rsid w:val="00504561"/>
    <w:rsid w:val="005047EB"/>
    <w:rsid w:val="00504CA2"/>
    <w:rsid w:val="0050520E"/>
    <w:rsid w:val="00505563"/>
    <w:rsid w:val="00505789"/>
    <w:rsid w:val="00505857"/>
    <w:rsid w:val="00505A02"/>
    <w:rsid w:val="00505C3B"/>
    <w:rsid w:val="00505EBE"/>
    <w:rsid w:val="00505F74"/>
    <w:rsid w:val="00505FE9"/>
    <w:rsid w:val="00506091"/>
    <w:rsid w:val="00506184"/>
    <w:rsid w:val="00506193"/>
    <w:rsid w:val="005062E3"/>
    <w:rsid w:val="00506330"/>
    <w:rsid w:val="0050636C"/>
    <w:rsid w:val="00506638"/>
    <w:rsid w:val="0050685A"/>
    <w:rsid w:val="0050685B"/>
    <w:rsid w:val="00506882"/>
    <w:rsid w:val="00506A4B"/>
    <w:rsid w:val="00506A59"/>
    <w:rsid w:val="00506B5B"/>
    <w:rsid w:val="00506C72"/>
    <w:rsid w:val="00506C75"/>
    <w:rsid w:val="00506C7F"/>
    <w:rsid w:val="00506FCE"/>
    <w:rsid w:val="00507058"/>
    <w:rsid w:val="00507330"/>
    <w:rsid w:val="00507343"/>
    <w:rsid w:val="00507526"/>
    <w:rsid w:val="005075ED"/>
    <w:rsid w:val="005076DB"/>
    <w:rsid w:val="0050779F"/>
    <w:rsid w:val="00507811"/>
    <w:rsid w:val="005078EB"/>
    <w:rsid w:val="005079D2"/>
    <w:rsid w:val="00507A12"/>
    <w:rsid w:val="00507B9E"/>
    <w:rsid w:val="00507C5B"/>
    <w:rsid w:val="00507E77"/>
    <w:rsid w:val="00507F80"/>
    <w:rsid w:val="00507F99"/>
    <w:rsid w:val="0051008D"/>
    <w:rsid w:val="005100A7"/>
    <w:rsid w:val="005100CF"/>
    <w:rsid w:val="0051014A"/>
    <w:rsid w:val="00510390"/>
    <w:rsid w:val="00510641"/>
    <w:rsid w:val="00510697"/>
    <w:rsid w:val="00510903"/>
    <w:rsid w:val="00510913"/>
    <w:rsid w:val="00510A33"/>
    <w:rsid w:val="00510A8E"/>
    <w:rsid w:val="00510BE4"/>
    <w:rsid w:val="00510D02"/>
    <w:rsid w:val="00510EE3"/>
    <w:rsid w:val="00510F8C"/>
    <w:rsid w:val="00511061"/>
    <w:rsid w:val="005112BA"/>
    <w:rsid w:val="0051152C"/>
    <w:rsid w:val="00511686"/>
    <w:rsid w:val="00511750"/>
    <w:rsid w:val="00511788"/>
    <w:rsid w:val="005117A6"/>
    <w:rsid w:val="00511924"/>
    <w:rsid w:val="00511B2B"/>
    <w:rsid w:val="00511C90"/>
    <w:rsid w:val="00511CB5"/>
    <w:rsid w:val="00511F28"/>
    <w:rsid w:val="00511F85"/>
    <w:rsid w:val="005120BD"/>
    <w:rsid w:val="00512150"/>
    <w:rsid w:val="0051221B"/>
    <w:rsid w:val="00512274"/>
    <w:rsid w:val="0051227F"/>
    <w:rsid w:val="005123F0"/>
    <w:rsid w:val="005125B0"/>
    <w:rsid w:val="005125DC"/>
    <w:rsid w:val="005125F5"/>
    <w:rsid w:val="00512798"/>
    <w:rsid w:val="00512A9A"/>
    <w:rsid w:val="00512E0C"/>
    <w:rsid w:val="00512E9F"/>
    <w:rsid w:val="00512EBE"/>
    <w:rsid w:val="00512EF2"/>
    <w:rsid w:val="00512F7A"/>
    <w:rsid w:val="0051302D"/>
    <w:rsid w:val="00513169"/>
    <w:rsid w:val="0051333D"/>
    <w:rsid w:val="0051335E"/>
    <w:rsid w:val="00513540"/>
    <w:rsid w:val="00513762"/>
    <w:rsid w:val="005137E9"/>
    <w:rsid w:val="005138E3"/>
    <w:rsid w:val="00513941"/>
    <w:rsid w:val="00513A8F"/>
    <w:rsid w:val="00513B29"/>
    <w:rsid w:val="00513B76"/>
    <w:rsid w:val="00513BAF"/>
    <w:rsid w:val="00513E34"/>
    <w:rsid w:val="00513E4F"/>
    <w:rsid w:val="00513F89"/>
    <w:rsid w:val="0051412E"/>
    <w:rsid w:val="00514177"/>
    <w:rsid w:val="0051419E"/>
    <w:rsid w:val="0051434E"/>
    <w:rsid w:val="00514600"/>
    <w:rsid w:val="00514619"/>
    <w:rsid w:val="0051462D"/>
    <w:rsid w:val="0051483B"/>
    <w:rsid w:val="00514A4E"/>
    <w:rsid w:val="00514B6D"/>
    <w:rsid w:val="00514C2B"/>
    <w:rsid w:val="005152EF"/>
    <w:rsid w:val="00515334"/>
    <w:rsid w:val="00515420"/>
    <w:rsid w:val="0051542B"/>
    <w:rsid w:val="005154CA"/>
    <w:rsid w:val="00515590"/>
    <w:rsid w:val="005156E6"/>
    <w:rsid w:val="005157BE"/>
    <w:rsid w:val="0051584E"/>
    <w:rsid w:val="00515976"/>
    <w:rsid w:val="00515BA9"/>
    <w:rsid w:val="00515BF2"/>
    <w:rsid w:val="005162CB"/>
    <w:rsid w:val="0051654F"/>
    <w:rsid w:val="005165B2"/>
    <w:rsid w:val="005167C6"/>
    <w:rsid w:val="0051690A"/>
    <w:rsid w:val="005169A6"/>
    <w:rsid w:val="00516A74"/>
    <w:rsid w:val="00516BFD"/>
    <w:rsid w:val="00516DB3"/>
    <w:rsid w:val="00516E88"/>
    <w:rsid w:val="00516FA9"/>
    <w:rsid w:val="00516FDE"/>
    <w:rsid w:val="00516FFD"/>
    <w:rsid w:val="0051703F"/>
    <w:rsid w:val="0051707F"/>
    <w:rsid w:val="0051739A"/>
    <w:rsid w:val="00517BAC"/>
    <w:rsid w:val="00517BDB"/>
    <w:rsid w:val="00517C47"/>
    <w:rsid w:val="00517E04"/>
    <w:rsid w:val="00517F21"/>
    <w:rsid w:val="00517F37"/>
    <w:rsid w:val="00517F5B"/>
    <w:rsid w:val="00520007"/>
    <w:rsid w:val="005200C7"/>
    <w:rsid w:val="00520143"/>
    <w:rsid w:val="00520365"/>
    <w:rsid w:val="0052046D"/>
    <w:rsid w:val="005207AD"/>
    <w:rsid w:val="005208A8"/>
    <w:rsid w:val="00520A92"/>
    <w:rsid w:val="00520C43"/>
    <w:rsid w:val="00520E32"/>
    <w:rsid w:val="005210B6"/>
    <w:rsid w:val="005210E3"/>
    <w:rsid w:val="00521139"/>
    <w:rsid w:val="00521278"/>
    <w:rsid w:val="00521320"/>
    <w:rsid w:val="0052135A"/>
    <w:rsid w:val="00521475"/>
    <w:rsid w:val="005215A5"/>
    <w:rsid w:val="00521647"/>
    <w:rsid w:val="00521667"/>
    <w:rsid w:val="0052168D"/>
    <w:rsid w:val="005216FB"/>
    <w:rsid w:val="00521719"/>
    <w:rsid w:val="005217E1"/>
    <w:rsid w:val="00521846"/>
    <w:rsid w:val="005218C3"/>
    <w:rsid w:val="005219C6"/>
    <w:rsid w:val="005219FD"/>
    <w:rsid w:val="00521E8E"/>
    <w:rsid w:val="00521F39"/>
    <w:rsid w:val="0052204D"/>
    <w:rsid w:val="005220C7"/>
    <w:rsid w:val="005220E1"/>
    <w:rsid w:val="005222DD"/>
    <w:rsid w:val="00522393"/>
    <w:rsid w:val="005223A9"/>
    <w:rsid w:val="0052242F"/>
    <w:rsid w:val="005224A2"/>
    <w:rsid w:val="005225C0"/>
    <w:rsid w:val="00522682"/>
    <w:rsid w:val="005227F6"/>
    <w:rsid w:val="005228C9"/>
    <w:rsid w:val="00522AD3"/>
    <w:rsid w:val="00522B96"/>
    <w:rsid w:val="00522B99"/>
    <w:rsid w:val="00522C1A"/>
    <w:rsid w:val="00522C6A"/>
    <w:rsid w:val="00522C73"/>
    <w:rsid w:val="00522F3F"/>
    <w:rsid w:val="00523114"/>
    <w:rsid w:val="005233B8"/>
    <w:rsid w:val="0052361D"/>
    <w:rsid w:val="00523781"/>
    <w:rsid w:val="00523875"/>
    <w:rsid w:val="00523900"/>
    <w:rsid w:val="005239A3"/>
    <w:rsid w:val="005239E7"/>
    <w:rsid w:val="00523A5A"/>
    <w:rsid w:val="00523AE8"/>
    <w:rsid w:val="00523BCC"/>
    <w:rsid w:val="00523DAE"/>
    <w:rsid w:val="00523DFD"/>
    <w:rsid w:val="00523FCA"/>
    <w:rsid w:val="00524021"/>
    <w:rsid w:val="005243CD"/>
    <w:rsid w:val="005244E5"/>
    <w:rsid w:val="005245CF"/>
    <w:rsid w:val="00524F09"/>
    <w:rsid w:val="00525027"/>
    <w:rsid w:val="00525076"/>
    <w:rsid w:val="005250C5"/>
    <w:rsid w:val="0052527A"/>
    <w:rsid w:val="00525309"/>
    <w:rsid w:val="0052550C"/>
    <w:rsid w:val="00525661"/>
    <w:rsid w:val="00525788"/>
    <w:rsid w:val="00525A5A"/>
    <w:rsid w:val="00525AFE"/>
    <w:rsid w:val="00525B40"/>
    <w:rsid w:val="00525BBC"/>
    <w:rsid w:val="00525C74"/>
    <w:rsid w:val="00525F89"/>
    <w:rsid w:val="0052614E"/>
    <w:rsid w:val="00526243"/>
    <w:rsid w:val="0052636D"/>
    <w:rsid w:val="0052674B"/>
    <w:rsid w:val="005267B6"/>
    <w:rsid w:val="00526AD5"/>
    <w:rsid w:val="00526B41"/>
    <w:rsid w:val="00526BF7"/>
    <w:rsid w:val="00526C33"/>
    <w:rsid w:val="00526C58"/>
    <w:rsid w:val="00526E53"/>
    <w:rsid w:val="0052716C"/>
    <w:rsid w:val="005271D3"/>
    <w:rsid w:val="00527554"/>
    <w:rsid w:val="00527578"/>
    <w:rsid w:val="00527622"/>
    <w:rsid w:val="005276D7"/>
    <w:rsid w:val="005279D2"/>
    <w:rsid w:val="00527ADB"/>
    <w:rsid w:val="00527B21"/>
    <w:rsid w:val="00527DD3"/>
    <w:rsid w:val="00527E3E"/>
    <w:rsid w:val="00527F93"/>
    <w:rsid w:val="00527F9E"/>
    <w:rsid w:val="0053051D"/>
    <w:rsid w:val="005308EF"/>
    <w:rsid w:val="0053099B"/>
    <w:rsid w:val="00530B8F"/>
    <w:rsid w:val="00530BB3"/>
    <w:rsid w:val="00530EA6"/>
    <w:rsid w:val="00531048"/>
    <w:rsid w:val="0053117E"/>
    <w:rsid w:val="00531263"/>
    <w:rsid w:val="00531338"/>
    <w:rsid w:val="00531557"/>
    <w:rsid w:val="0053156C"/>
    <w:rsid w:val="0053162A"/>
    <w:rsid w:val="00531646"/>
    <w:rsid w:val="00531765"/>
    <w:rsid w:val="005319C0"/>
    <w:rsid w:val="00531F02"/>
    <w:rsid w:val="00531FE8"/>
    <w:rsid w:val="005320B7"/>
    <w:rsid w:val="0053229B"/>
    <w:rsid w:val="005323A9"/>
    <w:rsid w:val="00532494"/>
    <w:rsid w:val="005324D2"/>
    <w:rsid w:val="00532B1A"/>
    <w:rsid w:val="00532E3B"/>
    <w:rsid w:val="00532FA7"/>
    <w:rsid w:val="0053310C"/>
    <w:rsid w:val="005331DA"/>
    <w:rsid w:val="0053340B"/>
    <w:rsid w:val="00533459"/>
    <w:rsid w:val="005336B8"/>
    <w:rsid w:val="00533979"/>
    <w:rsid w:val="005339B4"/>
    <w:rsid w:val="00533A2C"/>
    <w:rsid w:val="00533C3E"/>
    <w:rsid w:val="00533F06"/>
    <w:rsid w:val="00533F0E"/>
    <w:rsid w:val="00533FBC"/>
    <w:rsid w:val="0053404B"/>
    <w:rsid w:val="00534071"/>
    <w:rsid w:val="0053412D"/>
    <w:rsid w:val="005342F4"/>
    <w:rsid w:val="0053430B"/>
    <w:rsid w:val="0053457D"/>
    <w:rsid w:val="0053457F"/>
    <w:rsid w:val="00534864"/>
    <w:rsid w:val="005349D7"/>
    <w:rsid w:val="00534A52"/>
    <w:rsid w:val="00534B5F"/>
    <w:rsid w:val="00534C4D"/>
    <w:rsid w:val="00534D24"/>
    <w:rsid w:val="00534D2E"/>
    <w:rsid w:val="00534E9D"/>
    <w:rsid w:val="0053504A"/>
    <w:rsid w:val="00535239"/>
    <w:rsid w:val="00535378"/>
    <w:rsid w:val="0053537E"/>
    <w:rsid w:val="00535387"/>
    <w:rsid w:val="00535405"/>
    <w:rsid w:val="0053541F"/>
    <w:rsid w:val="005355F3"/>
    <w:rsid w:val="0053560F"/>
    <w:rsid w:val="00535A97"/>
    <w:rsid w:val="00535AED"/>
    <w:rsid w:val="00535AEF"/>
    <w:rsid w:val="00535D80"/>
    <w:rsid w:val="00535DB0"/>
    <w:rsid w:val="00535DE9"/>
    <w:rsid w:val="00535F3C"/>
    <w:rsid w:val="00535FFE"/>
    <w:rsid w:val="0053602D"/>
    <w:rsid w:val="0053612E"/>
    <w:rsid w:val="00536178"/>
    <w:rsid w:val="005362AD"/>
    <w:rsid w:val="005362E3"/>
    <w:rsid w:val="0053646F"/>
    <w:rsid w:val="005366B5"/>
    <w:rsid w:val="005366E8"/>
    <w:rsid w:val="0053674C"/>
    <w:rsid w:val="005367A6"/>
    <w:rsid w:val="005369EB"/>
    <w:rsid w:val="00536A8E"/>
    <w:rsid w:val="00536EA1"/>
    <w:rsid w:val="005370B6"/>
    <w:rsid w:val="005370F4"/>
    <w:rsid w:val="00537197"/>
    <w:rsid w:val="005372C0"/>
    <w:rsid w:val="005372E4"/>
    <w:rsid w:val="005378EA"/>
    <w:rsid w:val="00537958"/>
    <w:rsid w:val="00537CD1"/>
    <w:rsid w:val="00537F9F"/>
    <w:rsid w:val="00537FA5"/>
    <w:rsid w:val="0053F3F1"/>
    <w:rsid w:val="00540040"/>
    <w:rsid w:val="00540046"/>
    <w:rsid w:val="00540146"/>
    <w:rsid w:val="005403FD"/>
    <w:rsid w:val="005404D5"/>
    <w:rsid w:val="00540566"/>
    <w:rsid w:val="00540624"/>
    <w:rsid w:val="0054082F"/>
    <w:rsid w:val="005409B1"/>
    <w:rsid w:val="00540A2C"/>
    <w:rsid w:val="00540D14"/>
    <w:rsid w:val="00540F4C"/>
    <w:rsid w:val="005410CA"/>
    <w:rsid w:val="00541133"/>
    <w:rsid w:val="00541338"/>
    <w:rsid w:val="005413E0"/>
    <w:rsid w:val="0054163D"/>
    <w:rsid w:val="0054163E"/>
    <w:rsid w:val="00541652"/>
    <w:rsid w:val="005416EA"/>
    <w:rsid w:val="0054192E"/>
    <w:rsid w:val="00541D28"/>
    <w:rsid w:val="00541D46"/>
    <w:rsid w:val="00541DA1"/>
    <w:rsid w:val="00541F0C"/>
    <w:rsid w:val="00541F1B"/>
    <w:rsid w:val="0054200E"/>
    <w:rsid w:val="0054216E"/>
    <w:rsid w:val="00542194"/>
    <w:rsid w:val="005421AB"/>
    <w:rsid w:val="0054228A"/>
    <w:rsid w:val="0054228B"/>
    <w:rsid w:val="00542416"/>
    <w:rsid w:val="005425DA"/>
    <w:rsid w:val="005426B3"/>
    <w:rsid w:val="00542767"/>
    <w:rsid w:val="005428A6"/>
    <w:rsid w:val="005428D6"/>
    <w:rsid w:val="00542999"/>
    <w:rsid w:val="00542C36"/>
    <w:rsid w:val="00542CA6"/>
    <w:rsid w:val="00542D7C"/>
    <w:rsid w:val="00542D8F"/>
    <w:rsid w:val="00542EB0"/>
    <w:rsid w:val="0054310F"/>
    <w:rsid w:val="0054328C"/>
    <w:rsid w:val="005432C5"/>
    <w:rsid w:val="00543410"/>
    <w:rsid w:val="00543426"/>
    <w:rsid w:val="005435E1"/>
    <w:rsid w:val="0054365E"/>
    <w:rsid w:val="0054370B"/>
    <w:rsid w:val="0054383F"/>
    <w:rsid w:val="005438F1"/>
    <w:rsid w:val="00543A41"/>
    <w:rsid w:val="00543BBE"/>
    <w:rsid w:val="00543D9D"/>
    <w:rsid w:val="00543F49"/>
    <w:rsid w:val="00543F6C"/>
    <w:rsid w:val="00543FD0"/>
    <w:rsid w:val="0054420E"/>
    <w:rsid w:val="0054427A"/>
    <w:rsid w:val="00544285"/>
    <w:rsid w:val="005444A3"/>
    <w:rsid w:val="0054485F"/>
    <w:rsid w:val="00544A13"/>
    <w:rsid w:val="00544A14"/>
    <w:rsid w:val="00544DA0"/>
    <w:rsid w:val="00545088"/>
    <w:rsid w:val="0054518C"/>
    <w:rsid w:val="005455F7"/>
    <w:rsid w:val="00545668"/>
    <w:rsid w:val="0054576F"/>
    <w:rsid w:val="005457B4"/>
    <w:rsid w:val="00545976"/>
    <w:rsid w:val="005459A9"/>
    <w:rsid w:val="005459AD"/>
    <w:rsid w:val="00545B2D"/>
    <w:rsid w:val="00545BAD"/>
    <w:rsid w:val="00545BF8"/>
    <w:rsid w:val="00545F08"/>
    <w:rsid w:val="0054605D"/>
    <w:rsid w:val="005461C7"/>
    <w:rsid w:val="0054639C"/>
    <w:rsid w:val="00546463"/>
    <w:rsid w:val="005464B6"/>
    <w:rsid w:val="005465EC"/>
    <w:rsid w:val="005468C1"/>
    <w:rsid w:val="00546957"/>
    <w:rsid w:val="00546AA4"/>
    <w:rsid w:val="00546BC5"/>
    <w:rsid w:val="00546BDF"/>
    <w:rsid w:val="00546C11"/>
    <w:rsid w:val="00546C89"/>
    <w:rsid w:val="00546EFB"/>
    <w:rsid w:val="0054726C"/>
    <w:rsid w:val="005472B9"/>
    <w:rsid w:val="0054736C"/>
    <w:rsid w:val="00547375"/>
    <w:rsid w:val="0054749D"/>
    <w:rsid w:val="00547635"/>
    <w:rsid w:val="00547836"/>
    <w:rsid w:val="005478CF"/>
    <w:rsid w:val="005479DC"/>
    <w:rsid w:val="005479F4"/>
    <w:rsid w:val="00547B82"/>
    <w:rsid w:val="00547B95"/>
    <w:rsid w:val="00550091"/>
    <w:rsid w:val="005501E4"/>
    <w:rsid w:val="00550202"/>
    <w:rsid w:val="00550391"/>
    <w:rsid w:val="005503FF"/>
    <w:rsid w:val="00550522"/>
    <w:rsid w:val="0055063E"/>
    <w:rsid w:val="00550825"/>
    <w:rsid w:val="0055083D"/>
    <w:rsid w:val="00550BD4"/>
    <w:rsid w:val="00550C5B"/>
    <w:rsid w:val="00550D50"/>
    <w:rsid w:val="00550D67"/>
    <w:rsid w:val="0055112D"/>
    <w:rsid w:val="00551352"/>
    <w:rsid w:val="00551811"/>
    <w:rsid w:val="005518C0"/>
    <w:rsid w:val="0055193A"/>
    <w:rsid w:val="00551BF3"/>
    <w:rsid w:val="00551C5B"/>
    <w:rsid w:val="00551D0B"/>
    <w:rsid w:val="00551E58"/>
    <w:rsid w:val="00552014"/>
    <w:rsid w:val="005520E8"/>
    <w:rsid w:val="00552147"/>
    <w:rsid w:val="0055216E"/>
    <w:rsid w:val="005522E4"/>
    <w:rsid w:val="00552463"/>
    <w:rsid w:val="0055257B"/>
    <w:rsid w:val="00552778"/>
    <w:rsid w:val="005527FB"/>
    <w:rsid w:val="0055288F"/>
    <w:rsid w:val="00552898"/>
    <w:rsid w:val="005528CB"/>
    <w:rsid w:val="00552ABD"/>
    <w:rsid w:val="00552B11"/>
    <w:rsid w:val="00552B32"/>
    <w:rsid w:val="00552B6D"/>
    <w:rsid w:val="00552E5B"/>
    <w:rsid w:val="00552F04"/>
    <w:rsid w:val="005530AC"/>
    <w:rsid w:val="00553128"/>
    <w:rsid w:val="00553334"/>
    <w:rsid w:val="005534E0"/>
    <w:rsid w:val="00553667"/>
    <w:rsid w:val="005537B6"/>
    <w:rsid w:val="005538AB"/>
    <w:rsid w:val="00553AC3"/>
    <w:rsid w:val="00553C13"/>
    <w:rsid w:val="00553CC6"/>
    <w:rsid w:val="00553DB8"/>
    <w:rsid w:val="00554273"/>
    <w:rsid w:val="00554365"/>
    <w:rsid w:val="00554450"/>
    <w:rsid w:val="005546A9"/>
    <w:rsid w:val="00554708"/>
    <w:rsid w:val="0055473B"/>
    <w:rsid w:val="005547F7"/>
    <w:rsid w:val="00554813"/>
    <w:rsid w:val="00554827"/>
    <w:rsid w:val="0055491C"/>
    <w:rsid w:val="00554956"/>
    <w:rsid w:val="00554993"/>
    <w:rsid w:val="00554997"/>
    <w:rsid w:val="005549E5"/>
    <w:rsid w:val="00554A68"/>
    <w:rsid w:val="00554A88"/>
    <w:rsid w:val="00554AB8"/>
    <w:rsid w:val="00554C72"/>
    <w:rsid w:val="00554CA9"/>
    <w:rsid w:val="00554D24"/>
    <w:rsid w:val="00554D3B"/>
    <w:rsid w:val="00554DE6"/>
    <w:rsid w:val="00554EBD"/>
    <w:rsid w:val="00554FAA"/>
    <w:rsid w:val="0055507B"/>
    <w:rsid w:val="005550A7"/>
    <w:rsid w:val="005552A9"/>
    <w:rsid w:val="005553C7"/>
    <w:rsid w:val="00555441"/>
    <w:rsid w:val="00555455"/>
    <w:rsid w:val="00555792"/>
    <w:rsid w:val="005557A5"/>
    <w:rsid w:val="00555E0A"/>
    <w:rsid w:val="00555E90"/>
    <w:rsid w:val="00555ED2"/>
    <w:rsid w:val="00555F27"/>
    <w:rsid w:val="00555F2F"/>
    <w:rsid w:val="005560A9"/>
    <w:rsid w:val="005560D0"/>
    <w:rsid w:val="00556270"/>
    <w:rsid w:val="00556363"/>
    <w:rsid w:val="005563EF"/>
    <w:rsid w:val="005567A2"/>
    <w:rsid w:val="00556A79"/>
    <w:rsid w:val="00556B50"/>
    <w:rsid w:val="00556D96"/>
    <w:rsid w:val="005571F8"/>
    <w:rsid w:val="00557546"/>
    <w:rsid w:val="0055767D"/>
    <w:rsid w:val="00557727"/>
    <w:rsid w:val="005578B4"/>
    <w:rsid w:val="00557AED"/>
    <w:rsid w:val="00557B57"/>
    <w:rsid w:val="00557E22"/>
    <w:rsid w:val="00557E23"/>
    <w:rsid w:val="00560039"/>
    <w:rsid w:val="0056004B"/>
    <w:rsid w:val="00560106"/>
    <w:rsid w:val="00560128"/>
    <w:rsid w:val="005605A0"/>
    <w:rsid w:val="00560650"/>
    <w:rsid w:val="005606A3"/>
    <w:rsid w:val="005606BC"/>
    <w:rsid w:val="00560AE3"/>
    <w:rsid w:val="00560CCE"/>
    <w:rsid w:val="00560D8D"/>
    <w:rsid w:val="00560F85"/>
    <w:rsid w:val="00561019"/>
    <w:rsid w:val="005611BB"/>
    <w:rsid w:val="00561310"/>
    <w:rsid w:val="0056133D"/>
    <w:rsid w:val="00561418"/>
    <w:rsid w:val="0056147B"/>
    <w:rsid w:val="005616A7"/>
    <w:rsid w:val="0056185E"/>
    <w:rsid w:val="00561868"/>
    <w:rsid w:val="005618BF"/>
    <w:rsid w:val="00561944"/>
    <w:rsid w:val="00561D08"/>
    <w:rsid w:val="00561D4B"/>
    <w:rsid w:val="00561D61"/>
    <w:rsid w:val="00562118"/>
    <w:rsid w:val="005621B7"/>
    <w:rsid w:val="005621D0"/>
    <w:rsid w:val="005624BB"/>
    <w:rsid w:val="0056252C"/>
    <w:rsid w:val="00562664"/>
    <w:rsid w:val="0056285C"/>
    <w:rsid w:val="005629A1"/>
    <w:rsid w:val="00562AFA"/>
    <w:rsid w:val="00562C38"/>
    <w:rsid w:val="005632E7"/>
    <w:rsid w:val="00563581"/>
    <w:rsid w:val="00563599"/>
    <w:rsid w:val="00563C5F"/>
    <w:rsid w:val="00563DDC"/>
    <w:rsid w:val="00563E0A"/>
    <w:rsid w:val="00564029"/>
    <w:rsid w:val="00564172"/>
    <w:rsid w:val="00564208"/>
    <w:rsid w:val="00564472"/>
    <w:rsid w:val="00564623"/>
    <w:rsid w:val="0056469F"/>
    <w:rsid w:val="00564918"/>
    <w:rsid w:val="005649C7"/>
    <w:rsid w:val="00564AEA"/>
    <w:rsid w:val="00564BDA"/>
    <w:rsid w:val="00564C5D"/>
    <w:rsid w:val="00564CF0"/>
    <w:rsid w:val="00564D3C"/>
    <w:rsid w:val="00564EF6"/>
    <w:rsid w:val="005650AB"/>
    <w:rsid w:val="005652A7"/>
    <w:rsid w:val="005652D2"/>
    <w:rsid w:val="00565389"/>
    <w:rsid w:val="005657E2"/>
    <w:rsid w:val="0056580D"/>
    <w:rsid w:val="00565A14"/>
    <w:rsid w:val="00565C9D"/>
    <w:rsid w:val="005660EA"/>
    <w:rsid w:val="00566139"/>
    <w:rsid w:val="005661EA"/>
    <w:rsid w:val="005661F3"/>
    <w:rsid w:val="005662D7"/>
    <w:rsid w:val="00566310"/>
    <w:rsid w:val="005664C2"/>
    <w:rsid w:val="00566666"/>
    <w:rsid w:val="005667CF"/>
    <w:rsid w:val="00566813"/>
    <w:rsid w:val="00566837"/>
    <w:rsid w:val="00566B5B"/>
    <w:rsid w:val="00566B8A"/>
    <w:rsid w:val="00566BC8"/>
    <w:rsid w:val="00566BDE"/>
    <w:rsid w:val="00566C38"/>
    <w:rsid w:val="00566D02"/>
    <w:rsid w:val="00566D70"/>
    <w:rsid w:val="00566E59"/>
    <w:rsid w:val="00567247"/>
    <w:rsid w:val="0056736C"/>
    <w:rsid w:val="00567495"/>
    <w:rsid w:val="00567C0B"/>
    <w:rsid w:val="00567C66"/>
    <w:rsid w:val="00567CAD"/>
    <w:rsid w:val="00567CD1"/>
    <w:rsid w:val="00567D61"/>
    <w:rsid w:val="00570209"/>
    <w:rsid w:val="0057030C"/>
    <w:rsid w:val="005703FB"/>
    <w:rsid w:val="005704D0"/>
    <w:rsid w:val="0057056D"/>
    <w:rsid w:val="00570702"/>
    <w:rsid w:val="00570749"/>
    <w:rsid w:val="00570779"/>
    <w:rsid w:val="005709AC"/>
    <w:rsid w:val="005709AD"/>
    <w:rsid w:val="00570D70"/>
    <w:rsid w:val="00570DD4"/>
    <w:rsid w:val="00570EFC"/>
    <w:rsid w:val="00570F75"/>
    <w:rsid w:val="0057112F"/>
    <w:rsid w:val="005711A5"/>
    <w:rsid w:val="00571288"/>
    <w:rsid w:val="0057131D"/>
    <w:rsid w:val="005713AB"/>
    <w:rsid w:val="00571499"/>
    <w:rsid w:val="005718BC"/>
    <w:rsid w:val="00571A21"/>
    <w:rsid w:val="00571A56"/>
    <w:rsid w:val="00571CEB"/>
    <w:rsid w:val="00571D7B"/>
    <w:rsid w:val="00571DE1"/>
    <w:rsid w:val="00571FA8"/>
    <w:rsid w:val="00571FA9"/>
    <w:rsid w:val="00572015"/>
    <w:rsid w:val="0057216F"/>
    <w:rsid w:val="005722AA"/>
    <w:rsid w:val="00572349"/>
    <w:rsid w:val="0057236E"/>
    <w:rsid w:val="005725B2"/>
    <w:rsid w:val="005725FA"/>
    <w:rsid w:val="00572680"/>
    <w:rsid w:val="005729CA"/>
    <w:rsid w:val="00572AAA"/>
    <w:rsid w:val="00572AE9"/>
    <w:rsid w:val="00572AF5"/>
    <w:rsid w:val="00572D52"/>
    <w:rsid w:val="00572E28"/>
    <w:rsid w:val="00572F0A"/>
    <w:rsid w:val="00572FE4"/>
    <w:rsid w:val="00573044"/>
    <w:rsid w:val="0057304C"/>
    <w:rsid w:val="0057309E"/>
    <w:rsid w:val="00573257"/>
    <w:rsid w:val="0057358F"/>
    <w:rsid w:val="005735DB"/>
    <w:rsid w:val="005735FA"/>
    <w:rsid w:val="005739D9"/>
    <w:rsid w:val="00573D5C"/>
    <w:rsid w:val="00573D9D"/>
    <w:rsid w:val="00573EFC"/>
    <w:rsid w:val="00573F02"/>
    <w:rsid w:val="00573F82"/>
    <w:rsid w:val="00573FDA"/>
    <w:rsid w:val="00574083"/>
    <w:rsid w:val="005740EB"/>
    <w:rsid w:val="005743B3"/>
    <w:rsid w:val="0057469A"/>
    <w:rsid w:val="005746A6"/>
    <w:rsid w:val="00574732"/>
    <w:rsid w:val="00574BF1"/>
    <w:rsid w:val="00574DFC"/>
    <w:rsid w:val="00574FF7"/>
    <w:rsid w:val="00575141"/>
    <w:rsid w:val="00575202"/>
    <w:rsid w:val="00575212"/>
    <w:rsid w:val="0057521C"/>
    <w:rsid w:val="00575279"/>
    <w:rsid w:val="00575391"/>
    <w:rsid w:val="005754CF"/>
    <w:rsid w:val="00575500"/>
    <w:rsid w:val="00575675"/>
    <w:rsid w:val="005756CC"/>
    <w:rsid w:val="005757C6"/>
    <w:rsid w:val="005757D3"/>
    <w:rsid w:val="0057585C"/>
    <w:rsid w:val="005758B0"/>
    <w:rsid w:val="00575A1E"/>
    <w:rsid w:val="00575B65"/>
    <w:rsid w:val="00575B9A"/>
    <w:rsid w:val="00575C35"/>
    <w:rsid w:val="00575D7D"/>
    <w:rsid w:val="00575D99"/>
    <w:rsid w:val="00575ED8"/>
    <w:rsid w:val="00575FD7"/>
    <w:rsid w:val="00576168"/>
    <w:rsid w:val="005761EC"/>
    <w:rsid w:val="0057624F"/>
    <w:rsid w:val="00576316"/>
    <w:rsid w:val="00576329"/>
    <w:rsid w:val="0057634C"/>
    <w:rsid w:val="005763E0"/>
    <w:rsid w:val="005763F5"/>
    <w:rsid w:val="0057657A"/>
    <w:rsid w:val="005765DC"/>
    <w:rsid w:val="00576B6D"/>
    <w:rsid w:val="00576C7F"/>
    <w:rsid w:val="00576DD1"/>
    <w:rsid w:val="00576FC1"/>
    <w:rsid w:val="00576FCE"/>
    <w:rsid w:val="0057718C"/>
    <w:rsid w:val="00577260"/>
    <w:rsid w:val="0057756A"/>
    <w:rsid w:val="005776D6"/>
    <w:rsid w:val="00577830"/>
    <w:rsid w:val="00577913"/>
    <w:rsid w:val="00577BCE"/>
    <w:rsid w:val="00577CF8"/>
    <w:rsid w:val="00577D74"/>
    <w:rsid w:val="00577E46"/>
    <w:rsid w:val="0058006C"/>
    <w:rsid w:val="005802B8"/>
    <w:rsid w:val="005803AB"/>
    <w:rsid w:val="00580662"/>
    <w:rsid w:val="00580785"/>
    <w:rsid w:val="00580E63"/>
    <w:rsid w:val="00580ECF"/>
    <w:rsid w:val="00581051"/>
    <w:rsid w:val="0058108B"/>
    <w:rsid w:val="005810E6"/>
    <w:rsid w:val="005811EB"/>
    <w:rsid w:val="00581242"/>
    <w:rsid w:val="005812F5"/>
    <w:rsid w:val="0058132A"/>
    <w:rsid w:val="005814C6"/>
    <w:rsid w:val="005815B8"/>
    <w:rsid w:val="005815C0"/>
    <w:rsid w:val="0058177B"/>
    <w:rsid w:val="00581857"/>
    <w:rsid w:val="00581A8E"/>
    <w:rsid w:val="00581B49"/>
    <w:rsid w:val="00581B8B"/>
    <w:rsid w:val="00581BC3"/>
    <w:rsid w:val="00581EAC"/>
    <w:rsid w:val="00581EB7"/>
    <w:rsid w:val="00581ECA"/>
    <w:rsid w:val="0058205F"/>
    <w:rsid w:val="00582340"/>
    <w:rsid w:val="00582476"/>
    <w:rsid w:val="005827EE"/>
    <w:rsid w:val="00582862"/>
    <w:rsid w:val="0058297D"/>
    <w:rsid w:val="00582A9D"/>
    <w:rsid w:val="00582B8C"/>
    <w:rsid w:val="00582C10"/>
    <w:rsid w:val="00582DDC"/>
    <w:rsid w:val="00582EE5"/>
    <w:rsid w:val="00583052"/>
    <w:rsid w:val="00583162"/>
    <w:rsid w:val="00583218"/>
    <w:rsid w:val="005834EA"/>
    <w:rsid w:val="0058350E"/>
    <w:rsid w:val="005836F5"/>
    <w:rsid w:val="005838D0"/>
    <w:rsid w:val="00583A8A"/>
    <w:rsid w:val="00583BF7"/>
    <w:rsid w:val="00583DAC"/>
    <w:rsid w:val="00583DE1"/>
    <w:rsid w:val="00583E08"/>
    <w:rsid w:val="00583FE3"/>
    <w:rsid w:val="00584005"/>
    <w:rsid w:val="0058400C"/>
    <w:rsid w:val="00584192"/>
    <w:rsid w:val="00584198"/>
    <w:rsid w:val="00584263"/>
    <w:rsid w:val="005842C0"/>
    <w:rsid w:val="005842D5"/>
    <w:rsid w:val="00584727"/>
    <w:rsid w:val="00584809"/>
    <w:rsid w:val="00584B01"/>
    <w:rsid w:val="00584C6E"/>
    <w:rsid w:val="00584C93"/>
    <w:rsid w:val="00584D0C"/>
    <w:rsid w:val="00584D7C"/>
    <w:rsid w:val="00584D7D"/>
    <w:rsid w:val="00584F09"/>
    <w:rsid w:val="005850A7"/>
    <w:rsid w:val="0058512F"/>
    <w:rsid w:val="0058519C"/>
    <w:rsid w:val="0058549D"/>
    <w:rsid w:val="00585500"/>
    <w:rsid w:val="00585619"/>
    <w:rsid w:val="0058561A"/>
    <w:rsid w:val="005856F2"/>
    <w:rsid w:val="00585734"/>
    <w:rsid w:val="00585E89"/>
    <w:rsid w:val="0058622C"/>
    <w:rsid w:val="005862BC"/>
    <w:rsid w:val="00586309"/>
    <w:rsid w:val="00586375"/>
    <w:rsid w:val="005864DC"/>
    <w:rsid w:val="00586532"/>
    <w:rsid w:val="0058657E"/>
    <w:rsid w:val="00586968"/>
    <w:rsid w:val="00586A00"/>
    <w:rsid w:val="00586CD3"/>
    <w:rsid w:val="00586D1D"/>
    <w:rsid w:val="00586D5F"/>
    <w:rsid w:val="00586DC8"/>
    <w:rsid w:val="00586DD5"/>
    <w:rsid w:val="00586E9C"/>
    <w:rsid w:val="0058702A"/>
    <w:rsid w:val="00587038"/>
    <w:rsid w:val="0058748C"/>
    <w:rsid w:val="00587597"/>
    <w:rsid w:val="00587673"/>
    <w:rsid w:val="00587692"/>
    <w:rsid w:val="005876A6"/>
    <w:rsid w:val="005876C2"/>
    <w:rsid w:val="005876D8"/>
    <w:rsid w:val="00587765"/>
    <w:rsid w:val="00587A91"/>
    <w:rsid w:val="00587B0C"/>
    <w:rsid w:val="00587D68"/>
    <w:rsid w:val="0059038A"/>
    <w:rsid w:val="00590402"/>
    <w:rsid w:val="0059044A"/>
    <w:rsid w:val="00590481"/>
    <w:rsid w:val="005904C3"/>
    <w:rsid w:val="00590582"/>
    <w:rsid w:val="00590A2F"/>
    <w:rsid w:val="00590A56"/>
    <w:rsid w:val="00590ADA"/>
    <w:rsid w:val="00590D3D"/>
    <w:rsid w:val="00590D44"/>
    <w:rsid w:val="005910DC"/>
    <w:rsid w:val="00591284"/>
    <w:rsid w:val="0059158D"/>
    <w:rsid w:val="00591951"/>
    <w:rsid w:val="00591998"/>
    <w:rsid w:val="00591AE5"/>
    <w:rsid w:val="00591B68"/>
    <w:rsid w:val="00591C12"/>
    <w:rsid w:val="00591EFE"/>
    <w:rsid w:val="0059210D"/>
    <w:rsid w:val="00592437"/>
    <w:rsid w:val="005924E6"/>
    <w:rsid w:val="005925B2"/>
    <w:rsid w:val="00592672"/>
    <w:rsid w:val="00592681"/>
    <w:rsid w:val="00592AB7"/>
    <w:rsid w:val="00592C99"/>
    <w:rsid w:val="00592D1C"/>
    <w:rsid w:val="005930A0"/>
    <w:rsid w:val="00593161"/>
    <w:rsid w:val="0059343F"/>
    <w:rsid w:val="0059375E"/>
    <w:rsid w:val="0059376B"/>
    <w:rsid w:val="00593791"/>
    <w:rsid w:val="00593797"/>
    <w:rsid w:val="005937FB"/>
    <w:rsid w:val="00593D17"/>
    <w:rsid w:val="005940E0"/>
    <w:rsid w:val="005946A5"/>
    <w:rsid w:val="00594871"/>
    <w:rsid w:val="0059492A"/>
    <w:rsid w:val="00594B66"/>
    <w:rsid w:val="00594F93"/>
    <w:rsid w:val="00595433"/>
    <w:rsid w:val="00595689"/>
    <w:rsid w:val="005957EF"/>
    <w:rsid w:val="00595988"/>
    <w:rsid w:val="0059598B"/>
    <w:rsid w:val="00595AF7"/>
    <w:rsid w:val="00595B1F"/>
    <w:rsid w:val="00595B5C"/>
    <w:rsid w:val="00595C00"/>
    <w:rsid w:val="00595D5F"/>
    <w:rsid w:val="00595DDD"/>
    <w:rsid w:val="00596095"/>
    <w:rsid w:val="005960D4"/>
    <w:rsid w:val="0059615F"/>
    <w:rsid w:val="005964E6"/>
    <w:rsid w:val="00596633"/>
    <w:rsid w:val="00596729"/>
    <w:rsid w:val="0059675D"/>
    <w:rsid w:val="005969DF"/>
    <w:rsid w:val="00596B3C"/>
    <w:rsid w:val="00596C9A"/>
    <w:rsid w:val="00596E0A"/>
    <w:rsid w:val="00596E23"/>
    <w:rsid w:val="00596E46"/>
    <w:rsid w:val="00597096"/>
    <w:rsid w:val="005971A3"/>
    <w:rsid w:val="00597455"/>
    <w:rsid w:val="00597725"/>
    <w:rsid w:val="00597880"/>
    <w:rsid w:val="005978D5"/>
    <w:rsid w:val="005979E7"/>
    <w:rsid w:val="005979EC"/>
    <w:rsid w:val="00597B05"/>
    <w:rsid w:val="00597C4B"/>
    <w:rsid w:val="00597D7E"/>
    <w:rsid w:val="00597F33"/>
    <w:rsid w:val="005A0018"/>
    <w:rsid w:val="005A0069"/>
    <w:rsid w:val="005A0339"/>
    <w:rsid w:val="005A0598"/>
    <w:rsid w:val="005A06C2"/>
    <w:rsid w:val="005A07A4"/>
    <w:rsid w:val="005A082C"/>
    <w:rsid w:val="005A08CF"/>
    <w:rsid w:val="005A0920"/>
    <w:rsid w:val="005A0964"/>
    <w:rsid w:val="005A0A2C"/>
    <w:rsid w:val="005A0B70"/>
    <w:rsid w:val="005A0C31"/>
    <w:rsid w:val="005A10BC"/>
    <w:rsid w:val="005A1241"/>
    <w:rsid w:val="005A1299"/>
    <w:rsid w:val="005A142E"/>
    <w:rsid w:val="005A15BE"/>
    <w:rsid w:val="005A15D3"/>
    <w:rsid w:val="005A1754"/>
    <w:rsid w:val="005A181D"/>
    <w:rsid w:val="005A198B"/>
    <w:rsid w:val="005A19A7"/>
    <w:rsid w:val="005A19BF"/>
    <w:rsid w:val="005A1C43"/>
    <w:rsid w:val="005A1DD2"/>
    <w:rsid w:val="005A1FB7"/>
    <w:rsid w:val="005A20D4"/>
    <w:rsid w:val="005A22FD"/>
    <w:rsid w:val="005A2476"/>
    <w:rsid w:val="005A24CD"/>
    <w:rsid w:val="005A29BB"/>
    <w:rsid w:val="005A2A7A"/>
    <w:rsid w:val="005A2B0F"/>
    <w:rsid w:val="005A2DF8"/>
    <w:rsid w:val="005A2F1A"/>
    <w:rsid w:val="005A2F77"/>
    <w:rsid w:val="005A3351"/>
    <w:rsid w:val="005A34CD"/>
    <w:rsid w:val="005A35DB"/>
    <w:rsid w:val="005A368E"/>
    <w:rsid w:val="005A3A83"/>
    <w:rsid w:val="005A3AFD"/>
    <w:rsid w:val="005A3BE2"/>
    <w:rsid w:val="005A3C42"/>
    <w:rsid w:val="005A3C6D"/>
    <w:rsid w:val="005A3CDF"/>
    <w:rsid w:val="005A3D1F"/>
    <w:rsid w:val="005A4159"/>
    <w:rsid w:val="005A4325"/>
    <w:rsid w:val="005A4537"/>
    <w:rsid w:val="005A46BF"/>
    <w:rsid w:val="005A4867"/>
    <w:rsid w:val="005A48A4"/>
    <w:rsid w:val="005A4918"/>
    <w:rsid w:val="005A49F1"/>
    <w:rsid w:val="005A4A21"/>
    <w:rsid w:val="005A4A2A"/>
    <w:rsid w:val="005A4AB0"/>
    <w:rsid w:val="005A4ADA"/>
    <w:rsid w:val="005A4D6B"/>
    <w:rsid w:val="005A4E49"/>
    <w:rsid w:val="005A4F51"/>
    <w:rsid w:val="005A50E5"/>
    <w:rsid w:val="005A52E4"/>
    <w:rsid w:val="005A535E"/>
    <w:rsid w:val="005A53CB"/>
    <w:rsid w:val="005A5415"/>
    <w:rsid w:val="005A55DD"/>
    <w:rsid w:val="005A56B3"/>
    <w:rsid w:val="005A56D2"/>
    <w:rsid w:val="005A570F"/>
    <w:rsid w:val="005A5C04"/>
    <w:rsid w:val="005A5ED9"/>
    <w:rsid w:val="005A5F02"/>
    <w:rsid w:val="005A60B1"/>
    <w:rsid w:val="005A60E1"/>
    <w:rsid w:val="005A6203"/>
    <w:rsid w:val="005A62D9"/>
    <w:rsid w:val="005A63DC"/>
    <w:rsid w:val="005A644F"/>
    <w:rsid w:val="005A64E9"/>
    <w:rsid w:val="005A66B7"/>
    <w:rsid w:val="005A6837"/>
    <w:rsid w:val="005A6B4F"/>
    <w:rsid w:val="005A6BC7"/>
    <w:rsid w:val="005A6BDC"/>
    <w:rsid w:val="005A6CCD"/>
    <w:rsid w:val="005A6D55"/>
    <w:rsid w:val="005A6D9B"/>
    <w:rsid w:val="005A6DC1"/>
    <w:rsid w:val="005A6E1B"/>
    <w:rsid w:val="005A6E75"/>
    <w:rsid w:val="005A6F07"/>
    <w:rsid w:val="005A704F"/>
    <w:rsid w:val="005A7075"/>
    <w:rsid w:val="005A708D"/>
    <w:rsid w:val="005A7111"/>
    <w:rsid w:val="005A7127"/>
    <w:rsid w:val="005A7186"/>
    <w:rsid w:val="005A7207"/>
    <w:rsid w:val="005A7389"/>
    <w:rsid w:val="005A77A6"/>
    <w:rsid w:val="005A78B4"/>
    <w:rsid w:val="005A7A37"/>
    <w:rsid w:val="005A7C24"/>
    <w:rsid w:val="005A7EDF"/>
    <w:rsid w:val="005A7F0F"/>
    <w:rsid w:val="005B0328"/>
    <w:rsid w:val="005B036E"/>
    <w:rsid w:val="005B03C3"/>
    <w:rsid w:val="005B04FF"/>
    <w:rsid w:val="005B05C9"/>
    <w:rsid w:val="005B077D"/>
    <w:rsid w:val="005B07EA"/>
    <w:rsid w:val="005B0893"/>
    <w:rsid w:val="005B08CF"/>
    <w:rsid w:val="005B0B8A"/>
    <w:rsid w:val="005B0C9F"/>
    <w:rsid w:val="005B12B2"/>
    <w:rsid w:val="005B1772"/>
    <w:rsid w:val="005B1A6A"/>
    <w:rsid w:val="005B1B62"/>
    <w:rsid w:val="005B1B8D"/>
    <w:rsid w:val="005B1BCE"/>
    <w:rsid w:val="005B1CF9"/>
    <w:rsid w:val="005B1D50"/>
    <w:rsid w:val="005B1F08"/>
    <w:rsid w:val="005B1FF4"/>
    <w:rsid w:val="005B21A4"/>
    <w:rsid w:val="005B21D7"/>
    <w:rsid w:val="005B2518"/>
    <w:rsid w:val="005B2537"/>
    <w:rsid w:val="005B25B6"/>
    <w:rsid w:val="005B270A"/>
    <w:rsid w:val="005B289D"/>
    <w:rsid w:val="005B29A3"/>
    <w:rsid w:val="005B2C29"/>
    <w:rsid w:val="005B337A"/>
    <w:rsid w:val="005B3588"/>
    <w:rsid w:val="005B36E4"/>
    <w:rsid w:val="005B36F6"/>
    <w:rsid w:val="005B3BD5"/>
    <w:rsid w:val="005B3D88"/>
    <w:rsid w:val="005B3EAE"/>
    <w:rsid w:val="005B3FA7"/>
    <w:rsid w:val="005B4029"/>
    <w:rsid w:val="005B40F6"/>
    <w:rsid w:val="005B4134"/>
    <w:rsid w:val="005B419F"/>
    <w:rsid w:val="005B431E"/>
    <w:rsid w:val="005B4330"/>
    <w:rsid w:val="005B45EE"/>
    <w:rsid w:val="005B45FB"/>
    <w:rsid w:val="005B46C5"/>
    <w:rsid w:val="005B48EC"/>
    <w:rsid w:val="005B4B9C"/>
    <w:rsid w:val="005B4BCA"/>
    <w:rsid w:val="005B4DAE"/>
    <w:rsid w:val="005B4E9A"/>
    <w:rsid w:val="005B52DF"/>
    <w:rsid w:val="005B5310"/>
    <w:rsid w:val="005B5465"/>
    <w:rsid w:val="005B5536"/>
    <w:rsid w:val="005B5549"/>
    <w:rsid w:val="005B5724"/>
    <w:rsid w:val="005B578C"/>
    <w:rsid w:val="005B59EB"/>
    <w:rsid w:val="005B5FCC"/>
    <w:rsid w:val="005B6089"/>
    <w:rsid w:val="005B611C"/>
    <w:rsid w:val="005B61AF"/>
    <w:rsid w:val="005B6284"/>
    <w:rsid w:val="005B63D6"/>
    <w:rsid w:val="005B6466"/>
    <w:rsid w:val="005B64D4"/>
    <w:rsid w:val="005B6520"/>
    <w:rsid w:val="005B6826"/>
    <w:rsid w:val="005B6999"/>
    <w:rsid w:val="005B6A8A"/>
    <w:rsid w:val="005B6B8F"/>
    <w:rsid w:val="005B6D99"/>
    <w:rsid w:val="005B7203"/>
    <w:rsid w:val="005B74AB"/>
    <w:rsid w:val="005B775F"/>
    <w:rsid w:val="005B7817"/>
    <w:rsid w:val="005B789C"/>
    <w:rsid w:val="005B78D8"/>
    <w:rsid w:val="005B7970"/>
    <w:rsid w:val="005B7BC1"/>
    <w:rsid w:val="005B7EB4"/>
    <w:rsid w:val="005C0169"/>
    <w:rsid w:val="005C01A2"/>
    <w:rsid w:val="005C031D"/>
    <w:rsid w:val="005C044B"/>
    <w:rsid w:val="005C04D1"/>
    <w:rsid w:val="005C0565"/>
    <w:rsid w:val="005C06BC"/>
    <w:rsid w:val="005C0808"/>
    <w:rsid w:val="005C091E"/>
    <w:rsid w:val="005C092D"/>
    <w:rsid w:val="005C0A95"/>
    <w:rsid w:val="005C0B30"/>
    <w:rsid w:val="005C0B5E"/>
    <w:rsid w:val="005C0D36"/>
    <w:rsid w:val="005C0E7B"/>
    <w:rsid w:val="005C0E8B"/>
    <w:rsid w:val="005C0EA3"/>
    <w:rsid w:val="005C0FF1"/>
    <w:rsid w:val="005C12D8"/>
    <w:rsid w:val="005C137D"/>
    <w:rsid w:val="005C1484"/>
    <w:rsid w:val="005C169F"/>
    <w:rsid w:val="005C177E"/>
    <w:rsid w:val="005C1985"/>
    <w:rsid w:val="005C19B5"/>
    <w:rsid w:val="005C1AD2"/>
    <w:rsid w:val="005C1B54"/>
    <w:rsid w:val="005C1C5B"/>
    <w:rsid w:val="005C1E82"/>
    <w:rsid w:val="005C1EC0"/>
    <w:rsid w:val="005C1F49"/>
    <w:rsid w:val="005C2085"/>
    <w:rsid w:val="005C2409"/>
    <w:rsid w:val="005C2447"/>
    <w:rsid w:val="005C2510"/>
    <w:rsid w:val="005C265D"/>
    <w:rsid w:val="005C29D6"/>
    <w:rsid w:val="005C2B95"/>
    <w:rsid w:val="005C2C82"/>
    <w:rsid w:val="005C2C95"/>
    <w:rsid w:val="005C2D60"/>
    <w:rsid w:val="005C2ECF"/>
    <w:rsid w:val="005C2EF7"/>
    <w:rsid w:val="005C2EFF"/>
    <w:rsid w:val="005C2F27"/>
    <w:rsid w:val="005C3237"/>
    <w:rsid w:val="005C36F4"/>
    <w:rsid w:val="005C370B"/>
    <w:rsid w:val="005C388B"/>
    <w:rsid w:val="005C3925"/>
    <w:rsid w:val="005C3933"/>
    <w:rsid w:val="005C3947"/>
    <w:rsid w:val="005C39BC"/>
    <w:rsid w:val="005C39DE"/>
    <w:rsid w:val="005C3B1D"/>
    <w:rsid w:val="005C3B57"/>
    <w:rsid w:val="005C3CA0"/>
    <w:rsid w:val="005C3CA4"/>
    <w:rsid w:val="005C3CFD"/>
    <w:rsid w:val="005C3F4B"/>
    <w:rsid w:val="005C3FC6"/>
    <w:rsid w:val="005C40C7"/>
    <w:rsid w:val="005C410E"/>
    <w:rsid w:val="005C422F"/>
    <w:rsid w:val="005C4380"/>
    <w:rsid w:val="005C4449"/>
    <w:rsid w:val="005C4452"/>
    <w:rsid w:val="005C48CB"/>
    <w:rsid w:val="005C4936"/>
    <w:rsid w:val="005C4A70"/>
    <w:rsid w:val="005C4C2B"/>
    <w:rsid w:val="005C4C34"/>
    <w:rsid w:val="005C4E03"/>
    <w:rsid w:val="005C52CF"/>
    <w:rsid w:val="005C5365"/>
    <w:rsid w:val="005C53D0"/>
    <w:rsid w:val="005C5463"/>
    <w:rsid w:val="005C5473"/>
    <w:rsid w:val="005C5496"/>
    <w:rsid w:val="005C54F1"/>
    <w:rsid w:val="005C5562"/>
    <w:rsid w:val="005C56C4"/>
    <w:rsid w:val="005C5923"/>
    <w:rsid w:val="005C59F3"/>
    <w:rsid w:val="005C5B6E"/>
    <w:rsid w:val="005C5D41"/>
    <w:rsid w:val="005C5D6A"/>
    <w:rsid w:val="005C5DEF"/>
    <w:rsid w:val="005C5F06"/>
    <w:rsid w:val="005C5F51"/>
    <w:rsid w:val="005C6139"/>
    <w:rsid w:val="005C6875"/>
    <w:rsid w:val="005C68AE"/>
    <w:rsid w:val="005C692B"/>
    <w:rsid w:val="005C69D4"/>
    <w:rsid w:val="005C6B9E"/>
    <w:rsid w:val="005C6E8A"/>
    <w:rsid w:val="005C708E"/>
    <w:rsid w:val="005C7120"/>
    <w:rsid w:val="005C748B"/>
    <w:rsid w:val="005C752C"/>
    <w:rsid w:val="005C7982"/>
    <w:rsid w:val="005C7A27"/>
    <w:rsid w:val="005C7A67"/>
    <w:rsid w:val="005C7B98"/>
    <w:rsid w:val="005C7CE4"/>
    <w:rsid w:val="005D006F"/>
    <w:rsid w:val="005D00B9"/>
    <w:rsid w:val="005D075A"/>
    <w:rsid w:val="005D0B0E"/>
    <w:rsid w:val="005D0C19"/>
    <w:rsid w:val="005D0D9B"/>
    <w:rsid w:val="005D0E20"/>
    <w:rsid w:val="005D0EB1"/>
    <w:rsid w:val="005D0F5B"/>
    <w:rsid w:val="005D13B1"/>
    <w:rsid w:val="005D14AD"/>
    <w:rsid w:val="005D1587"/>
    <w:rsid w:val="005D15C9"/>
    <w:rsid w:val="005D1629"/>
    <w:rsid w:val="005D1708"/>
    <w:rsid w:val="005D1770"/>
    <w:rsid w:val="005D1895"/>
    <w:rsid w:val="005D1A0C"/>
    <w:rsid w:val="005D1B65"/>
    <w:rsid w:val="005D1F34"/>
    <w:rsid w:val="005D1F44"/>
    <w:rsid w:val="005D22A8"/>
    <w:rsid w:val="005D22D6"/>
    <w:rsid w:val="005D2365"/>
    <w:rsid w:val="005D2453"/>
    <w:rsid w:val="005D2526"/>
    <w:rsid w:val="005D2541"/>
    <w:rsid w:val="005D2570"/>
    <w:rsid w:val="005D2639"/>
    <w:rsid w:val="005D2693"/>
    <w:rsid w:val="005D270A"/>
    <w:rsid w:val="005D27F8"/>
    <w:rsid w:val="005D2867"/>
    <w:rsid w:val="005D2943"/>
    <w:rsid w:val="005D296E"/>
    <w:rsid w:val="005D2ADB"/>
    <w:rsid w:val="005D2C95"/>
    <w:rsid w:val="005D2EE4"/>
    <w:rsid w:val="005D2F10"/>
    <w:rsid w:val="005D3018"/>
    <w:rsid w:val="005D3076"/>
    <w:rsid w:val="005D307F"/>
    <w:rsid w:val="005D31CB"/>
    <w:rsid w:val="005D3691"/>
    <w:rsid w:val="005D383D"/>
    <w:rsid w:val="005D3937"/>
    <w:rsid w:val="005D39AA"/>
    <w:rsid w:val="005D3C6E"/>
    <w:rsid w:val="005D3CEF"/>
    <w:rsid w:val="005D3D25"/>
    <w:rsid w:val="005D3D3D"/>
    <w:rsid w:val="005D3EFC"/>
    <w:rsid w:val="005D3FE7"/>
    <w:rsid w:val="005D4136"/>
    <w:rsid w:val="005D417C"/>
    <w:rsid w:val="005D4286"/>
    <w:rsid w:val="005D430D"/>
    <w:rsid w:val="005D4405"/>
    <w:rsid w:val="005D445A"/>
    <w:rsid w:val="005D467B"/>
    <w:rsid w:val="005D469B"/>
    <w:rsid w:val="005D4824"/>
    <w:rsid w:val="005D4897"/>
    <w:rsid w:val="005D4AE9"/>
    <w:rsid w:val="005D4B4E"/>
    <w:rsid w:val="005D4C29"/>
    <w:rsid w:val="005D4CD6"/>
    <w:rsid w:val="005D4DFA"/>
    <w:rsid w:val="005D4EB7"/>
    <w:rsid w:val="005D4ED1"/>
    <w:rsid w:val="005D50D0"/>
    <w:rsid w:val="005D519F"/>
    <w:rsid w:val="005D52AA"/>
    <w:rsid w:val="005D5476"/>
    <w:rsid w:val="005D55F3"/>
    <w:rsid w:val="005D56C2"/>
    <w:rsid w:val="005D585D"/>
    <w:rsid w:val="005D599C"/>
    <w:rsid w:val="005D5B89"/>
    <w:rsid w:val="005D5C14"/>
    <w:rsid w:val="005D5C1C"/>
    <w:rsid w:val="005D5C1D"/>
    <w:rsid w:val="005D5E24"/>
    <w:rsid w:val="005D5EA9"/>
    <w:rsid w:val="005D5F17"/>
    <w:rsid w:val="005D6059"/>
    <w:rsid w:val="005D66A7"/>
    <w:rsid w:val="005D6786"/>
    <w:rsid w:val="005D6897"/>
    <w:rsid w:val="005D69B0"/>
    <w:rsid w:val="005D69BF"/>
    <w:rsid w:val="005D6A5F"/>
    <w:rsid w:val="005D6AA6"/>
    <w:rsid w:val="005D6EC9"/>
    <w:rsid w:val="005D6FBF"/>
    <w:rsid w:val="005D70B1"/>
    <w:rsid w:val="005D71C3"/>
    <w:rsid w:val="005D7284"/>
    <w:rsid w:val="005D7349"/>
    <w:rsid w:val="005D7584"/>
    <w:rsid w:val="005D75BF"/>
    <w:rsid w:val="005D7760"/>
    <w:rsid w:val="005D77A4"/>
    <w:rsid w:val="005D7884"/>
    <w:rsid w:val="005D790A"/>
    <w:rsid w:val="005D79BE"/>
    <w:rsid w:val="005D7A83"/>
    <w:rsid w:val="005D7B66"/>
    <w:rsid w:val="005D7D54"/>
    <w:rsid w:val="005E000A"/>
    <w:rsid w:val="005E014E"/>
    <w:rsid w:val="005E0202"/>
    <w:rsid w:val="005E03CE"/>
    <w:rsid w:val="005E054B"/>
    <w:rsid w:val="005E0656"/>
    <w:rsid w:val="005E065D"/>
    <w:rsid w:val="005E067B"/>
    <w:rsid w:val="005E0852"/>
    <w:rsid w:val="005E08DD"/>
    <w:rsid w:val="005E0955"/>
    <w:rsid w:val="005E09CD"/>
    <w:rsid w:val="005E0BEA"/>
    <w:rsid w:val="005E0D79"/>
    <w:rsid w:val="005E0DBD"/>
    <w:rsid w:val="005E10A9"/>
    <w:rsid w:val="005E120D"/>
    <w:rsid w:val="005E1307"/>
    <w:rsid w:val="005E1872"/>
    <w:rsid w:val="005E18F0"/>
    <w:rsid w:val="005E19A5"/>
    <w:rsid w:val="005E1B84"/>
    <w:rsid w:val="005E1C8A"/>
    <w:rsid w:val="005E1D51"/>
    <w:rsid w:val="005E1E15"/>
    <w:rsid w:val="005E20F1"/>
    <w:rsid w:val="005E2189"/>
    <w:rsid w:val="005E2225"/>
    <w:rsid w:val="005E2230"/>
    <w:rsid w:val="005E2494"/>
    <w:rsid w:val="005E27C4"/>
    <w:rsid w:val="005E299C"/>
    <w:rsid w:val="005E2A18"/>
    <w:rsid w:val="005E2CF2"/>
    <w:rsid w:val="005E2D52"/>
    <w:rsid w:val="005E2DAC"/>
    <w:rsid w:val="005E2DE2"/>
    <w:rsid w:val="005E2EB9"/>
    <w:rsid w:val="005E2EC3"/>
    <w:rsid w:val="005E30D5"/>
    <w:rsid w:val="005E33BB"/>
    <w:rsid w:val="005E352E"/>
    <w:rsid w:val="005E359B"/>
    <w:rsid w:val="005E37B1"/>
    <w:rsid w:val="005E3989"/>
    <w:rsid w:val="005E3E1E"/>
    <w:rsid w:val="005E41CA"/>
    <w:rsid w:val="005E421C"/>
    <w:rsid w:val="005E4361"/>
    <w:rsid w:val="005E4519"/>
    <w:rsid w:val="005E48D1"/>
    <w:rsid w:val="005E49A3"/>
    <w:rsid w:val="005E4AFD"/>
    <w:rsid w:val="005E4BE5"/>
    <w:rsid w:val="005E4C1A"/>
    <w:rsid w:val="005E4C30"/>
    <w:rsid w:val="005E4F90"/>
    <w:rsid w:val="005E4FEA"/>
    <w:rsid w:val="005E5036"/>
    <w:rsid w:val="005E5055"/>
    <w:rsid w:val="005E5193"/>
    <w:rsid w:val="005E536D"/>
    <w:rsid w:val="005E539A"/>
    <w:rsid w:val="005E545F"/>
    <w:rsid w:val="005E56D4"/>
    <w:rsid w:val="005E5747"/>
    <w:rsid w:val="005E5797"/>
    <w:rsid w:val="005E5874"/>
    <w:rsid w:val="005E5C56"/>
    <w:rsid w:val="005E5E04"/>
    <w:rsid w:val="005E5F09"/>
    <w:rsid w:val="005E5F32"/>
    <w:rsid w:val="005E6082"/>
    <w:rsid w:val="005E6089"/>
    <w:rsid w:val="005E60AC"/>
    <w:rsid w:val="005E613D"/>
    <w:rsid w:val="005E614E"/>
    <w:rsid w:val="005E61D5"/>
    <w:rsid w:val="005E6315"/>
    <w:rsid w:val="005E6343"/>
    <w:rsid w:val="005E671D"/>
    <w:rsid w:val="005E6C0A"/>
    <w:rsid w:val="005E6C87"/>
    <w:rsid w:val="005E6C95"/>
    <w:rsid w:val="005E6D22"/>
    <w:rsid w:val="005E6DA1"/>
    <w:rsid w:val="005E6F03"/>
    <w:rsid w:val="005E6F6E"/>
    <w:rsid w:val="005E7161"/>
    <w:rsid w:val="005E725B"/>
    <w:rsid w:val="005E736D"/>
    <w:rsid w:val="005E7380"/>
    <w:rsid w:val="005E74C6"/>
    <w:rsid w:val="005E758C"/>
    <w:rsid w:val="005E771F"/>
    <w:rsid w:val="005E77B7"/>
    <w:rsid w:val="005E77ED"/>
    <w:rsid w:val="005E78EB"/>
    <w:rsid w:val="005E79E0"/>
    <w:rsid w:val="005E79E8"/>
    <w:rsid w:val="005E7C5B"/>
    <w:rsid w:val="005E7F60"/>
    <w:rsid w:val="005F00C9"/>
    <w:rsid w:val="005F01BB"/>
    <w:rsid w:val="005F0234"/>
    <w:rsid w:val="005F048C"/>
    <w:rsid w:val="005F0537"/>
    <w:rsid w:val="005F062C"/>
    <w:rsid w:val="005F0859"/>
    <w:rsid w:val="005F0907"/>
    <w:rsid w:val="005F097E"/>
    <w:rsid w:val="005F09FE"/>
    <w:rsid w:val="005F0B66"/>
    <w:rsid w:val="005F0F8A"/>
    <w:rsid w:val="005F104D"/>
    <w:rsid w:val="005F10C8"/>
    <w:rsid w:val="005F1159"/>
    <w:rsid w:val="005F12B1"/>
    <w:rsid w:val="005F13C7"/>
    <w:rsid w:val="005F1522"/>
    <w:rsid w:val="005F1545"/>
    <w:rsid w:val="005F1687"/>
    <w:rsid w:val="005F171B"/>
    <w:rsid w:val="005F1731"/>
    <w:rsid w:val="005F181F"/>
    <w:rsid w:val="005F190C"/>
    <w:rsid w:val="005F1BFC"/>
    <w:rsid w:val="005F1ED4"/>
    <w:rsid w:val="005F20AD"/>
    <w:rsid w:val="005F21AB"/>
    <w:rsid w:val="005F25D9"/>
    <w:rsid w:val="005F26BF"/>
    <w:rsid w:val="005F2777"/>
    <w:rsid w:val="005F27B9"/>
    <w:rsid w:val="005F281A"/>
    <w:rsid w:val="005F2961"/>
    <w:rsid w:val="005F2A5D"/>
    <w:rsid w:val="005F2B0E"/>
    <w:rsid w:val="005F2CE0"/>
    <w:rsid w:val="005F2DBD"/>
    <w:rsid w:val="005F2E75"/>
    <w:rsid w:val="005F2EDC"/>
    <w:rsid w:val="005F2FF7"/>
    <w:rsid w:val="005F3059"/>
    <w:rsid w:val="005F3113"/>
    <w:rsid w:val="005F3420"/>
    <w:rsid w:val="005F3467"/>
    <w:rsid w:val="005F36D3"/>
    <w:rsid w:val="005F36E3"/>
    <w:rsid w:val="005F38B6"/>
    <w:rsid w:val="005F3A69"/>
    <w:rsid w:val="005F3AE5"/>
    <w:rsid w:val="005F3BB5"/>
    <w:rsid w:val="005F3E76"/>
    <w:rsid w:val="005F3E8E"/>
    <w:rsid w:val="005F4050"/>
    <w:rsid w:val="005F41DE"/>
    <w:rsid w:val="005F4245"/>
    <w:rsid w:val="005F4274"/>
    <w:rsid w:val="005F444C"/>
    <w:rsid w:val="005F454D"/>
    <w:rsid w:val="005F4697"/>
    <w:rsid w:val="005F4939"/>
    <w:rsid w:val="005F4A01"/>
    <w:rsid w:val="005F4B1F"/>
    <w:rsid w:val="005F4B5B"/>
    <w:rsid w:val="005F4C65"/>
    <w:rsid w:val="005F4C6D"/>
    <w:rsid w:val="005F4CC4"/>
    <w:rsid w:val="005F4EE8"/>
    <w:rsid w:val="005F4FB1"/>
    <w:rsid w:val="005F51BB"/>
    <w:rsid w:val="005F531A"/>
    <w:rsid w:val="005F541E"/>
    <w:rsid w:val="005F5437"/>
    <w:rsid w:val="005F546E"/>
    <w:rsid w:val="005F54DE"/>
    <w:rsid w:val="005F5558"/>
    <w:rsid w:val="005F5575"/>
    <w:rsid w:val="005F5635"/>
    <w:rsid w:val="005F567F"/>
    <w:rsid w:val="005F57B6"/>
    <w:rsid w:val="005F5894"/>
    <w:rsid w:val="005F58FC"/>
    <w:rsid w:val="005F5A76"/>
    <w:rsid w:val="005F5ACF"/>
    <w:rsid w:val="005F5B1A"/>
    <w:rsid w:val="005F5B75"/>
    <w:rsid w:val="005F5C1A"/>
    <w:rsid w:val="005F5C6F"/>
    <w:rsid w:val="005F5D09"/>
    <w:rsid w:val="005F5D7D"/>
    <w:rsid w:val="005F5D8B"/>
    <w:rsid w:val="005F5E5D"/>
    <w:rsid w:val="005F5FFD"/>
    <w:rsid w:val="005F60C8"/>
    <w:rsid w:val="005F620D"/>
    <w:rsid w:val="005F6303"/>
    <w:rsid w:val="005F63E4"/>
    <w:rsid w:val="005F6449"/>
    <w:rsid w:val="005F65F4"/>
    <w:rsid w:val="005F6614"/>
    <w:rsid w:val="005F66D3"/>
    <w:rsid w:val="005F67B8"/>
    <w:rsid w:val="005F6891"/>
    <w:rsid w:val="005F6992"/>
    <w:rsid w:val="005F69A4"/>
    <w:rsid w:val="005F6BB5"/>
    <w:rsid w:val="005F6C36"/>
    <w:rsid w:val="005F6EFC"/>
    <w:rsid w:val="005F6F3A"/>
    <w:rsid w:val="005F6FD4"/>
    <w:rsid w:val="005F7218"/>
    <w:rsid w:val="005F72F7"/>
    <w:rsid w:val="005F738D"/>
    <w:rsid w:val="005F7480"/>
    <w:rsid w:val="005F74CB"/>
    <w:rsid w:val="005F774B"/>
    <w:rsid w:val="005F78D8"/>
    <w:rsid w:val="005F797C"/>
    <w:rsid w:val="005F79FC"/>
    <w:rsid w:val="005F7A43"/>
    <w:rsid w:val="005F7AF2"/>
    <w:rsid w:val="005F7CD5"/>
    <w:rsid w:val="005F7D09"/>
    <w:rsid w:val="0060012F"/>
    <w:rsid w:val="006002A9"/>
    <w:rsid w:val="00600337"/>
    <w:rsid w:val="0060075E"/>
    <w:rsid w:val="006007D3"/>
    <w:rsid w:val="00600885"/>
    <w:rsid w:val="00600988"/>
    <w:rsid w:val="006009B9"/>
    <w:rsid w:val="00600BCE"/>
    <w:rsid w:val="00600CB7"/>
    <w:rsid w:val="00600CF0"/>
    <w:rsid w:val="00600D10"/>
    <w:rsid w:val="0060100A"/>
    <w:rsid w:val="00601199"/>
    <w:rsid w:val="006012FD"/>
    <w:rsid w:val="0060131C"/>
    <w:rsid w:val="0060138D"/>
    <w:rsid w:val="0060141A"/>
    <w:rsid w:val="00601717"/>
    <w:rsid w:val="00601829"/>
    <w:rsid w:val="00601C2B"/>
    <w:rsid w:val="00601C4F"/>
    <w:rsid w:val="00601CFE"/>
    <w:rsid w:val="00601DF1"/>
    <w:rsid w:val="00601E3B"/>
    <w:rsid w:val="00601F23"/>
    <w:rsid w:val="00601FB5"/>
    <w:rsid w:val="00602253"/>
    <w:rsid w:val="006023A2"/>
    <w:rsid w:val="00602521"/>
    <w:rsid w:val="006026F6"/>
    <w:rsid w:val="006027FA"/>
    <w:rsid w:val="00602A49"/>
    <w:rsid w:val="00602A54"/>
    <w:rsid w:val="00602C86"/>
    <w:rsid w:val="00602D29"/>
    <w:rsid w:val="00602F71"/>
    <w:rsid w:val="00603155"/>
    <w:rsid w:val="0060317C"/>
    <w:rsid w:val="0060321D"/>
    <w:rsid w:val="00603221"/>
    <w:rsid w:val="00603DF0"/>
    <w:rsid w:val="00603E89"/>
    <w:rsid w:val="00603FA6"/>
    <w:rsid w:val="0060448F"/>
    <w:rsid w:val="00604522"/>
    <w:rsid w:val="00604708"/>
    <w:rsid w:val="00604807"/>
    <w:rsid w:val="006049B7"/>
    <w:rsid w:val="00604A19"/>
    <w:rsid w:val="00604C4F"/>
    <w:rsid w:val="00604D49"/>
    <w:rsid w:val="00604F76"/>
    <w:rsid w:val="006050A6"/>
    <w:rsid w:val="0060515B"/>
    <w:rsid w:val="0060534E"/>
    <w:rsid w:val="006054ED"/>
    <w:rsid w:val="00605521"/>
    <w:rsid w:val="00605912"/>
    <w:rsid w:val="00605BC1"/>
    <w:rsid w:val="00605BEB"/>
    <w:rsid w:val="00605C68"/>
    <w:rsid w:val="00605F36"/>
    <w:rsid w:val="00606081"/>
    <w:rsid w:val="006060A4"/>
    <w:rsid w:val="006063B9"/>
    <w:rsid w:val="00606538"/>
    <w:rsid w:val="0060691B"/>
    <w:rsid w:val="00606C5A"/>
    <w:rsid w:val="00606E10"/>
    <w:rsid w:val="0060704F"/>
    <w:rsid w:val="0060711D"/>
    <w:rsid w:val="00607144"/>
    <w:rsid w:val="0060715C"/>
    <w:rsid w:val="0060719F"/>
    <w:rsid w:val="006072BA"/>
    <w:rsid w:val="0060732B"/>
    <w:rsid w:val="006074F9"/>
    <w:rsid w:val="006076E1"/>
    <w:rsid w:val="00607EC2"/>
    <w:rsid w:val="00610121"/>
    <w:rsid w:val="00610134"/>
    <w:rsid w:val="0061017C"/>
    <w:rsid w:val="0061034C"/>
    <w:rsid w:val="00610384"/>
    <w:rsid w:val="006103F0"/>
    <w:rsid w:val="00610464"/>
    <w:rsid w:val="006104E4"/>
    <w:rsid w:val="006104FF"/>
    <w:rsid w:val="0061051B"/>
    <w:rsid w:val="0061058D"/>
    <w:rsid w:val="00610705"/>
    <w:rsid w:val="00610719"/>
    <w:rsid w:val="00610733"/>
    <w:rsid w:val="006108E5"/>
    <w:rsid w:val="006108ED"/>
    <w:rsid w:val="00610B1F"/>
    <w:rsid w:val="00610BCD"/>
    <w:rsid w:val="00610C66"/>
    <w:rsid w:val="00611022"/>
    <w:rsid w:val="00611072"/>
    <w:rsid w:val="00611207"/>
    <w:rsid w:val="00611289"/>
    <w:rsid w:val="0061133F"/>
    <w:rsid w:val="006115C9"/>
    <w:rsid w:val="00611622"/>
    <w:rsid w:val="00611770"/>
    <w:rsid w:val="00611962"/>
    <w:rsid w:val="00611B30"/>
    <w:rsid w:val="00611E23"/>
    <w:rsid w:val="00611FA0"/>
    <w:rsid w:val="0061221E"/>
    <w:rsid w:val="006122FE"/>
    <w:rsid w:val="006123DE"/>
    <w:rsid w:val="0061271C"/>
    <w:rsid w:val="006127C3"/>
    <w:rsid w:val="00612879"/>
    <w:rsid w:val="006128D9"/>
    <w:rsid w:val="006129A5"/>
    <w:rsid w:val="00612A03"/>
    <w:rsid w:val="00612B57"/>
    <w:rsid w:val="00612C9B"/>
    <w:rsid w:val="00612F4A"/>
    <w:rsid w:val="00613044"/>
    <w:rsid w:val="00613053"/>
    <w:rsid w:val="006130FF"/>
    <w:rsid w:val="0061326A"/>
    <w:rsid w:val="00613294"/>
    <w:rsid w:val="006132AD"/>
    <w:rsid w:val="006132AE"/>
    <w:rsid w:val="006132D1"/>
    <w:rsid w:val="006133EF"/>
    <w:rsid w:val="006135A9"/>
    <w:rsid w:val="00613612"/>
    <w:rsid w:val="0061381E"/>
    <w:rsid w:val="006139CA"/>
    <w:rsid w:val="006140CA"/>
    <w:rsid w:val="00614115"/>
    <w:rsid w:val="006141EA"/>
    <w:rsid w:val="006143CF"/>
    <w:rsid w:val="00614503"/>
    <w:rsid w:val="00614606"/>
    <w:rsid w:val="00614631"/>
    <w:rsid w:val="00614642"/>
    <w:rsid w:val="006147A2"/>
    <w:rsid w:val="00614993"/>
    <w:rsid w:val="00614ABF"/>
    <w:rsid w:val="00614F65"/>
    <w:rsid w:val="00614FC5"/>
    <w:rsid w:val="006151CE"/>
    <w:rsid w:val="00615380"/>
    <w:rsid w:val="0061547B"/>
    <w:rsid w:val="006155BD"/>
    <w:rsid w:val="00615634"/>
    <w:rsid w:val="00615659"/>
    <w:rsid w:val="006158F7"/>
    <w:rsid w:val="0061590A"/>
    <w:rsid w:val="006159E1"/>
    <w:rsid w:val="00615AFA"/>
    <w:rsid w:val="00615C16"/>
    <w:rsid w:val="00615D31"/>
    <w:rsid w:val="00615E80"/>
    <w:rsid w:val="00615FDE"/>
    <w:rsid w:val="006160F1"/>
    <w:rsid w:val="0061613E"/>
    <w:rsid w:val="00616260"/>
    <w:rsid w:val="0061632C"/>
    <w:rsid w:val="00616424"/>
    <w:rsid w:val="006167E0"/>
    <w:rsid w:val="006167FC"/>
    <w:rsid w:val="006167FF"/>
    <w:rsid w:val="00616937"/>
    <w:rsid w:val="00616A31"/>
    <w:rsid w:val="00616DE7"/>
    <w:rsid w:val="00616EAB"/>
    <w:rsid w:val="00616F2F"/>
    <w:rsid w:val="00616F88"/>
    <w:rsid w:val="00617325"/>
    <w:rsid w:val="0061740E"/>
    <w:rsid w:val="006174CA"/>
    <w:rsid w:val="006175EB"/>
    <w:rsid w:val="0061763A"/>
    <w:rsid w:val="00617734"/>
    <w:rsid w:val="00617802"/>
    <w:rsid w:val="00617816"/>
    <w:rsid w:val="00617A70"/>
    <w:rsid w:val="00617CBA"/>
    <w:rsid w:val="00617E11"/>
    <w:rsid w:val="00617E4B"/>
    <w:rsid w:val="00617E8C"/>
    <w:rsid w:val="0061C684"/>
    <w:rsid w:val="00620038"/>
    <w:rsid w:val="0062003E"/>
    <w:rsid w:val="00620382"/>
    <w:rsid w:val="00620441"/>
    <w:rsid w:val="006204E3"/>
    <w:rsid w:val="00620515"/>
    <w:rsid w:val="00620B7F"/>
    <w:rsid w:val="00620DFA"/>
    <w:rsid w:val="00620FAE"/>
    <w:rsid w:val="00621005"/>
    <w:rsid w:val="006210F7"/>
    <w:rsid w:val="006214CC"/>
    <w:rsid w:val="00621507"/>
    <w:rsid w:val="006219BE"/>
    <w:rsid w:val="006219D2"/>
    <w:rsid w:val="006219FC"/>
    <w:rsid w:val="00621A33"/>
    <w:rsid w:val="00621C04"/>
    <w:rsid w:val="00621D65"/>
    <w:rsid w:val="00621E2C"/>
    <w:rsid w:val="0062207C"/>
    <w:rsid w:val="00622173"/>
    <w:rsid w:val="00622183"/>
    <w:rsid w:val="00622294"/>
    <w:rsid w:val="006222BF"/>
    <w:rsid w:val="006222FF"/>
    <w:rsid w:val="0062231E"/>
    <w:rsid w:val="006224D3"/>
    <w:rsid w:val="006224EA"/>
    <w:rsid w:val="00622508"/>
    <w:rsid w:val="0062280F"/>
    <w:rsid w:val="006228D7"/>
    <w:rsid w:val="00622EEE"/>
    <w:rsid w:val="00623004"/>
    <w:rsid w:val="00623313"/>
    <w:rsid w:val="00623562"/>
    <w:rsid w:val="00623723"/>
    <w:rsid w:val="00623995"/>
    <w:rsid w:val="00623CF8"/>
    <w:rsid w:val="00623E86"/>
    <w:rsid w:val="00623F61"/>
    <w:rsid w:val="00623FBC"/>
    <w:rsid w:val="00624115"/>
    <w:rsid w:val="00624145"/>
    <w:rsid w:val="0062425C"/>
    <w:rsid w:val="0062431B"/>
    <w:rsid w:val="0062436E"/>
    <w:rsid w:val="006243C2"/>
    <w:rsid w:val="0062443B"/>
    <w:rsid w:val="00624465"/>
    <w:rsid w:val="0062453E"/>
    <w:rsid w:val="006245EE"/>
    <w:rsid w:val="00624676"/>
    <w:rsid w:val="006247F6"/>
    <w:rsid w:val="00624833"/>
    <w:rsid w:val="00624CBE"/>
    <w:rsid w:val="006250A9"/>
    <w:rsid w:val="00625278"/>
    <w:rsid w:val="00625771"/>
    <w:rsid w:val="006257B5"/>
    <w:rsid w:val="00625838"/>
    <w:rsid w:val="00625964"/>
    <w:rsid w:val="00625B16"/>
    <w:rsid w:val="00625D6C"/>
    <w:rsid w:val="00625E0E"/>
    <w:rsid w:val="00625F70"/>
    <w:rsid w:val="00626049"/>
    <w:rsid w:val="0062621C"/>
    <w:rsid w:val="0062626B"/>
    <w:rsid w:val="006263BC"/>
    <w:rsid w:val="0062657B"/>
    <w:rsid w:val="006265DD"/>
    <w:rsid w:val="00626855"/>
    <w:rsid w:val="00626919"/>
    <w:rsid w:val="00626980"/>
    <w:rsid w:val="006269CB"/>
    <w:rsid w:val="006269F3"/>
    <w:rsid w:val="00626A1A"/>
    <w:rsid w:val="00626A95"/>
    <w:rsid w:val="00626C74"/>
    <w:rsid w:val="00626F9C"/>
    <w:rsid w:val="00627039"/>
    <w:rsid w:val="0062704C"/>
    <w:rsid w:val="006272C0"/>
    <w:rsid w:val="006272C2"/>
    <w:rsid w:val="0062743A"/>
    <w:rsid w:val="006275BD"/>
    <w:rsid w:val="006276DB"/>
    <w:rsid w:val="006277F2"/>
    <w:rsid w:val="00627D05"/>
    <w:rsid w:val="00627DEF"/>
    <w:rsid w:val="00627E93"/>
    <w:rsid w:val="00627F6C"/>
    <w:rsid w:val="0063009F"/>
    <w:rsid w:val="00630202"/>
    <w:rsid w:val="006306CD"/>
    <w:rsid w:val="0063083B"/>
    <w:rsid w:val="00630871"/>
    <w:rsid w:val="006308E3"/>
    <w:rsid w:val="006309D0"/>
    <w:rsid w:val="006309FD"/>
    <w:rsid w:val="00630AC6"/>
    <w:rsid w:val="00630B88"/>
    <w:rsid w:val="00630D10"/>
    <w:rsid w:val="00631228"/>
    <w:rsid w:val="006313A2"/>
    <w:rsid w:val="006315C8"/>
    <w:rsid w:val="0063172D"/>
    <w:rsid w:val="006317E0"/>
    <w:rsid w:val="006318BB"/>
    <w:rsid w:val="00631A3A"/>
    <w:rsid w:val="00631F6A"/>
    <w:rsid w:val="00631F6C"/>
    <w:rsid w:val="00631F70"/>
    <w:rsid w:val="00631FF1"/>
    <w:rsid w:val="0063213E"/>
    <w:rsid w:val="0063236F"/>
    <w:rsid w:val="00632377"/>
    <w:rsid w:val="006323DF"/>
    <w:rsid w:val="0063244C"/>
    <w:rsid w:val="0063266B"/>
    <w:rsid w:val="00632696"/>
    <w:rsid w:val="0063286C"/>
    <w:rsid w:val="00632C80"/>
    <w:rsid w:val="00632D55"/>
    <w:rsid w:val="00632E80"/>
    <w:rsid w:val="00632F10"/>
    <w:rsid w:val="00632F1D"/>
    <w:rsid w:val="00633260"/>
    <w:rsid w:val="006332EA"/>
    <w:rsid w:val="0063361E"/>
    <w:rsid w:val="0063377B"/>
    <w:rsid w:val="00633823"/>
    <w:rsid w:val="0063382B"/>
    <w:rsid w:val="00633A6D"/>
    <w:rsid w:val="00633C59"/>
    <w:rsid w:val="00633DCD"/>
    <w:rsid w:val="00633E2B"/>
    <w:rsid w:val="00633EFD"/>
    <w:rsid w:val="00634031"/>
    <w:rsid w:val="00634619"/>
    <w:rsid w:val="006348E6"/>
    <w:rsid w:val="00634A3E"/>
    <w:rsid w:val="00634AAC"/>
    <w:rsid w:val="00634CF6"/>
    <w:rsid w:val="00634D01"/>
    <w:rsid w:val="00634D70"/>
    <w:rsid w:val="00634DBB"/>
    <w:rsid w:val="00634E37"/>
    <w:rsid w:val="0063508A"/>
    <w:rsid w:val="006350AC"/>
    <w:rsid w:val="006351E1"/>
    <w:rsid w:val="00635268"/>
    <w:rsid w:val="006353FD"/>
    <w:rsid w:val="006355DF"/>
    <w:rsid w:val="006355FC"/>
    <w:rsid w:val="006356C5"/>
    <w:rsid w:val="00635740"/>
    <w:rsid w:val="00635776"/>
    <w:rsid w:val="006358DA"/>
    <w:rsid w:val="006359E9"/>
    <w:rsid w:val="00635B6E"/>
    <w:rsid w:val="00635D08"/>
    <w:rsid w:val="00635D1B"/>
    <w:rsid w:val="00635F9E"/>
    <w:rsid w:val="00636116"/>
    <w:rsid w:val="006361E8"/>
    <w:rsid w:val="0063638C"/>
    <w:rsid w:val="0063658F"/>
    <w:rsid w:val="00636604"/>
    <w:rsid w:val="0063685A"/>
    <w:rsid w:val="00636871"/>
    <w:rsid w:val="00636A14"/>
    <w:rsid w:val="00636B23"/>
    <w:rsid w:val="00636BDF"/>
    <w:rsid w:val="00636C80"/>
    <w:rsid w:val="00636D8B"/>
    <w:rsid w:val="00636E22"/>
    <w:rsid w:val="00636FBB"/>
    <w:rsid w:val="00636FE5"/>
    <w:rsid w:val="006370A8"/>
    <w:rsid w:val="0063712A"/>
    <w:rsid w:val="0063714D"/>
    <w:rsid w:val="00637229"/>
    <w:rsid w:val="0063733A"/>
    <w:rsid w:val="00637480"/>
    <w:rsid w:val="006374AF"/>
    <w:rsid w:val="006374F5"/>
    <w:rsid w:val="00637818"/>
    <w:rsid w:val="006378A9"/>
    <w:rsid w:val="00637AF1"/>
    <w:rsid w:val="00637B61"/>
    <w:rsid w:val="00637CD2"/>
    <w:rsid w:val="00637FA9"/>
    <w:rsid w:val="00637FD7"/>
    <w:rsid w:val="00640095"/>
    <w:rsid w:val="00640174"/>
    <w:rsid w:val="006401DE"/>
    <w:rsid w:val="0064024D"/>
    <w:rsid w:val="00640348"/>
    <w:rsid w:val="0064089B"/>
    <w:rsid w:val="00640C15"/>
    <w:rsid w:val="00640C6C"/>
    <w:rsid w:val="00640CB8"/>
    <w:rsid w:val="00641146"/>
    <w:rsid w:val="006411CA"/>
    <w:rsid w:val="0064124F"/>
    <w:rsid w:val="0064179E"/>
    <w:rsid w:val="0064180D"/>
    <w:rsid w:val="006418F8"/>
    <w:rsid w:val="00641942"/>
    <w:rsid w:val="006419FA"/>
    <w:rsid w:val="00641A3C"/>
    <w:rsid w:val="00641AD2"/>
    <w:rsid w:val="00641C61"/>
    <w:rsid w:val="00641D46"/>
    <w:rsid w:val="0064209B"/>
    <w:rsid w:val="00642347"/>
    <w:rsid w:val="00642377"/>
    <w:rsid w:val="0064242C"/>
    <w:rsid w:val="00642704"/>
    <w:rsid w:val="00642841"/>
    <w:rsid w:val="0064293D"/>
    <w:rsid w:val="0064295B"/>
    <w:rsid w:val="00642A66"/>
    <w:rsid w:val="00642ACC"/>
    <w:rsid w:val="00642BB7"/>
    <w:rsid w:val="00642BC5"/>
    <w:rsid w:val="00642C38"/>
    <w:rsid w:val="00642C3D"/>
    <w:rsid w:val="00642C7E"/>
    <w:rsid w:val="00642D19"/>
    <w:rsid w:val="00642E78"/>
    <w:rsid w:val="00642EA2"/>
    <w:rsid w:val="00643145"/>
    <w:rsid w:val="0064325F"/>
    <w:rsid w:val="0064327D"/>
    <w:rsid w:val="006433CC"/>
    <w:rsid w:val="0064349F"/>
    <w:rsid w:val="006434BB"/>
    <w:rsid w:val="00643507"/>
    <w:rsid w:val="0064373C"/>
    <w:rsid w:val="006437B7"/>
    <w:rsid w:val="0064389E"/>
    <w:rsid w:val="00643905"/>
    <w:rsid w:val="00643C9B"/>
    <w:rsid w:val="00643E34"/>
    <w:rsid w:val="00644056"/>
    <w:rsid w:val="00644067"/>
    <w:rsid w:val="00644086"/>
    <w:rsid w:val="006440B7"/>
    <w:rsid w:val="0064439B"/>
    <w:rsid w:val="00644417"/>
    <w:rsid w:val="00644535"/>
    <w:rsid w:val="0064462C"/>
    <w:rsid w:val="00644700"/>
    <w:rsid w:val="006447AB"/>
    <w:rsid w:val="006447F1"/>
    <w:rsid w:val="006448C4"/>
    <w:rsid w:val="00644B30"/>
    <w:rsid w:val="00644CA9"/>
    <w:rsid w:val="00644D2C"/>
    <w:rsid w:val="00644D5D"/>
    <w:rsid w:val="00644D99"/>
    <w:rsid w:val="006454BA"/>
    <w:rsid w:val="006455B0"/>
    <w:rsid w:val="00645671"/>
    <w:rsid w:val="006457A5"/>
    <w:rsid w:val="00645A17"/>
    <w:rsid w:val="00645DEC"/>
    <w:rsid w:val="00645DFC"/>
    <w:rsid w:val="00645E0F"/>
    <w:rsid w:val="00645E21"/>
    <w:rsid w:val="00645E7D"/>
    <w:rsid w:val="0064620C"/>
    <w:rsid w:val="0064626E"/>
    <w:rsid w:val="006465A0"/>
    <w:rsid w:val="0064661E"/>
    <w:rsid w:val="0064674B"/>
    <w:rsid w:val="00646BF9"/>
    <w:rsid w:val="00646CA3"/>
    <w:rsid w:val="00646E96"/>
    <w:rsid w:val="0064705B"/>
    <w:rsid w:val="006471E4"/>
    <w:rsid w:val="00647532"/>
    <w:rsid w:val="00647571"/>
    <w:rsid w:val="006476D4"/>
    <w:rsid w:val="00647751"/>
    <w:rsid w:val="006479B5"/>
    <w:rsid w:val="00647D6C"/>
    <w:rsid w:val="00647E75"/>
    <w:rsid w:val="00647ED3"/>
    <w:rsid w:val="00647F5B"/>
    <w:rsid w:val="00647FA0"/>
    <w:rsid w:val="0065024B"/>
    <w:rsid w:val="00650660"/>
    <w:rsid w:val="006506F0"/>
    <w:rsid w:val="00650700"/>
    <w:rsid w:val="0065093D"/>
    <w:rsid w:val="00650AE1"/>
    <w:rsid w:val="00650BA2"/>
    <w:rsid w:val="00650BB7"/>
    <w:rsid w:val="00650C29"/>
    <w:rsid w:val="00650C9B"/>
    <w:rsid w:val="00650D55"/>
    <w:rsid w:val="00650E26"/>
    <w:rsid w:val="00650FF9"/>
    <w:rsid w:val="0065100B"/>
    <w:rsid w:val="00651441"/>
    <w:rsid w:val="0065151C"/>
    <w:rsid w:val="00651639"/>
    <w:rsid w:val="0065196F"/>
    <w:rsid w:val="00651C7C"/>
    <w:rsid w:val="00651F42"/>
    <w:rsid w:val="00651F9D"/>
    <w:rsid w:val="00652084"/>
    <w:rsid w:val="006521F9"/>
    <w:rsid w:val="00652215"/>
    <w:rsid w:val="006522C5"/>
    <w:rsid w:val="0065236C"/>
    <w:rsid w:val="0065245F"/>
    <w:rsid w:val="00652566"/>
    <w:rsid w:val="0065261D"/>
    <w:rsid w:val="0065267D"/>
    <w:rsid w:val="006528A6"/>
    <w:rsid w:val="00652924"/>
    <w:rsid w:val="00652F20"/>
    <w:rsid w:val="00653081"/>
    <w:rsid w:val="006530F4"/>
    <w:rsid w:val="00653151"/>
    <w:rsid w:val="00653291"/>
    <w:rsid w:val="006535A3"/>
    <w:rsid w:val="0065365E"/>
    <w:rsid w:val="006536A1"/>
    <w:rsid w:val="00653792"/>
    <w:rsid w:val="00653811"/>
    <w:rsid w:val="00653B7C"/>
    <w:rsid w:val="00653C05"/>
    <w:rsid w:val="00653E80"/>
    <w:rsid w:val="00653F90"/>
    <w:rsid w:val="00653FC4"/>
    <w:rsid w:val="00653FD2"/>
    <w:rsid w:val="006540D3"/>
    <w:rsid w:val="006545EF"/>
    <w:rsid w:val="0065476E"/>
    <w:rsid w:val="00654793"/>
    <w:rsid w:val="00654865"/>
    <w:rsid w:val="00654A2C"/>
    <w:rsid w:val="00654A54"/>
    <w:rsid w:val="00654C0F"/>
    <w:rsid w:val="00654DD8"/>
    <w:rsid w:val="00654E65"/>
    <w:rsid w:val="00654F83"/>
    <w:rsid w:val="0065502E"/>
    <w:rsid w:val="00655078"/>
    <w:rsid w:val="00655203"/>
    <w:rsid w:val="006552FF"/>
    <w:rsid w:val="00655391"/>
    <w:rsid w:val="006553B6"/>
    <w:rsid w:val="00655572"/>
    <w:rsid w:val="006555D0"/>
    <w:rsid w:val="0065582A"/>
    <w:rsid w:val="0065582D"/>
    <w:rsid w:val="0065588E"/>
    <w:rsid w:val="006558AF"/>
    <w:rsid w:val="00655AE6"/>
    <w:rsid w:val="00655BF2"/>
    <w:rsid w:val="00655C9A"/>
    <w:rsid w:val="00655E27"/>
    <w:rsid w:val="00655F03"/>
    <w:rsid w:val="00655F3E"/>
    <w:rsid w:val="00655F40"/>
    <w:rsid w:val="00656259"/>
    <w:rsid w:val="006562CE"/>
    <w:rsid w:val="00656337"/>
    <w:rsid w:val="00656404"/>
    <w:rsid w:val="006564DB"/>
    <w:rsid w:val="00656621"/>
    <w:rsid w:val="00656835"/>
    <w:rsid w:val="0065692F"/>
    <w:rsid w:val="00656A2E"/>
    <w:rsid w:val="00656A7D"/>
    <w:rsid w:val="00656ADD"/>
    <w:rsid w:val="00656B54"/>
    <w:rsid w:val="00656D4D"/>
    <w:rsid w:val="00656D75"/>
    <w:rsid w:val="00657019"/>
    <w:rsid w:val="0065763F"/>
    <w:rsid w:val="0065776C"/>
    <w:rsid w:val="00657806"/>
    <w:rsid w:val="006579FD"/>
    <w:rsid w:val="00657B4C"/>
    <w:rsid w:val="00657BC1"/>
    <w:rsid w:val="00657C09"/>
    <w:rsid w:val="00657C99"/>
    <w:rsid w:val="00657CEB"/>
    <w:rsid w:val="00657D20"/>
    <w:rsid w:val="00657DF8"/>
    <w:rsid w:val="00657FD9"/>
    <w:rsid w:val="00660001"/>
    <w:rsid w:val="00660163"/>
    <w:rsid w:val="006602AB"/>
    <w:rsid w:val="0066037F"/>
    <w:rsid w:val="00660474"/>
    <w:rsid w:val="00660506"/>
    <w:rsid w:val="006606A4"/>
    <w:rsid w:val="006607ED"/>
    <w:rsid w:val="006609BE"/>
    <w:rsid w:val="00660A89"/>
    <w:rsid w:val="00660B9F"/>
    <w:rsid w:val="00660E8C"/>
    <w:rsid w:val="00660ECA"/>
    <w:rsid w:val="00660EE1"/>
    <w:rsid w:val="0066118F"/>
    <w:rsid w:val="006612A0"/>
    <w:rsid w:val="006614B6"/>
    <w:rsid w:val="00661554"/>
    <w:rsid w:val="00661794"/>
    <w:rsid w:val="00661940"/>
    <w:rsid w:val="006619D1"/>
    <w:rsid w:val="00661ADE"/>
    <w:rsid w:val="00661BF4"/>
    <w:rsid w:val="00661C6F"/>
    <w:rsid w:val="00661E00"/>
    <w:rsid w:val="00661E16"/>
    <w:rsid w:val="00661E1F"/>
    <w:rsid w:val="00661E60"/>
    <w:rsid w:val="00661E67"/>
    <w:rsid w:val="00661EBD"/>
    <w:rsid w:val="00661FFF"/>
    <w:rsid w:val="0066208E"/>
    <w:rsid w:val="006620A2"/>
    <w:rsid w:val="00662336"/>
    <w:rsid w:val="00662360"/>
    <w:rsid w:val="006623A8"/>
    <w:rsid w:val="00662432"/>
    <w:rsid w:val="0066249E"/>
    <w:rsid w:val="006624EC"/>
    <w:rsid w:val="00662617"/>
    <w:rsid w:val="006629F6"/>
    <w:rsid w:val="00662AA2"/>
    <w:rsid w:val="00662B78"/>
    <w:rsid w:val="00662C14"/>
    <w:rsid w:val="00662E1D"/>
    <w:rsid w:val="00662ED1"/>
    <w:rsid w:val="0066311B"/>
    <w:rsid w:val="006634E0"/>
    <w:rsid w:val="00663525"/>
    <w:rsid w:val="00663556"/>
    <w:rsid w:val="006635D6"/>
    <w:rsid w:val="00663672"/>
    <w:rsid w:val="00663765"/>
    <w:rsid w:val="00663783"/>
    <w:rsid w:val="006637A0"/>
    <w:rsid w:val="006637EE"/>
    <w:rsid w:val="00663992"/>
    <w:rsid w:val="00663B33"/>
    <w:rsid w:val="00663B74"/>
    <w:rsid w:val="00663CB2"/>
    <w:rsid w:val="00663D71"/>
    <w:rsid w:val="00663D90"/>
    <w:rsid w:val="00663F88"/>
    <w:rsid w:val="006640C3"/>
    <w:rsid w:val="0066418D"/>
    <w:rsid w:val="00664316"/>
    <w:rsid w:val="00664345"/>
    <w:rsid w:val="006643BB"/>
    <w:rsid w:val="006646FF"/>
    <w:rsid w:val="00664854"/>
    <w:rsid w:val="00664A55"/>
    <w:rsid w:val="00664AA4"/>
    <w:rsid w:val="00664AF6"/>
    <w:rsid w:val="00664B1D"/>
    <w:rsid w:val="00664BF4"/>
    <w:rsid w:val="00664C11"/>
    <w:rsid w:val="00664C30"/>
    <w:rsid w:val="00664CE8"/>
    <w:rsid w:val="00664CFE"/>
    <w:rsid w:val="00665123"/>
    <w:rsid w:val="00665127"/>
    <w:rsid w:val="006652FE"/>
    <w:rsid w:val="00665466"/>
    <w:rsid w:val="00665555"/>
    <w:rsid w:val="0066559E"/>
    <w:rsid w:val="00665C71"/>
    <w:rsid w:val="00665E78"/>
    <w:rsid w:val="00666251"/>
    <w:rsid w:val="006666AD"/>
    <w:rsid w:val="00666750"/>
    <w:rsid w:val="00666753"/>
    <w:rsid w:val="00666A22"/>
    <w:rsid w:val="00666A33"/>
    <w:rsid w:val="00666A6C"/>
    <w:rsid w:val="00666BDB"/>
    <w:rsid w:val="00666EE8"/>
    <w:rsid w:val="00666EFF"/>
    <w:rsid w:val="00667224"/>
    <w:rsid w:val="00667306"/>
    <w:rsid w:val="006673E0"/>
    <w:rsid w:val="0066743B"/>
    <w:rsid w:val="00667649"/>
    <w:rsid w:val="0066766B"/>
    <w:rsid w:val="00667737"/>
    <w:rsid w:val="006678AA"/>
    <w:rsid w:val="00667AAD"/>
    <w:rsid w:val="00667C8A"/>
    <w:rsid w:val="00667CF7"/>
    <w:rsid w:val="00667D43"/>
    <w:rsid w:val="00667E16"/>
    <w:rsid w:val="00667F5A"/>
    <w:rsid w:val="00670012"/>
    <w:rsid w:val="006702EC"/>
    <w:rsid w:val="006704B6"/>
    <w:rsid w:val="00670698"/>
    <w:rsid w:val="006706F1"/>
    <w:rsid w:val="006707C7"/>
    <w:rsid w:val="00670838"/>
    <w:rsid w:val="006708B9"/>
    <w:rsid w:val="0067093D"/>
    <w:rsid w:val="00670B6B"/>
    <w:rsid w:val="00670D2E"/>
    <w:rsid w:val="00670D38"/>
    <w:rsid w:val="00670E53"/>
    <w:rsid w:val="00670E97"/>
    <w:rsid w:val="00670F62"/>
    <w:rsid w:val="0067110D"/>
    <w:rsid w:val="0067139E"/>
    <w:rsid w:val="006713D7"/>
    <w:rsid w:val="006713FF"/>
    <w:rsid w:val="0067142E"/>
    <w:rsid w:val="006716A0"/>
    <w:rsid w:val="006717AA"/>
    <w:rsid w:val="0067182D"/>
    <w:rsid w:val="006718C2"/>
    <w:rsid w:val="006718F0"/>
    <w:rsid w:val="00671988"/>
    <w:rsid w:val="00671A10"/>
    <w:rsid w:val="00671E5E"/>
    <w:rsid w:val="00671EE9"/>
    <w:rsid w:val="0067208F"/>
    <w:rsid w:val="00672205"/>
    <w:rsid w:val="006722FF"/>
    <w:rsid w:val="0067239B"/>
    <w:rsid w:val="006723DF"/>
    <w:rsid w:val="0067255B"/>
    <w:rsid w:val="00672819"/>
    <w:rsid w:val="00672B51"/>
    <w:rsid w:val="00672C5B"/>
    <w:rsid w:val="00672CA9"/>
    <w:rsid w:val="00672D6C"/>
    <w:rsid w:val="00672DD8"/>
    <w:rsid w:val="00672EE9"/>
    <w:rsid w:val="00672FD9"/>
    <w:rsid w:val="006730E9"/>
    <w:rsid w:val="006731D7"/>
    <w:rsid w:val="006731DD"/>
    <w:rsid w:val="006733FA"/>
    <w:rsid w:val="006735C1"/>
    <w:rsid w:val="006736D2"/>
    <w:rsid w:val="0067379A"/>
    <w:rsid w:val="006738CA"/>
    <w:rsid w:val="00673B5B"/>
    <w:rsid w:val="00673FD8"/>
    <w:rsid w:val="00674040"/>
    <w:rsid w:val="00674187"/>
    <w:rsid w:val="00674300"/>
    <w:rsid w:val="00674430"/>
    <w:rsid w:val="0067447D"/>
    <w:rsid w:val="006746A9"/>
    <w:rsid w:val="00674752"/>
    <w:rsid w:val="00674949"/>
    <w:rsid w:val="006749FA"/>
    <w:rsid w:val="00674B97"/>
    <w:rsid w:val="00674C6A"/>
    <w:rsid w:val="00674CEF"/>
    <w:rsid w:val="00674EE0"/>
    <w:rsid w:val="00674F29"/>
    <w:rsid w:val="006751FA"/>
    <w:rsid w:val="00675281"/>
    <w:rsid w:val="00675452"/>
    <w:rsid w:val="006754EA"/>
    <w:rsid w:val="00675679"/>
    <w:rsid w:val="006758CD"/>
    <w:rsid w:val="006758EB"/>
    <w:rsid w:val="006759F8"/>
    <w:rsid w:val="00675BE5"/>
    <w:rsid w:val="00675D02"/>
    <w:rsid w:val="00675ECF"/>
    <w:rsid w:val="00675ED1"/>
    <w:rsid w:val="00675F74"/>
    <w:rsid w:val="00676041"/>
    <w:rsid w:val="006762C2"/>
    <w:rsid w:val="0067635F"/>
    <w:rsid w:val="00676999"/>
    <w:rsid w:val="006769CF"/>
    <w:rsid w:val="00676CB4"/>
    <w:rsid w:val="00677156"/>
    <w:rsid w:val="00677354"/>
    <w:rsid w:val="006773A7"/>
    <w:rsid w:val="00677409"/>
    <w:rsid w:val="0067740D"/>
    <w:rsid w:val="00677764"/>
    <w:rsid w:val="00677837"/>
    <w:rsid w:val="00677936"/>
    <w:rsid w:val="006779C2"/>
    <w:rsid w:val="00677E06"/>
    <w:rsid w:val="00677E29"/>
    <w:rsid w:val="00677EBB"/>
    <w:rsid w:val="00680084"/>
    <w:rsid w:val="0068042F"/>
    <w:rsid w:val="0068049A"/>
    <w:rsid w:val="006805CF"/>
    <w:rsid w:val="006806B7"/>
    <w:rsid w:val="006806E8"/>
    <w:rsid w:val="00680906"/>
    <w:rsid w:val="00680927"/>
    <w:rsid w:val="006809AE"/>
    <w:rsid w:val="006809DF"/>
    <w:rsid w:val="00680A3A"/>
    <w:rsid w:val="00680BFD"/>
    <w:rsid w:val="00680D5F"/>
    <w:rsid w:val="00681107"/>
    <w:rsid w:val="00681162"/>
    <w:rsid w:val="006813CF"/>
    <w:rsid w:val="006814B8"/>
    <w:rsid w:val="006814EE"/>
    <w:rsid w:val="0068155B"/>
    <w:rsid w:val="00681585"/>
    <w:rsid w:val="00681608"/>
    <w:rsid w:val="006816DB"/>
    <w:rsid w:val="006816DE"/>
    <w:rsid w:val="006819C0"/>
    <w:rsid w:val="006821E1"/>
    <w:rsid w:val="00682304"/>
    <w:rsid w:val="0068243C"/>
    <w:rsid w:val="00682485"/>
    <w:rsid w:val="006825EA"/>
    <w:rsid w:val="00682731"/>
    <w:rsid w:val="00682741"/>
    <w:rsid w:val="00682799"/>
    <w:rsid w:val="006827FA"/>
    <w:rsid w:val="00682A4D"/>
    <w:rsid w:val="00682A97"/>
    <w:rsid w:val="00682B65"/>
    <w:rsid w:val="00682BAB"/>
    <w:rsid w:val="00682BB5"/>
    <w:rsid w:val="00682BC7"/>
    <w:rsid w:val="00682BDA"/>
    <w:rsid w:val="00682C8D"/>
    <w:rsid w:val="00682D09"/>
    <w:rsid w:val="006830B6"/>
    <w:rsid w:val="00683310"/>
    <w:rsid w:val="00683321"/>
    <w:rsid w:val="0068337D"/>
    <w:rsid w:val="006833B1"/>
    <w:rsid w:val="0068355E"/>
    <w:rsid w:val="00683664"/>
    <w:rsid w:val="00683A3C"/>
    <w:rsid w:val="00683A85"/>
    <w:rsid w:val="00683ADE"/>
    <w:rsid w:val="00683B85"/>
    <w:rsid w:val="00683BE6"/>
    <w:rsid w:val="00683EA0"/>
    <w:rsid w:val="00683F53"/>
    <w:rsid w:val="00684032"/>
    <w:rsid w:val="00684099"/>
    <w:rsid w:val="006840FC"/>
    <w:rsid w:val="00684205"/>
    <w:rsid w:val="006842AB"/>
    <w:rsid w:val="00684321"/>
    <w:rsid w:val="00684380"/>
    <w:rsid w:val="0068458B"/>
    <w:rsid w:val="00684619"/>
    <w:rsid w:val="006846AC"/>
    <w:rsid w:val="0068487D"/>
    <w:rsid w:val="00684947"/>
    <w:rsid w:val="006849DE"/>
    <w:rsid w:val="00684AE9"/>
    <w:rsid w:val="00684B52"/>
    <w:rsid w:val="00684D5F"/>
    <w:rsid w:val="00684DE8"/>
    <w:rsid w:val="00684E3B"/>
    <w:rsid w:val="00684F1B"/>
    <w:rsid w:val="00685118"/>
    <w:rsid w:val="006851A0"/>
    <w:rsid w:val="00685494"/>
    <w:rsid w:val="00685766"/>
    <w:rsid w:val="006857E6"/>
    <w:rsid w:val="00685982"/>
    <w:rsid w:val="006859F5"/>
    <w:rsid w:val="00685CFC"/>
    <w:rsid w:val="00685F34"/>
    <w:rsid w:val="00685FEE"/>
    <w:rsid w:val="006861D5"/>
    <w:rsid w:val="006862AC"/>
    <w:rsid w:val="0068632E"/>
    <w:rsid w:val="00686369"/>
    <w:rsid w:val="006863B1"/>
    <w:rsid w:val="0068642D"/>
    <w:rsid w:val="00686490"/>
    <w:rsid w:val="006865DA"/>
    <w:rsid w:val="0068672D"/>
    <w:rsid w:val="006867AD"/>
    <w:rsid w:val="006867F0"/>
    <w:rsid w:val="006867F8"/>
    <w:rsid w:val="0068690A"/>
    <w:rsid w:val="00686AA4"/>
    <w:rsid w:val="00686C4E"/>
    <w:rsid w:val="00686C59"/>
    <w:rsid w:val="00686C6E"/>
    <w:rsid w:val="00686E6F"/>
    <w:rsid w:val="00686E85"/>
    <w:rsid w:val="00686F66"/>
    <w:rsid w:val="00687115"/>
    <w:rsid w:val="0068714C"/>
    <w:rsid w:val="006872A2"/>
    <w:rsid w:val="00687466"/>
    <w:rsid w:val="00687488"/>
    <w:rsid w:val="006875E9"/>
    <w:rsid w:val="00687606"/>
    <w:rsid w:val="00687739"/>
    <w:rsid w:val="006877F6"/>
    <w:rsid w:val="00687873"/>
    <w:rsid w:val="006878C2"/>
    <w:rsid w:val="00687960"/>
    <w:rsid w:val="0068798B"/>
    <w:rsid w:val="00687AEA"/>
    <w:rsid w:val="00687EEB"/>
    <w:rsid w:val="00687FA2"/>
    <w:rsid w:val="0069002A"/>
    <w:rsid w:val="00690187"/>
    <w:rsid w:val="00690271"/>
    <w:rsid w:val="006906A7"/>
    <w:rsid w:val="00690735"/>
    <w:rsid w:val="006907D1"/>
    <w:rsid w:val="006908B0"/>
    <w:rsid w:val="00690914"/>
    <w:rsid w:val="00690B50"/>
    <w:rsid w:val="00690E03"/>
    <w:rsid w:val="00690FD0"/>
    <w:rsid w:val="00691435"/>
    <w:rsid w:val="006914DA"/>
    <w:rsid w:val="006915EE"/>
    <w:rsid w:val="00691736"/>
    <w:rsid w:val="006917A4"/>
    <w:rsid w:val="006917F3"/>
    <w:rsid w:val="00691916"/>
    <w:rsid w:val="00691A21"/>
    <w:rsid w:val="00691A99"/>
    <w:rsid w:val="00691C9B"/>
    <w:rsid w:val="00691D0D"/>
    <w:rsid w:val="00691E8A"/>
    <w:rsid w:val="00691F66"/>
    <w:rsid w:val="00692203"/>
    <w:rsid w:val="00692207"/>
    <w:rsid w:val="0069225F"/>
    <w:rsid w:val="006926A2"/>
    <w:rsid w:val="0069283A"/>
    <w:rsid w:val="0069298B"/>
    <w:rsid w:val="00692A8A"/>
    <w:rsid w:val="00692AA4"/>
    <w:rsid w:val="00692BA3"/>
    <w:rsid w:val="00692CB6"/>
    <w:rsid w:val="00692DFF"/>
    <w:rsid w:val="00692E08"/>
    <w:rsid w:val="00692E3C"/>
    <w:rsid w:val="006930A2"/>
    <w:rsid w:val="006930BD"/>
    <w:rsid w:val="0069326B"/>
    <w:rsid w:val="006933EE"/>
    <w:rsid w:val="006937E5"/>
    <w:rsid w:val="006937FC"/>
    <w:rsid w:val="0069398F"/>
    <w:rsid w:val="00693A55"/>
    <w:rsid w:val="00693C25"/>
    <w:rsid w:val="00693EE3"/>
    <w:rsid w:val="00693EE9"/>
    <w:rsid w:val="00693F19"/>
    <w:rsid w:val="0069405A"/>
    <w:rsid w:val="00694198"/>
    <w:rsid w:val="0069423C"/>
    <w:rsid w:val="006942AD"/>
    <w:rsid w:val="006942DD"/>
    <w:rsid w:val="00694317"/>
    <w:rsid w:val="00694394"/>
    <w:rsid w:val="0069444A"/>
    <w:rsid w:val="00694637"/>
    <w:rsid w:val="006946EB"/>
    <w:rsid w:val="006947D4"/>
    <w:rsid w:val="006948CA"/>
    <w:rsid w:val="0069493E"/>
    <w:rsid w:val="00694B83"/>
    <w:rsid w:val="00694F7B"/>
    <w:rsid w:val="00694FC0"/>
    <w:rsid w:val="00694FE7"/>
    <w:rsid w:val="006950FE"/>
    <w:rsid w:val="0069523E"/>
    <w:rsid w:val="006955C0"/>
    <w:rsid w:val="006955E8"/>
    <w:rsid w:val="00695616"/>
    <w:rsid w:val="00695628"/>
    <w:rsid w:val="0069563E"/>
    <w:rsid w:val="006957AC"/>
    <w:rsid w:val="006959EB"/>
    <w:rsid w:val="00695BB3"/>
    <w:rsid w:val="00695CB8"/>
    <w:rsid w:val="00695D05"/>
    <w:rsid w:val="006960F7"/>
    <w:rsid w:val="00696106"/>
    <w:rsid w:val="006961E9"/>
    <w:rsid w:val="00696215"/>
    <w:rsid w:val="006962D1"/>
    <w:rsid w:val="00696336"/>
    <w:rsid w:val="0069677C"/>
    <w:rsid w:val="00696795"/>
    <w:rsid w:val="006967AD"/>
    <w:rsid w:val="00696AB3"/>
    <w:rsid w:val="00696ABA"/>
    <w:rsid w:val="00696B40"/>
    <w:rsid w:val="00696D09"/>
    <w:rsid w:val="00697060"/>
    <w:rsid w:val="0069706A"/>
    <w:rsid w:val="0069706E"/>
    <w:rsid w:val="00697078"/>
    <w:rsid w:val="00697096"/>
    <w:rsid w:val="006971C2"/>
    <w:rsid w:val="00697288"/>
    <w:rsid w:val="0069732E"/>
    <w:rsid w:val="006975D8"/>
    <w:rsid w:val="00697602"/>
    <w:rsid w:val="00697632"/>
    <w:rsid w:val="0069769D"/>
    <w:rsid w:val="006976B2"/>
    <w:rsid w:val="00697B0F"/>
    <w:rsid w:val="00697B1A"/>
    <w:rsid w:val="00697B45"/>
    <w:rsid w:val="00697F7E"/>
    <w:rsid w:val="006A020C"/>
    <w:rsid w:val="006A0411"/>
    <w:rsid w:val="006A0435"/>
    <w:rsid w:val="006A074D"/>
    <w:rsid w:val="006A09EE"/>
    <w:rsid w:val="006A0A04"/>
    <w:rsid w:val="006A0A3F"/>
    <w:rsid w:val="006A0C2E"/>
    <w:rsid w:val="006A0ED1"/>
    <w:rsid w:val="006A130B"/>
    <w:rsid w:val="006A1466"/>
    <w:rsid w:val="006A1672"/>
    <w:rsid w:val="006A1708"/>
    <w:rsid w:val="006A1DB1"/>
    <w:rsid w:val="006A1F94"/>
    <w:rsid w:val="006A1FB5"/>
    <w:rsid w:val="006A1FD2"/>
    <w:rsid w:val="006A20A9"/>
    <w:rsid w:val="006A2177"/>
    <w:rsid w:val="006A2183"/>
    <w:rsid w:val="006A23C3"/>
    <w:rsid w:val="006A242B"/>
    <w:rsid w:val="006A252F"/>
    <w:rsid w:val="006A2671"/>
    <w:rsid w:val="006A26A2"/>
    <w:rsid w:val="006A26F4"/>
    <w:rsid w:val="006A27FB"/>
    <w:rsid w:val="006A2872"/>
    <w:rsid w:val="006A28FD"/>
    <w:rsid w:val="006A29AA"/>
    <w:rsid w:val="006A2B2B"/>
    <w:rsid w:val="006A2B35"/>
    <w:rsid w:val="006A2B41"/>
    <w:rsid w:val="006A2BFB"/>
    <w:rsid w:val="006A2C15"/>
    <w:rsid w:val="006A2C47"/>
    <w:rsid w:val="006A2C50"/>
    <w:rsid w:val="006A2EC3"/>
    <w:rsid w:val="006A2F3E"/>
    <w:rsid w:val="006A3002"/>
    <w:rsid w:val="006A30DF"/>
    <w:rsid w:val="006A33CB"/>
    <w:rsid w:val="006A3494"/>
    <w:rsid w:val="006A35FF"/>
    <w:rsid w:val="006A3662"/>
    <w:rsid w:val="006A37D5"/>
    <w:rsid w:val="006A37EF"/>
    <w:rsid w:val="006A3876"/>
    <w:rsid w:val="006A3E4F"/>
    <w:rsid w:val="006A3EB8"/>
    <w:rsid w:val="006A41CB"/>
    <w:rsid w:val="006A4513"/>
    <w:rsid w:val="006A4563"/>
    <w:rsid w:val="006A4595"/>
    <w:rsid w:val="006A4726"/>
    <w:rsid w:val="006A484D"/>
    <w:rsid w:val="006A49BB"/>
    <w:rsid w:val="006A4C9B"/>
    <w:rsid w:val="006A4DBB"/>
    <w:rsid w:val="006A4F77"/>
    <w:rsid w:val="006A4FEA"/>
    <w:rsid w:val="006A5015"/>
    <w:rsid w:val="006A5031"/>
    <w:rsid w:val="006A505C"/>
    <w:rsid w:val="006A5106"/>
    <w:rsid w:val="006A5483"/>
    <w:rsid w:val="006A554A"/>
    <w:rsid w:val="006A5718"/>
    <w:rsid w:val="006A5723"/>
    <w:rsid w:val="006A57C7"/>
    <w:rsid w:val="006A5923"/>
    <w:rsid w:val="006A5AF7"/>
    <w:rsid w:val="006A5C8F"/>
    <w:rsid w:val="006A5DFD"/>
    <w:rsid w:val="006A5F66"/>
    <w:rsid w:val="006A5F6D"/>
    <w:rsid w:val="006A600D"/>
    <w:rsid w:val="006A6085"/>
    <w:rsid w:val="006A61FC"/>
    <w:rsid w:val="006A62C2"/>
    <w:rsid w:val="006A64E4"/>
    <w:rsid w:val="006A6612"/>
    <w:rsid w:val="006A68BB"/>
    <w:rsid w:val="006A6AC5"/>
    <w:rsid w:val="006A6B7E"/>
    <w:rsid w:val="006A6BB3"/>
    <w:rsid w:val="006A6BFE"/>
    <w:rsid w:val="006A6D6A"/>
    <w:rsid w:val="006A7078"/>
    <w:rsid w:val="006A7239"/>
    <w:rsid w:val="006A7241"/>
    <w:rsid w:val="006A74BE"/>
    <w:rsid w:val="006A75FA"/>
    <w:rsid w:val="006A7726"/>
    <w:rsid w:val="006A7812"/>
    <w:rsid w:val="006A7907"/>
    <w:rsid w:val="006A7910"/>
    <w:rsid w:val="006A7917"/>
    <w:rsid w:val="006A79CF"/>
    <w:rsid w:val="006A7A7F"/>
    <w:rsid w:val="006A7AC4"/>
    <w:rsid w:val="006A7BA6"/>
    <w:rsid w:val="006A7DE2"/>
    <w:rsid w:val="006A7ED9"/>
    <w:rsid w:val="006A7F46"/>
    <w:rsid w:val="006B0137"/>
    <w:rsid w:val="006B0337"/>
    <w:rsid w:val="006B07B1"/>
    <w:rsid w:val="006B09DF"/>
    <w:rsid w:val="006B0CC7"/>
    <w:rsid w:val="006B0DA8"/>
    <w:rsid w:val="006B1069"/>
    <w:rsid w:val="006B127C"/>
    <w:rsid w:val="006B12CA"/>
    <w:rsid w:val="006B1474"/>
    <w:rsid w:val="006B1847"/>
    <w:rsid w:val="006B1898"/>
    <w:rsid w:val="006B1CEA"/>
    <w:rsid w:val="006B1D68"/>
    <w:rsid w:val="006B1EE1"/>
    <w:rsid w:val="006B20C3"/>
    <w:rsid w:val="006B22AD"/>
    <w:rsid w:val="006B241E"/>
    <w:rsid w:val="006B24DC"/>
    <w:rsid w:val="006B2759"/>
    <w:rsid w:val="006B27B5"/>
    <w:rsid w:val="006B28CE"/>
    <w:rsid w:val="006B2A75"/>
    <w:rsid w:val="006B2AAB"/>
    <w:rsid w:val="006B2BBD"/>
    <w:rsid w:val="006B2C90"/>
    <w:rsid w:val="006B2ECD"/>
    <w:rsid w:val="006B2ED0"/>
    <w:rsid w:val="006B302A"/>
    <w:rsid w:val="006B305B"/>
    <w:rsid w:val="006B3153"/>
    <w:rsid w:val="006B330E"/>
    <w:rsid w:val="006B3313"/>
    <w:rsid w:val="006B35BD"/>
    <w:rsid w:val="006B3601"/>
    <w:rsid w:val="006B363F"/>
    <w:rsid w:val="006B374A"/>
    <w:rsid w:val="006B37C7"/>
    <w:rsid w:val="006B3BBD"/>
    <w:rsid w:val="006B3C39"/>
    <w:rsid w:val="006B3CDD"/>
    <w:rsid w:val="006B3DE1"/>
    <w:rsid w:val="006B3E41"/>
    <w:rsid w:val="006B3E50"/>
    <w:rsid w:val="006B3EAF"/>
    <w:rsid w:val="006B3F5F"/>
    <w:rsid w:val="006B3FDE"/>
    <w:rsid w:val="006B4016"/>
    <w:rsid w:val="006B4094"/>
    <w:rsid w:val="006B4569"/>
    <w:rsid w:val="006B4572"/>
    <w:rsid w:val="006B45B1"/>
    <w:rsid w:val="006B474D"/>
    <w:rsid w:val="006B47EE"/>
    <w:rsid w:val="006B49B9"/>
    <w:rsid w:val="006B49FB"/>
    <w:rsid w:val="006B4F16"/>
    <w:rsid w:val="006B4FA5"/>
    <w:rsid w:val="006B4FA6"/>
    <w:rsid w:val="006B51EC"/>
    <w:rsid w:val="006B5289"/>
    <w:rsid w:val="006B5427"/>
    <w:rsid w:val="006B54D5"/>
    <w:rsid w:val="006B5542"/>
    <w:rsid w:val="006B5C21"/>
    <w:rsid w:val="006B5D53"/>
    <w:rsid w:val="006B5DC9"/>
    <w:rsid w:val="006B5DE7"/>
    <w:rsid w:val="006B5E3B"/>
    <w:rsid w:val="006B5FB0"/>
    <w:rsid w:val="006B60FF"/>
    <w:rsid w:val="006B61AE"/>
    <w:rsid w:val="006B6835"/>
    <w:rsid w:val="006B6908"/>
    <w:rsid w:val="006B6F00"/>
    <w:rsid w:val="006B6F94"/>
    <w:rsid w:val="006B70B6"/>
    <w:rsid w:val="006B71A5"/>
    <w:rsid w:val="006B724B"/>
    <w:rsid w:val="006B7369"/>
    <w:rsid w:val="006B749B"/>
    <w:rsid w:val="006B753B"/>
    <w:rsid w:val="006B7579"/>
    <w:rsid w:val="006B76CC"/>
    <w:rsid w:val="006B76FB"/>
    <w:rsid w:val="006B7917"/>
    <w:rsid w:val="006B7A2D"/>
    <w:rsid w:val="006C0141"/>
    <w:rsid w:val="006C0642"/>
    <w:rsid w:val="006C08F5"/>
    <w:rsid w:val="006C0986"/>
    <w:rsid w:val="006C1231"/>
    <w:rsid w:val="006C12EE"/>
    <w:rsid w:val="006C1594"/>
    <w:rsid w:val="006C180E"/>
    <w:rsid w:val="006C1D28"/>
    <w:rsid w:val="006C1D49"/>
    <w:rsid w:val="006C1E40"/>
    <w:rsid w:val="006C208C"/>
    <w:rsid w:val="006C2172"/>
    <w:rsid w:val="006C226A"/>
    <w:rsid w:val="006C22B7"/>
    <w:rsid w:val="006C24EF"/>
    <w:rsid w:val="006C257B"/>
    <w:rsid w:val="006C25EE"/>
    <w:rsid w:val="006C2626"/>
    <w:rsid w:val="006C26C1"/>
    <w:rsid w:val="006C27E6"/>
    <w:rsid w:val="006C28D9"/>
    <w:rsid w:val="006C2BFF"/>
    <w:rsid w:val="006C306C"/>
    <w:rsid w:val="006C3426"/>
    <w:rsid w:val="006C3500"/>
    <w:rsid w:val="006C3639"/>
    <w:rsid w:val="006C36AD"/>
    <w:rsid w:val="006C36CF"/>
    <w:rsid w:val="006C378F"/>
    <w:rsid w:val="006C381B"/>
    <w:rsid w:val="006C3871"/>
    <w:rsid w:val="006C3A50"/>
    <w:rsid w:val="006C3AA2"/>
    <w:rsid w:val="006C3C5C"/>
    <w:rsid w:val="006C3CE2"/>
    <w:rsid w:val="006C3F5A"/>
    <w:rsid w:val="006C402D"/>
    <w:rsid w:val="006C4068"/>
    <w:rsid w:val="006C427D"/>
    <w:rsid w:val="006C44AE"/>
    <w:rsid w:val="006C44E5"/>
    <w:rsid w:val="006C4542"/>
    <w:rsid w:val="006C4575"/>
    <w:rsid w:val="006C46A8"/>
    <w:rsid w:val="006C4A07"/>
    <w:rsid w:val="006C4A1A"/>
    <w:rsid w:val="006C4CB0"/>
    <w:rsid w:val="006C5045"/>
    <w:rsid w:val="006C5057"/>
    <w:rsid w:val="006C50C1"/>
    <w:rsid w:val="006C50D5"/>
    <w:rsid w:val="006C5100"/>
    <w:rsid w:val="006C52CF"/>
    <w:rsid w:val="006C531D"/>
    <w:rsid w:val="006C53AF"/>
    <w:rsid w:val="006C5515"/>
    <w:rsid w:val="006C55A7"/>
    <w:rsid w:val="006C561B"/>
    <w:rsid w:val="006C56B9"/>
    <w:rsid w:val="006C59A9"/>
    <w:rsid w:val="006C5B79"/>
    <w:rsid w:val="006C5E04"/>
    <w:rsid w:val="006C6558"/>
    <w:rsid w:val="006C6578"/>
    <w:rsid w:val="006C6668"/>
    <w:rsid w:val="006C6A09"/>
    <w:rsid w:val="006C6C89"/>
    <w:rsid w:val="006C6EA9"/>
    <w:rsid w:val="006C6F3D"/>
    <w:rsid w:val="006C6F9E"/>
    <w:rsid w:val="006C732F"/>
    <w:rsid w:val="006C74B2"/>
    <w:rsid w:val="006C7606"/>
    <w:rsid w:val="006C765E"/>
    <w:rsid w:val="006C79DE"/>
    <w:rsid w:val="006C7A01"/>
    <w:rsid w:val="006C7A20"/>
    <w:rsid w:val="006C7A86"/>
    <w:rsid w:val="006C7BB3"/>
    <w:rsid w:val="006C7C4E"/>
    <w:rsid w:val="006C7F4F"/>
    <w:rsid w:val="006D01A5"/>
    <w:rsid w:val="006D0261"/>
    <w:rsid w:val="006D0279"/>
    <w:rsid w:val="006D038E"/>
    <w:rsid w:val="006D03FF"/>
    <w:rsid w:val="006D0407"/>
    <w:rsid w:val="006D08B7"/>
    <w:rsid w:val="006D0B5D"/>
    <w:rsid w:val="006D0CD5"/>
    <w:rsid w:val="006D0D39"/>
    <w:rsid w:val="006D0E4F"/>
    <w:rsid w:val="006D0EB8"/>
    <w:rsid w:val="006D0EC5"/>
    <w:rsid w:val="006D0F95"/>
    <w:rsid w:val="006D0FAB"/>
    <w:rsid w:val="006D1072"/>
    <w:rsid w:val="006D1137"/>
    <w:rsid w:val="006D12E1"/>
    <w:rsid w:val="006D1577"/>
    <w:rsid w:val="006D1768"/>
    <w:rsid w:val="006D1775"/>
    <w:rsid w:val="006D1BAE"/>
    <w:rsid w:val="006D20B3"/>
    <w:rsid w:val="006D2167"/>
    <w:rsid w:val="006D2256"/>
    <w:rsid w:val="006D23A4"/>
    <w:rsid w:val="006D26B1"/>
    <w:rsid w:val="006D29B1"/>
    <w:rsid w:val="006D2BEF"/>
    <w:rsid w:val="006D2D06"/>
    <w:rsid w:val="006D2D98"/>
    <w:rsid w:val="006D2EB2"/>
    <w:rsid w:val="006D2F0E"/>
    <w:rsid w:val="006D30F4"/>
    <w:rsid w:val="006D3331"/>
    <w:rsid w:val="006D376C"/>
    <w:rsid w:val="006D39B2"/>
    <w:rsid w:val="006D3BF9"/>
    <w:rsid w:val="006D3C8A"/>
    <w:rsid w:val="006D3CD2"/>
    <w:rsid w:val="006D3CF1"/>
    <w:rsid w:val="006D3DA4"/>
    <w:rsid w:val="006D3FC2"/>
    <w:rsid w:val="006D4318"/>
    <w:rsid w:val="006D4510"/>
    <w:rsid w:val="006D48AE"/>
    <w:rsid w:val="006D4A9E"/>
    <w:rsid w:val="006D4BF8"/>
    <w:rsid w:val="006D4C5C"/>
    <w:rsid w:val="006D50BF"/>
    <w:rsid w:val="006D511F"/>
    <w:rsid w:val="006D513B"/>
    <w:rsid w:val="006D518C"/>
    <w:rsid w:val="006D519A"/>
    <w:rsid w:val="006D519B"/>
    <w:rsid w:val="006D539B"/>
    <w:rsid w:val="006D552D"/>
    <w:rsid w:val="006D563C"/>
    <w:rsid w:val="006D5691"/>
    <w:rsid w:val="006D5811"/>
    <w:rsid w:val="006D5863"/>
    <w:rsid w:val="006D59C5"/>
    <w:rsid w:val="006D59FB"/>
    <w:rsid w:val="006D5CB4"/>
    <w:rsid w:val="006D5D81"/>
    <w:rsid w:val="006D5D99"/>
    <w:rsid w:val="006D5EE5"/>
    <w:rsid w:val="006D5FB4"/>
    <w:rsid w:val="006D5FFB"/>
    <w:rsid w:val="006D60D7"/>
    <w:rsid w:val="006D60F2"/>
    <w:rsid w:val="006D6370"/>
    <w:rsid w:val="006D63F9"/>
    <w:rsid w:val="006D6534"/>
    <w:rsid w:val="006D66A4"/>
    <w:rsid w:val="006D66BD"/>
    <w:rsid w:val="006D6909"/>
    <w:rsid w:val="006D6A66"/>
    <w:rsid w:val="006D6B3E"/>
    <w:rsid w:val="006D6ECE"/>
    <w:rsid w:val="006D6FDB"/>
    <w:rsid w:val="006D710A"/>
    <w:rsid w:val="006D73E6"/>
    <w:rsid w:val="006D74D8"/>
    <w:rsid w:val="006D779F"/>
    <w:rsid w:val="006D7CA1"/>
    <w:rsid w:val="006D7D2B"/>
    <w:rsid w:val="006D7D50"/>
    <w:rsid w:val="006D7E8E"/>
    <w:rsid w:val="006D7E9B"/>
    <w:rsid w:val="006D7FAC"/>
    <w:rsid w:val="006E017F"/>
    <w:rsid w:val="006E02B4"/>
    <w:rsid w:val="006E032E"/>
    <w:rsid w:val="006E09B7"/>
    <w:rsid w:val="006E09DB"/>
    <w:rsid w:val="006E0A7E"/>
    <w:rsid w:val="006E0AA9"/>
    <w:rsid w:val="006E0B01"/>
    <w:rsid w:val="006E0BBF"/>
    <w:rsid w:val="006E0BCF"/>
    <w:rsid w:val="006E0D38"/>
    <w:rsid w:val="006E0E0A"/>
    <w:rsid w:val="006E0F78"/>
    <w:rsid w:val="006E0FC4"/>
    <w:rsid w:val="006E0FED"/>
    <w:rsid w:val="006E120D"/>
    <w:rsid w:val="006E138F"/>
    <w:rsid w:val="006E14A2"/>
    <w:rsid w:val="006E1561"/>
    <w:rsid w:val="006E16EF"/>
    <w:rsid w:val="006E1714"/>
    <w:rsid w:val="006E1718"/>
    <w:rsid w:val="006E18A9"/>
    <w:rsid w:val="006E19EC"/>
    <w:rsid w:val="006E1BB6"/>
    <w:rsid w:val="006E1D05"/>
    <w:rsid w:val="006E1DF9"/>
    <w:rsid w:val="006E1EFA"/>
    <w:rsid w:val="006E2194"/>
    <w:rsid w:val="006E25A6"/>
    <w:rsid w:val="006E2903"/>
    <w:rsid w:val="006E29C3"/>
    <w:rsid w:val="006E2B1D"/>
    <w:rsid w:val="006E2C32"/>
    <w:rsid w:val="006E2C52"/>
    <w:rsid w:val="006E2D7C"/>
    <w:rsid w:val="006E2E98"/>
    <w:rsid w:val="006E2EE3"/>
    <w:rsid w:val="006E2FA6"/>
    <w:rsid w:val="006E303A"/>
    <w:rsid w:val="006E303D"/>
    <w:rsid w:val="006E3086"/>
    <w:rsid w:val="006E327C"/>
    <w:rsid w:val="006E34DB"/>
    <w:rsid w:val="006E35BE"/>
    <w:rsid w:val="006E3880"/>
    <w:rsid w:val="006E39C8"/>
    <w:rsid w:val="006E3C98"/>
    <w:rsid w:val="006E3F38"/>
    <w:rsid w:val="006E3F40"/>
    <w:rsid w:val="006E41FB"/>
    <w:rsid w:val="006E446C"/>
    <w:rsid w:val="006E464C"/>
    <w:rsid w:val="006E49E0"/>
    <w:rsid w:val="006E4A04"/>
    <w:rsid w:val="006E4AF0"/>
    <w:rsid w:val="006E4E7B"/>
    <w:rsid w:val="006E5039"/>
    <w:rsid w:val="006E5204"/>
    <w:rsid w:val="006E522E"/>
    <w:rsid w:val="006E5243"/>
    <w:rsid w:val="006E528E"/>
    <w:rsid w:val="006E5309"/>
    <w:rsid w:val="006E539D"/>
    <w:rsid w:val="006E5403"/>
    <w:rsid w:val="006E5507"/>
    <w:rsid w:val="006E55AF"/>
    <w:rsid w:val="006E56C2"/>
    <w:rsid w:val="006E56CB"/>
    <w:rsid w:val="006E572D"/>
    <w:rsid w:val="006E5850"/>
    <w:rsid w:val="006E5A97"/>
    <w:rsid w:val="006E5D7A"/>
    <w:rsid w:val="006E5E1C"/>
    <w:rsid w:val="006E5E90"/>
    <w:rsid w:val="006E5E9B"/>
    <w:rsid w:val="006E5EDE"/>
    <w:rsid w:val="006E5EEE"/>
    <w:rsid w:val="006E616B"/>
    <w:rsid w:val="006E61E0"/>
    <w:rsid w:val="006E6285"/>
    <w:rsid w:val="006E62D8"/>
    <w:rsid w:val="006E6394"/>
    <w:rsid w:val="006E647F"/>
    <w:rsid w:val="006E64B6"/>
    <w:rsid w:val="006E64ED"/>
    <w:rsid w:val="006E652F"/>
    <w:rsid w:val="006E66B4"/>
    <w:rsid w:val="006E6753"/>
    <w:rsid w:val="006E68CB"/>
    <w:rsid w:val="006E6939"/>
    <w:rsid w:val="006E6A33"/>
    <w:rsid w:val="006E6BB6"/>
    <w:rsid w:val="006E6D3B"/>
    <w:rsid w:val="006E6EAE"/>
    <w:rsid w:val="006E70BA"/>
    <w:rsid w:val="006E72C5"/>
    <w:rsid w:val="006E7540"/>
    <w:rsid w:val="006E75F8"/>
    <w:rsid w:val="006E76F3"/>
    <w:rsid w:val="006E78CC"/>
    <w:rsid w:val="006E7A02"/>
    <w:rsid w:val="006E7AF8"/>
    <w:rsid w:val="006E7CBC"/>
    <w:rsid w:val="006E7D47"/>
    <w:rsid w:val="006E7E2B"/>
    <w:rsid w:val="006E7E44"/>
    <w:rsid w:val="006F0105"/>
    <w:rsid w:val="006F0227"/>
    <w:rsid w:val="006F0584"/>
    <w:rsid w:val="006F05E7"/>
    <w:rsid w:val="006F0C31"/>
    <w:rsid w:val="006F0C5F"/>
    <w:rsid w:val="006F0D5B"/>
    <w:rsid w:val="006F0E20"/>
    <w:rsid w:val="006F0FB7"/>
    <w:rsid w:val="006F13E9"/>
    <w:rsid w:val="006F1499"/>
    <w:rsid w:val="006F16E7"/>
    <w:rsid w:val="006F171F"/>
    <w:rsid w:val="006F17DF"/>
    <w:rsid w:val="006F19D0"/>
    <w:rsid w:val="006F1A90"/>
    <w:rsid w:val="006F1CA1"/>
    <w:rsid w:val="006F1D06"/>
    <w:rsid w:val="006F1DB7"/>
    <w:rsid w:val="006F1EAC"/>
    <w:rsid w:val="006F1F84"/>
    <w:rsid w:val="006F202A"/>
    <w:rsid w:val="006F218A"/>
    <w:rsid w:val="006F224D"/>
    <w:rsid w:val="006F231A"/>
    <w:rsid w:val="006F25A7"/>
    <w:rsid w:val="006F25DA"/>
    <w:rsid w:val="006F27DB"/>
    <w:rsid w:val="006F294C"/>
    <w:rsid w:val="006F294E"/>
    <w:rsid w:val="006F295C"/>
    <w:rsid w:val="006F2B8A"/>
    <w:rsid w:val="006F2DEE"/>
    <w:rsid w:val="006F2E03"/>
    <w:rsid w:val="006F2F8E"/>
    <w:rsid w:val="006F30B6"/>
    <w:rsid w:val="006F30D4"/>
    <w:rsid w:val="006F30DA"/>
    <w:rsid w:val="006F3103"/>
    <w:rsid w:val="006F31A0"/>
    <w:rsid w:val="006F32DB"/>
    <w:rsid w:val="006F33E0"/>
    <w:rsid w:val="006F33EB"/>
    <w:rsid w:val="006F33FC"/>
    <w:rsid w:val="006F34B4"/>
    <w:rsid w:val="006F38C2"/>
    <w:rsid w:val="006F3A49"/>
    <w:rsid w:val="006F3AEE"/>
    <w:rsid w:val="006F3AF6"/>
    <w:rsid w:val="006F42DC"/>
    <w:rsid w:val="006F48A3"/>
    <w:rsid w:val="006F4955"/>
    <w:rsid w:val="006F4BFF"/>
    <w:rsid w:val="006F4F78"/>
    <w:rsid w:val="006F52FF"/>
    <w:rsid w:val="006F5329"/>
    <w:rsid w:val="006F5350"/>
    <w:rsid w:val="006F53C9"/>
    <w:rsid w:val="006F540E"/>
    <w:rsid w:val="006F5426"/>
    <w:rsid w:val="006F5728"/>
    <w:rsid w:val="006F5823"/>
    <w:rsid w:val="006F5AB3"/>
    <w:rsid w:val="006F5E8B"/>
    <w:rsid w:val="006F5EDA"/>
    <w:rsid w:val="006F5F54"/>
    <w:rsid w:val="006F6116"/>
    <w:rsid w:val="006F650C"/>
    <w:rsid w:val="006F656C"/>
    <w:rsid w:val="006F65FA"/>
    <w:rsid w:val="006F673A"/>
    <w:rsid w:val="006F684F"/>
    <w:rsid w:val="006F6888"/>
    <w:rsid w:val="006F688B"/>
    <w:rsid w:val="006F69A6"/>
    <w:rsid w:val="006F69D4"/>
    <w:rsid w:val="006F6C8D"/>
    <w:rsid w:val="006F6CC2"/>
    <w:rsid w:val="006F6E0C"/>
    <w:rsid w:val="006F6EBF"/>
    <w:rsid w:val="006F7038"/>
    <w:rsid w:val="006F7202"/>
    <w:rsid w:val="006F72E2"/>
    <w:rsid w:val="006F72E6"/>
    <w:rsid w:val="006F74AB"/>
    <w:rsid w:val="006F77EE"/>
    <w:rsid w:val="006F781B"/>
    <w:rsid w:val="006F78C7"/>
    <w:rsid w:val="006F7B77"/>
    <w:rsid w:val="006F7B9C"/>
    <w:rsid w:val="006F7BAF"/>
    <w:rsid w:val="006F7E40"/>
    <w:rsid w:val="006F7F23"/>
    <w:rsid w:val="00700036"/>
    <w:rsid w:val="00700097"/>
    <w:rsid w:val="00700297"/>
    <w:rsid w:val="00700446"/>
    <w:rsid w:val="00700552"/>
    <w:rsid w:val="007005A7"/>
    <w:rsid w:val="007005EA"/>
    <w:rsid w:val="00700696"/>
    <w:rsid w:val="007006FA"/>
    <w:rsid w:val="00700737"/>
    <w:rsid w:val="00700792"/>
    <w:rsid w:val="00700871"/>
    <w:rsid w:val="00700900"/>
    <w:rsid w:val="00700AD9"/>
    <w:rsid w:val="00700AE2"/>
    <w:rsid w:val="00700AF9"/>
    <w:rsid w:val="00700B83"/>
    <w:rsid w:val="00700C8C"/>
    <w:rsid w:val="00700ED9"/>
    <w:rsid w:val="00701062"/>
    <w:rsid w:val="007013FC"/>
    <w:rsid w:val="00701453"/>
    <w:rsid w:val="007014D5"/>
    <w:rsid w:val="00701844"/>
    <w:rsid w:val="00701898"/>
    <w:rsid w:val="0070190F"/>
    <w:rsid w:val="00701A49"/>
    <w:rsid w:val="00701A79"/>
    <w:rsid w:val="00701B13"/>
    <w:rsid w:val="00701C26"/>
    <w:rsid w:val="00701DF5"/>
    <w:rsid w:val="00701E7B"/>
    <w:rsid w:val="00701EF5"/>
    <w:rsid w:val="00701FB2"/>
    <w:rsid w:val="00702093"/>
    <w:rsid w:val="007020BB"/>
    <w:rsid w:val="007021D4"/>
    <w:rsid w:val="00702335"/>
    <w:rsid w:val="007023E1"/>
    <w:rsid w:val="00702452"/>
    <w:rsid w:val="007024F6"/>
    <w:rsid w:val="00702794"/>
    <w:rsid w:val="00702799"/>
    <w:rsid w:val="007028B5"/>
    <w:rsid w:val="00702B2B"/>
    <w:rsid w:val="00702D95"/>
    <w:rsid w:val="00702F10"/>
    <w:rsid w:val="00702F23"/>
    <w:rsid w:val="00703163"/>
    <w:rsid w:val="007032D5"/>
    <w:rsid w:val="0070330E"/>
    <w:rsid w:val="0070349A"/>
    <w:rsid w:val="007034F0"/>
    <w:rsid w:val="00703725"/>
    <w:rsid w:val="00703872"/>
    <w:rsid w:val="00703A8F"/>
    <w:rsid w:val="00703CC4"/>
    <w:rsid w:val="00703DA2"/>
    <w:rsid w:val="00703F30"/>
    <w:rsid w:val="00703F31"/>
    <w:rsid w:val="00703F72"/>
    <w:rsid w:val="0070412E"/>
    <w:rsid w:val="0070423D"/>
    <w:rsid w:val="00704371"/>
    <w:rsid w:val="007044CA"/>
    <w:rsid w:val="007045AA"/>
    <w:rsid w:val="007046CF"/>
    <w:rsid w:val="007047DA"/>
    <w:rsid w:val="007048A5"/>
    <w:rsid w:val="007048C4"/>
    <w:rsid w:val="00704A23"/>
    <w:rsid w:val="00704AE9"/>
    <w:rsid w:val="00704D99"/>
    <w:rsid w:val="00704F7A"/>
    <w:rsid w:val="0070504C"/>
    <w:rsid w:val="0070515A"/>
    <w:rsid w:val="007051EA"/>
    <w:rsid w:val="007052D5"/>
    <w:rsid w:val="00705454"/>
    <w:rsid w:val="007054B1"/>
    <w:rsid w:val="0070551B"/>
    <w:rsid w:val="00705803"/>
    <w:rsid w:val="00705C85"/>
    <w:rsid w:val="007064E2"/>
    <w:rsid w:val="007065FE"/>
    <w:rsid w:val="007066F3"/>
    <w:rsid w:val="007069FD"/>
    <w:rsid w:val="00706B08"/>
    <w:rsid w:val="00706B0E"/>
    <w:rsid w:val="00706BF0"/>
    <w:rsid w:val="00706C8E"/>
    <w:rsid w:val="007071C8"/>
    <w:rsid w:val="007071D7"/>
    <w:rsid w:val="007073FC"/>
    <w:rsid w:val="00707436"/>
    <w:rsid w:val="007074BC"/>
    <w:rsid w:val="00707579"/>
    <w:rsid w:val="0070758E"/>
    <w:rsid w:val="007078C9"/>
    <w:rsid w:val="00707D37"/>
    <w:rsid w:val="00707D3C"/>
    <w:rsid w:val="00707EC7"/>
    <w:rsid w:val="00707F03"/>
    <w:rsid w:val="00707F33"/>
    <w:rsid w:val="00707F5D"/>
    <w:rsid w:val="007100C4"/>
    <w:rsid w:val="007100D2"/>
    <w:rsid w:val="00710228"/>
    <w:rsid w:val="007104F3"/>
    <w:rsid w:val="007106C1"/>
    <w:rsid w:val="007106ED"/>
    <w:rsid w:val="00710703"/>
    <w:rsid w:val="007108DF"/>
    <w:rsid w:val="00710A3B"/>
    <w:rsid w:val="00710C1E"/>
    <w:rsid w:val="00710C4A"/>
    <w:rsid w:val="00710FC0"/>
    <w:rsid w:val="0071135F"/>
    <w:rsid w:val="00711532"/>
    <w:rsid w:val="00711546"/>
    <w:rsid w:val="00711603"/>
    <w:rsid w:val="00711676"/>
    <w:rsid w:val="007116CA"/>
    <w:rsid w:val="00711780"/>
    <w:rsid w:val="00711BEF"/>
    <w:rsid w:val="00711CA0"/>
    <w:rsid w:val="007120F2"/>
    <w:rsid w:val="0071213B"/>
    <w:rsid w:val="007121C3"/>
    <w:rsid w:val="007125BF"/>
    <w:rsid w:val="00712697"/>
    <w:rsid w:val="007129A1"/>
    <w:rsid w:val="00712A60"/>
    <w:rsid w:val="00712A85"/>
    <w:rsid w:val="00712D43"/>
    <w:rsid w:val="00712DBA"/>
    <w:rsid w:val="00712DD7"/>
    <w:rsid w:val="00712EA3"/>
    <w:rsid w:val="0071318E"/>
    <w:rsid w:val="007135AD"/>
    <w:rsid w:val="0071371B"/>
    <w:rsid w:val="007137E7"/>
    <w:rsid w:val="0071386E"/>
    <w:rsid w:val="00713C6F"/>
    <w:rsid w:val="00713C7C"/>
    <w:rsid w:val="00713F1C"/>
    <w:rsid w:val="00713F45"/>
    <w:rsid w:val="00714059"/>
    <w:rsid w:val="0071411A"/>
    <w:rsid w:val="007142BB"/>
    <w:rsid w:val="0071435F"/>
    <w:rsid w:val="007144A3"/>
    <w:rsid w:val="007146CB"/>
    <w:rsid w:val="007147E0"/>
    <w:rsid w:val="00714872"/>
    <w:rsid w:val="00714A92"/>
    <w:rsid w:val="00714B03"/>
    <w:rsid w:val="00714CBE"/>
    <w:rsid w:val="00714D0C"/>
    <w:rsid w:val="00714E9B"/>
    <w:rsid w:val="00714ED9"/>
    <w:rsid w:val="00714FA2"/>
    <w:rsid w:val="00714FF5"/>
    <w:rsid w:val="00715008"/>
    <w:rsid w:val="007150D9"/>
    <w:rsid w:val="0071514C"/>
    <w:rsid w:val="0071528F"/>
    <w:rsid w:val="00715369"/>
    <w:rsid w:val="007153CA"/>
    <w:rsid w:val="0071557B"/>
    <w:rsid w:val="0071558C"/>
    <w:rsid w:val="007155E6"/>
    <w:rsid w:val="0071570B"/>
    <w:rsid w:val="00715B0A"/>
    <w:rsid w:val="00715BE9"/>
    <w:rsid w:val="00715DBE"/>
    <w:rsid w:val="00715EF9"/>
    <w:rsid w:val="00715F0C"/>
    <w:rsid w:val="007160A8"/>
    <w:rsid w:val="007160EF"/>
    <w:rsid w:val="00716373"/>
    <w:rsid w:val="0071654C"/>
    <w:rsid w:val="00716570"/>
    <w:rsid w:val="00716776"/>
    <w:rsid w:val="007167DB"/>
    <w:rsid w:val="007167E9"/>
    <w:rsid w:val="007168C1"/>
    <w:rsid w:val="0071697E"/>
    <w:rsid w:val="00716A6E"/>
    <w:rsid w:val="00716BAF"/>
    <w:rsid w:val="00716C0F"/>
    <w:rsid w:val="00716DDA"/>
    <w:rsid w:val="007170EB"/>
    <w:rsid w:val="0071726D"/>
    <w:rsid w:val="00717480"/>
    <w:rsid w:val="007174D6"/>
    <w:rsid w:val="007174DA"/>
    <w:rsid w:val="007176B0"/>
    <w:rsid w:val="007178D6"/>
    <w:rsid w:val="007178EE"/>
    <w:rsid w:val="00717A00"/>
    <w:rsid w:val="00717A75"/>
    <w:rsid w:val="00717B93"/>
    <w:rsid w:val="00717BE5"/>
    <w:rsid w:val="00717FC3"/>
    <w:rsid w:val="007201CA"/>
    <w:rsid w:val="0072029F"/>
    <w:rsid w:val="007204C4"/>
    <w:rsid w:val="0072065A"/>
    <w:rsid w:val="0072065B"/>
    <w:rsid w:val="00720718"/>
    <w:rsid w:val="00720901"/>
    <w:rsid w:val="00720970"/>
    <w:rsid w:val="00720975"/>
    <w:rsid w:val="00720BEC"/>
    <w:rsid w:val="00720CA7"/>
    <w:rsid w:val="00720F83"/>
    <w:rsid w:val="007211CC"/>
    <w:rsid w:val="007211FB"/>
    <w:rsid w:val="00721258"/>
    <w:rsid w:val="00721345"/>
    <w:rsid w:val="00721394"/>
    <w:rsid w:val="00721436"/>
    <w:rsid w:val="00721562"/>
    <w:rsid w:val="007215D3"/>
    <w:rsid w:val="007215EE"/>
    <w:rsid w:val="00721903"/>
    <w:rsid w:val="007219FF"/>
    <w:rsid w:val="00721B21"/>
    <w:rsid w:val="00721B28"/>
    <w:rsid w:val="00721DE5"/>
    <w:rsid w:val="0072223C"/>
    <w:rsid w:val="007222A9"/>
    <w:rsid w:val="007222E2"/>
    <w:rsid w:val="00722359"/>
    <w:rsid w:val="007223CD"/>
    <w:rsid w:val="007225C5"/>
    <w:rsid w:val="00722617"/>
    <w:rsid w:val="007226FB"/>
    <w:rsid w:val="00722737"/>
    <w:rsid w:val="0072285C"/>
    <w:rsid w:val="007228C1"/>
    <w:rsid w:val="007229FD"/>
    <w:rsid w:val="00722B79"/>
    <w:rsid w:val="00722E14"/>
    <w:rsid w:val="00722E15"/>
    <w:rsid w:val="00722E34"/>
    <w:rsid w:val="00722F49"/>
    <w:rsid w:val="0072314A"/>
    <w:rsid w:val="0072349F"/>
    <w:rsid w:val="007234FF"/>
    <w:rsid w:val="007235BA"/>
    <w:rsid w:val="00723629"/>
    <w:rsid w:val="00723AA4"/>
    <w:rsid w:val="00723AB8"/>
    <w:rsid w:val="00723C1B"/>
    <w:rsid w:val="00723D11"/>
    <w:rsid w:val="00723DF4"/>
    <w:rsid w:val="00723FA9"/>
    <w:rsid w:val="00723FE7"/>
    <w:rsid w:val="007240A5"/>
    <w:rsid w:val="007240D9"/>
    <w:rsid w:val="00724147"/>
    <w:rsid w:val="007242D4"/>
    <w:rsid w:val="007244C1"/>
    <w:rsid w:val="007246DF"/>
    <w:rsid w:val="007248B6"/>
    <w:rsid w:val="00724AB9"/>
    <w:rsid w:val="00724BB2"/>
    <w:rsid w:val="00724D42"/>
    <w:rsid w:val="00724EDF"/>
    <w:rsid w:val="00724FCD"/>
    <w:rsid w:val="00725080"/>
    <w:rsid w:val="007250A9"/>
    <w:rsid w:val="007251C6"/>
    <w:rsid w:val="007252B6"/>
    <w:rsid w:val="0072534A"/>
    <w:rsid w:val="0072554D"/>
    <w:rsid w:val="007255A1"/>
    <w:rsid w:val="007257B5"/>
    <w:rsid w:val="00725906"/>
    <w:rsid w:val="007259EE"/>
    <w:rsid w:val="00725A27"/>
    <w:rsid w:val="00725C9E"/>
    <w:rsid w:val="00725DD4"/>
    <w:rsid w:val="00725F11"/>
    <w:rsid w:val="007260BA"/>
    <w:rsid w:val="0072640C"/>
    <w:rsid w:val="0072666C"/>
    <w:rsid w:val="00726726"/>
    <w:rsid w:val="00726800"/>
    <w:rsid w:val="00726925"/>
    <w:rsid w:val="00726E3C"/>
    <w:rsid w:val="00726E6A"/>
    <w:rsid w:val="00726F9B"/>
    <w:rsid w:val="00727048"/>
    <w:rsid w:val="0072717F"/>
    <w:rsid w:val="0072744B"/>
    <w:rsid w:val="0072745D"/>
    <w:rsid w:val="00727584"/>
    <w:rsid w:val="0072792D"/>
    <w:rsid w:val="007279AF"/>
    <w:rsid w:val="00727C65"/>
    <w:rsid w:val="00727C6A"/>
    <w:rsid w:val="00727C9C"/>
    <w:rsid w:val="00727F44"/>
    <w:rsid w:val="00727FC4"/>
    <w:rsid w:val="0073005B"/>
    <w:rsid w:val="0073021E"/>
    <w:rsid w:val="00730326"/>
    <w:rsid w:val="0073037C"/>
    <w:rsid w:val="007303BF"/>
    <w:rsid w:val="0073041D"/>
    <w:rsid w:val="0073061D"/>
    <w:rsid w:val="007306A5"/>
    <w:rsid w:val="007306BD"/>
    <w:rsid w:val="00730A90"/>
    <w:rsid w:val="00730BD2"/>
    <w:rsid w:val="00730D67"/>
    <w:rsid w:val="00730D69"/>
    <w:rsid w:val="00730DD4"/>
    <w:rsid w:val="00730EA0"/>
    <w:rsid w:val="00730EEC"/>
    <w:rsid w:val="00730FB2"/>
    <w:rsid w:val="007310DC"/>
    <w:rsid w:val="00731284"/>
    <w:rsid w:val="00731633"/>
    <w:rsid w:val="00731BA7"/>
    <w:rsid w:val="00731CC3"/>
    <w:rsid w:val="00731E96"/>
    <w:rsid w:val="00731EAA"/>
    <w:rsid w:val="00731FBF"/>
    <w:rsid w:val="00731FDA"/>
    <w:rsid w:val="007324F9"/>
    <w:rsid w:val="00732522"/>
    <w:rsid w:val="0073283F"/>
    <w:rsid w:val="00732E63"/>
    <w:rsid w:val="00732EF3"/>
    <w:rsid w:val="00732F0F"/>
    <w:rsid w:val="00733346"/>
    <w:rsid w:val="007334C6"/>
    <w:rsid w:val="00733530"/>
    <w:rsid w:val="007335FD"/>
    <w:rsid w:val="007336A7"/>
    <w:rsid w:val="007336DD"/>
    <w:rsid w:val="007337D9"/>
    <w:rsid w:val="00733863"/>
    <w:rsid w:val="00733891"/>
    <w:rsid w:val="007339D3"/>
    <w:rsid w:val="007339D9"/>
    <w:rsid w:val="00733AE5"/>
    <w:rsid w:val="00733E7A"/>
    <w:rsid w:val="00733F70"/>
    <w:rsid w:val="0073404B"/>
    <w:rsid w:val="007340B3"/>
    <w:rsid w:val="00734188"/>
    <w:rsid w:val="0073431F"/>
    <w:rsid w:val="00734362"/>
    <w:rsid w:val="007343EA"/>
    <w:rsid w:val="0073449A"/>
    <w:rsid w:val="0073456F"/>
    <w:rsid w:val="0073483E"/>
    <w:rsid w:val="00734887"/>
    <w:rsid w:val="007348AD"/>
    <w:rsid w:val="00734B00"/>
    <w:rsid w:val="00734B33"/>
    <w:rsid w:val="00734BDF"/>
    <w:rsid w:val="00734EC3"/>
    <w:rsid w:val="00735124"/>
    <w:rsid w:val="007352D4"/>
    <w:rsid w:val="007353EF"/>
    <w:rsid w:val="007354C4"/>
    <w:rsid w:val="007354FA"/>
    <w:rsid w:val="00735702"/>
    <w:rsid w:val="0073574A"/>
    <w:rsid w:val="007357C5"/>
    <w:rsid w:val="0073590D"/>
    <w:rsid w:val="00735EEE"/>
    <w:rsid w:val="0073610F"/>
    <w:rsid w:val="00736471"/>
    <w:rsid w:val="007364AD"/>
    <w:rsid w:val="007364C8"/>
    <w:rsid w:val="00736547"/>
    <w:rsid w:val="007365EB"/>
    <w:rsid w:val="007367E7"/>
    <w:rsid w:val="00736884"/>
    <w:rsid w:val="007368B4"/>
    <w:rsid w:val="00736A27"/>
    <w:rsid w:val="00736D17"/>
    <w:rsid w:val="00736DCD"/>
    <w:rsid w:val="00736EA5"/>
    <w:rsid w:val="00736F14"/>
    <w:rsid w:val="00736F47"/>
    <w:rsid w:val="00736F7E"/>
    <w:rsid w:val="00737034"/>
    <w:rsid w:val="007370D6"/>
    <w:rsid w:val="00737131"/>
    <w:rsid w:val="00737243"/>
    <w:rsid w:val="0073726D"/>
    <w:rsid w:val="0073740D"/>
    <w:rsid w:val="0073751B"/>
    <w:rsid w:val="00737778"/>
    <w:rsid w:val="00737835"/>
    <w:rsid w:val="007378E3"/>
    <w:rsid w:val="007379DA"/>
    <w:rsid w:val="00737D31"/>
    <w:rsid w:val="0074023A"/>
    <w:rsid w:val="007403AC"/>
    <w:rsid w:val="007403E9"/>
    <w:rsid w:val="007404BE"/>
    <w:rsid w:val="00740673"/>
    <w:rsid w:val="007406EC"/>
    <w:rsid w:val="0074079C"/>
    <w:rsid w:val="00740908"/>
    <w:rsid w:val="0074098E"/>
    <w:rsid w:val="00740BDF"/>
    <w:rsid w:val="00740E68"/>
    <w:rsid w:val="00740EFA"/>
    <w:rsid w:val="0074101B"/>
    <w:rsid w:val="00741042"/>
    <w:rsid w:val="0074109A"/>
    <w:rsid w:val="007412D7"/>
    <w:rsid w:val="0074133F"/>
    <w:rsid w:val="007413B6"/>
    <w:rsid w:val="007413EA"/>
    <w:rsid w:val="007414BB"/>
    <w:rsid w:val="0074195F"/>
    <w:rsid w:val="00741AF7"/>
    <w:rsid w:val="00741BDC"/>
    <w:rsid w:val="00741C8A"/>
    <w:rsid w:val="00741D4C"/>
    <w:rsid w:val="00741DC7"/>
    <w:rsid w:val="00741EAD"/>
    <w:rsid w:val="00741ED4"/>
    <w:rsid w:val="00741F33"/>
    <w:rsid w:val="0074200C"/>
    <w:rsid w:val="007422DB"/>
    <w:rsid w:val="007423E7"/>
    <w:rsid w:val="0074251D"/>
    <w:rsid w:val="007425A3"/>
    <w:rsid w:val="007426DC"/>
    <w:rsid w:val="00742845"/>
    <w:rsid w:val="0074293C"/>
    <w:rsid w:val="00742ACF"/>
    <w:rsid w:val="00742B13"/>
    <w:rsid w:val="00742CFF"/>
    <w:rsid w:val="00743038"/>
    <w:rsid w:val="00743293"/>
    <w:rsid w:val="007433AF"/>
    <w:rsid w:val="00743658"/>
    <w:rsid w:val="007437BE"/>
    <w:rsid w:val="00743CD3"/>
    <w:rsid w:val="00743DAC"/>
    <w:rsid w:val="00744036"/>
    <w:rsid w:val="00744062"/>
    <w:rsid w:val="0074412D"/>
    <w:rsid w:val="007441C6"/>
    <w:rsid w:val="007441CA"/>
    <w:rsid w:val="0074422B"/>
    <w:rsid w:val="00744252"/>
    <w:rsid w:val="00744320"/>
    <w:rsid w:val="0074433A"/>
    <w:rsid w:val="00744407"/>
    <w:rsid w:val="0074448B"/>
    <w:rsid w:val="007444ED"/>
    <w:rsid w:val="00744678"/>
    <w:rsid w:val="007447B4"/>
    <w:rsid w:val="0074486A"/>
    <w:rsid w:val="007448BF"/>
    <w:rsid w:val="00744985"/>
    <w:rsid w:val="007451D5"/>
    <w:rsid w:val="00745225"/>
    <w:rsid w:val="00745368"/>
    <w:rsid w:val="0074544F"/>
    <w:rsid w:val="007455B8"/>
    <w:rsid w:val="007455E7"/>
    <w:rsid w:val="007456FA"/>
    <w:rsid w:val="00745760"/>
    <w:rsid w:val="00745852"/>
    <w:rsid w:val="0074591D"/>
    <w:rsid w:val="0074595B"/>
    <w:rsid w:val="00745C20"/>
    <w:rsid w:val="00745C80"/>
    <w:rsid w:val="00745EB8"/>
    <w:rsid w:val="00745F1D"/>
    <w:rsid w:val="0074621B"/>
    <w:rsid w:val="0074626D"/>
    <w:rsid w:val="007465F4"/>
    <w:rsid w:val="00746608"/>
    <w:rsid w:val="0074680B"/>
    <w:rsid w:val="00746A7B"/>
    <w:rsid w:val="00746BE6"/>
    <w:rsid w:val="007470A6"/>
    <w:rsid w:val="007470E8"/>
    <w:rsid w:val="00747368"/>
    <w:rsid w:val="00747401"/>
    <w:rsid w:val="007475CF"/>
    <w:rsid w:val="007475F1"/>
    <w:rsid w:val="00747825"/>
    <w:rsid w:val="00747A90"/>
    <w:rsid w:val="00747AB0"/>
    <w:rsid w:val="00747ABB"/>
    <w:rsid w:val="00747C62"/>
    <w:rsid w:val="00747D26"/>
    <w:rsid w:val="00747F49"/>
    <w:rsid w:val="00747F54"/>
    <w:rsid w:val="00750048"/>
    <w:rsid w:val="00750279"/>
    <w:rsid w:val="007503E7"/>
    <w:rsid w:val="007508EB"/>
    <w:rsid w:val="007509E2"/>
    <w:rsid w:val="00750ACC"/>
    <w:rsid w:val="00750B74"/>
    <w:rsid w:val="00750C79"/>
    <w:rsid w:val="00750D61"/>
    <w:rsid w:val="00751057"/>
    <w:rsid w:val="00751116"/>
    <w:rsid w:val="00751420"/>
    <w:rsid w:val="007514A5"/>
    <w:rsid w:val="007514EB"/>
    <w:rsid w:val="00751890"/>
    <w:rsid w:val="00751A38"/>
    <w:rsid w:val="007520AB"/>
    <w:rsid w:val="00752268"/>
    <w:rsid w:val="007522EC"/>
    <w:rsid w:val="00752407"/>
    <w:rsid w:val="00752506"/>
    <w:rsid w:val="0075263F"/>
    <w:rsid w:val="007528ED"/>
    <w:rsid w:val="00752A5E"/>
    <w:rsid w:val="00752B7E"/>
    <w:rsid w:val="00752E83"/>
    <w:rsid w:val="00752F55"/>
    <w:rsid w:val="00752FB9"/>
    <w:rsid w:val="00753306"/>
    <w:rsid w:val="0075344F"/>
    <w:rsid w:val="0075348E"/>
    <w:rsid w:val="007535A9"/>
    <w:rsid w:val="007536BC"/>
    <w:rsid w:val="007537D1"/>
    <w:rsid w:val="00753801"/>
    <w:rsid w:val="00753803"/>
    <w:rsid w:val="0075384B"/>
    <w:rsid w:val="00753850"/>
    <w:rsid w:val="00753E15"/>
    <w:rsid w:val="007540BF"/>
    <w:rsid w:val="0075426C"/>
    <w:rsid w:val="0075445D"/>
    <w:rsid w:val="00754A25"/>
    <w:rsid w:val="00754A81"/>
    <w:rsid w:val="00754B20"/>
    <w:rsid w:val="00754BFC"/>
    <w:rsid w:val="00754C30"/>
    <w:rsid w:val="00754DF1"/>
    <w:rsid w:val="00754E65"/>
    <w:rsid w:val="00754E6C"/>
    <w:rsid w:val="00754E88"/>
    <w:rsid w:val="007550FC"/>
    <w:rsid w:val="00755112"/>
    <w:rsid w:val="00755213"/>
    <w:rsid w:val="00755239"/>
    <w:rsid w:val="00755251"/>
    <w:rsid w:val="00755438"/>
    <w:rsid w:val="0075548A"/>
    <w:rsid w:val="00755618"/>
    <w:rsid w:val="00755A6C"/>
    <w:rsid w:val="00755BDE"/>
    <w:rsid w:val="00755C65"/>
    <w:rsid w:val="00755DD0"/>
    <w:rsid w:val="00755EE1"/>
    <w:rsid w:val="00755F5B"/>
    <w:rsid w:val="007563AD"/>
    <w:rsid w:val="00756520"/>
    <w:rsid w:val="0075666B"/>
    <w:rsid w:val="0075667E"/>
    <w:rsid w:val="007567EA"/>
    <w:rsid w:val="00756BA2"/>
    <w:rsid w:val="00756BE1"/>
    <w:rsid w:val="00756C09"/>
    <w:rsid w:val="00756F52"/>
    <w:rsid w:val="007571BD"/>
    <w:rsid w:val="00757209"/>
    <w:rsid w:val="00757236"/>
    <w:rsid w:val="007572AD"/>
    <w:rsid w:val="007575EF"/>
    <w:rsid w:val="00757892"/>
    <w:rsid w:val="007579E4"/>
    <w:rsid w:val="00757A49"/>
    <w:rsid w:val="00757CBC"/>
    <w:rsid w:val="00757F37"/>
    <w:rsid w:val="007604A4"/>
    <w:rsid w:val="00760529"/>
    <w:rsid w:val="007607A0"/>
    <w:rsid w:val="007607C2"/>
    <w:rsid w:val="00760862"/>
    <w:rsid w:val="007608DC"/>
    <w:rsid w:val="00760B21"/>
    <w:rsid w:val="00761042"/>
    <w:rsid w:val="007610B8"/>
    <w:rsid w:val="007611AF"/>
    <w:rsid w:val="00761300"/>
    <w:rsid w:val="00761393"/>
    <w:rsid w:val="007613B5"/>
    <w:rsid w:val="0076147C"/>
    <w:rsid w:val="0076163D"/>
    <w:rsid w:val="007618C7"/>
    <w:rsid w:val="007618D7"/>
    <w:rsid w:val="00761991"/>
    <w:rsid w:val="00761B88"/>
    <w:rsid w:val="00761D55"/>
    <w:rsid w:val="00761D64"/>
    <w:rsid w:val="00761EE6"/>
    <w:rsid w:val="00761F12"/>
    <w:rsid w:val="00761F49"/>
    <w:rsid w:val="00761FA8"/>
    <w:rsid w:val="007622F0"/>
    <w:rsid w:val="00762353"/>
    <w:rsid w:val="007624C5"/>
    <w:rsid w:val="0076259E"/>
    <w:rsid w:val="007625CA"/>
    <w:rsid w:val="007625EF"/>
    <w:rsid w:val="00762721"/>
    <w:rsid w:val="00762773"/>
    <w:rsid w:val="007627D7"/>
    <w:rsid w:val="00762928"/>
    <w:rsid w:val="00762AA8"/>
    <w:rsid w:val="00762B05"/>
    <w:rsid w:val="00763067"/>
    <w:rsid w:val="00763363"/>
    <w:rsid w:val="00763408"/>
    <w:rsid w:val="00763485"/>
    <w:rsid w:val="00763532"/>
    <w:rsid w:val="00763685"/>
    <w:rsid w:val="007636E8"/>
    <w:rsid w:val="007637A8"/>
    <w:rsid w:val="0076383E"/>
    <w:rsid w:val="007638C5"/>
    <w:rsid w:val="00763930"/>
    <w:rsid w:val="00763A3D"/>
    <w:rsid w:val="00763A49"/>
    <w:rsid w:val="00763C77"/>
    <w:rsid w:val="00763F44"/>
    <w:rsid w:val="00763FBA"/>
    <w:rsid w:val="00764150"/>
    <w:rsid w:val="007641BF"/>
    <w:rsid w:val="0076425B"/>
    <w:rsid w:val="00764344"/>
    <w:rsid w:val="00764434"/>
    <w:rsid w:val="00764448"/>
    <w:rsid w:val="00764532"/>
    <w:rsid w:val="00764587"/>
    <w:rsid w:val="00764676"/>
    <w:rsid w:val="0076474F"/>
    <w:rsid w:val="007647CF"/>
    <w:rsid w:val="00764809"/>
    <w:rsid w:val="0076482E"/>
    <w:rsid w:val="007648C3"/>
    <w:rsid w:val="00764A02"/>
    <w:rsid w:val="00764C3D"/>
    <w:rsid w:val="00764EBF"/>
    <w:rsid w:val="00764F6B"/>
    <w:rsid w:val="00764FD3"/>
    <w:rsid w:val="0076506D"/>
    <w:rsid w:val="007650F0"/>
    <w:rsid w:val="00765193"/>
    <w:rsid w:val="00765319"/>
    <w:rsid w:val="007653BD"/>
    <w:rsid w:val="007653FB"/>
    <w:rsid w:val="00765581"/>
    <w:rsid w:val="00765619"/>
    <w:rsid w:val="007659C7"/>
    <w:rsid w:val="007659DF"/>
    <w:rsid w:val="00765A71"/>
    <w:rsid w:val="00765B58"/>
    <w:rsid w:val="00765BF9"/>
    <w:rsid w:val="00765C99"/>
    <w:rsid w:val="00765CF9"/>
    <w:rsid w:val="00765F54"/>
    <w:rsid w:val="0076600B"/>
    <w:rsid w:val="007661DC"/>
    <w:rsid w:val="007662C4"/>
    <w:rsid w:val="007663A4"/>
    <w:rsid w:val="00766415"/>
    <w:rsid w:val="0076666E"/>
    <w:rsid w:val="0076670D"/>
    <w:rsid w:val="0076671F"/>
    <w:rsid w:val="00766896"/>
    <w:rsid w:val="00766920"/>
    <w:rsid w:val="00766A0C"/>
    <w:rsid w:val="00766A41"/>
    <w:rsid w:val="00766B08"/>
    <w:rsid w:val="00766B83"/>
    <w:rsid w:val="00766B91"/>
    <w:rsid w:val="00766BD1"/>
    <w:rsid w:val="00766CDB"/>
    <w:rsid w:val="00766E17"/>
    <w:rsid w:val="00766E39"/>
    <w:rsid w:val="0076726E"/>
    <w:rsid w:val="00767323"/>
    <w:rsid w:val="0076732A"/>
    <w:rsid w:val="007674A1"/>
    <w:rsid w:val="007676E5"/>
    <w:rsid w:val="00767A17"/>
    <w:rsid w:val="00767B0B"/>
    <w:rsid w:val="00767B46"/>
    <w:rsid w:val="00767BE8"/>
    <w:rsid w:val="00767C11"/>
    <w:rsid w:val="00767CE1"/>
    <w:rsid w:val="00767D0D"/>
    <w:rsid w:val="00767E33"/>
    <w:rsid w:val="00770048"/>
    <w:rsid w:val="007701F4"/>
    <w:rsid w:val="007702D7"/>
    <w:rsid w:val="007707CD"/>
    <w:rsid w:val="00770943"/>
    <w:rsid w:val="00770B15"/>
    <w:rsid w:val="00770B7C"/>
    <w:rsid w:val="00770C42"/>
    <w:rsid w:val="00770C52"/>
    <w:rsid w:val="00770DCB"/>
    <w:rsid w:val="00770DE2"/>
    <w:rsid w:val="00770E84"/>
    <w:rsid w:val="00770F5D"/>
    <w:rsid w:val="0077112E"/>
    <w:rsid w:val="0077118F"/>
    <w:rsid w:val="00771308"/>
    <w:rsid w:val="0077150C"/>
    <w:rsid w:val="007715E5"/>
    <w:rsid w:val="00771739"/>
    <w:rsid w:val="007719D9"/>
    <w:rsid w:val="007719ED"/>
    <w:rsid w:val="00771B2F"/>
    <w:rsid w:val="00771BEE"/>
    <w:rsid w:val="00771F25"/>
    <w:rsid w:val="00771F6C"/>
    <w:rsid w:val="00772053"/>
    <w:rsid w:val="007720A0"/>
    <w:rsid w:val="0077216F"/>
    <w:rsid w:val="007722D1"/>
    <w:rsid w:val="00772322"/>
    <w:rsid w:val="0077274F"/>
    <w:rsid w:val="00772AE3"/>
    <w:rsid w:val="00772AFA"/>
    <w:rsid w:val="00772C5A"/>
    <w:rsid w:val="00772E57"/>
    <w:rsid w:val="00772F9C"/>
    <w:rsid w:val="00773017"/>
    <w:rsid w:val="007732DB"/>
    <w:rsid w:val="0077341A"/>
    <w:rsid w:val="007734A3"/>
    <w:rsid w:val="0077377B"/>
    <w:rsid w:val="00773798"/>
    <w:rsid w:val="007739E4"/>
    <w:rsid w:val="007739F5"/>
    <w:rsid w:val="00773A45"/>
    <w:rsid w:val="00773A99"/>
    <w:rsid w:val="00773AE4"/>
    <w:rsid w:val="00773B50"/>
    <w:rsid w:val="00773C2B"/>
    <w:rsid w:val="00773D41"/>
    <w:rsid w:val="00773E42"/>
    <w:rsid w:val="00773E9B"/>
    <w:rsid w:val="0077406E"/>
    <w:rsid w:val="0077416E"/>
    <w:rsid w:val="00774591"/>
    <w:rsid w:val="00774CFB"/>
    <w:rsid w:val="00774D21"/>
    <w:rsid w:val="00774DE7"/>
    <w:rsid w:val="0077507A"/>
    <w:rsid w:val="00775384"/>
    <w:rsid w:val="00775462"/>
    <w:rsid w:val="00775485"/>
    <w:rsid w:val="007754B3"/>
    <w:rsid w:val="007754C3"/>
    <w:rsid w:val="00775570"/>
    <w:rsid w:val="007755F7"/>
    <w:rsid w:val="007756A5"/>
    <w:rsid w:val="007757F8"/>
    <w:rsid w:val="0077582C"/>
    <w:rsid w:val="00775A43"/>
    <w:rsid w:val="00775AEC"/>
    <w:rsid w:val="00775DA1"/>
    <w:rsid w:val="00775F13"/>
    <w:rsid w:val="00775F83"/>
    <w:rsid w:val="007760DF"/>
    <w:rsid w:val="0077613A"/>
    <w:rsid w:val="0077613C"/>
    <w:rsid w:val="0077615A"/>
    <w:rsid w:val="0077616C"/>
    <w:rsid w:val="007764A5"/>
    <w:rsid w:val="007765D2"/>
    <w:rsid w:val="007765E8"/>
    <w:rsid w:val="0077660E"/>
    <w:rsid w:val="0077690F"/>
    <w:rsid w:val="007769A6"/>
    <w:rsid w:val="00776D12"/>
    <w:rsid w:val="00776DC4"/>
    <w:rsid w:val="00776DFE"/>
    <w:rsid w:val="00776E07"/>
    <w:rsid w:val="0077707D"/>
    <w:rsid w:val="00777433"/>
    <w:rsid w:val="00777448"/>
    <w:rsid w:val="0077751A"/>
    <w:rsid w:val="0077758A"/>
    <w:rsid w:val="007775DC"/>
    <w:rsid w:val="00777723"/>
    <w:rsid w:val="00777876"/>
    <w:rsid w:val="00777AB4"/>
    <w:rsid w:val="00777ABB"/>
    <w:rsid w:val="00777B2C"/>
    <w:rsid w:val="00777CC5"/>
    <w:rsid w:val="00777D4E"/>
    <w:rsid w:val="00777DDA"/>
    <w:rsid w:val="00777E06"/>
    <w:rsid w:val="0078000F"/>
    <w:rsid w:val="007801D1"/>
    <w:rsid w:val="007802ED"/>
    <w:rsid w:val="007802F8"/>
    <w:rsid w:val="00780351"/>
    <w:rsid w:val="0078045D"/>
    <w:rsid w:val="007804EF"/>
    <w:rsid w:val="0078057F"/>
    <w:rsid w:val="00780754"/>
    <w:rsid w:val="007807A7"/>
    <w:rsid w:val="00780D23"/>
    <w:rsid w:val="00780D36"/>
    <w:rsid w:val="00780DEF"/>
    <w:rsid w:val="00780F4B"/>
    <w:rsid w:val="00780F85"/>
    <w:rsid w:val="007811A6"/>
    <w:rsid w:val="007813B8"/>
    <w:rsid w:val="007813D9"/>
    <w:rsid w:val="00781634"/>
    <w:rsid w:val="00781688"/>
    <w:rsid w:val="00781708"/>
    <w:rsid w:val="00781B18"/>
    <w:rsid w:val="00781BE9"/>
    <w:rsid w:val="00782058"/>
    <w:rsid w:val="00782190"/>
    <w:rsid w:val="007821C9"/>
    <w:rsid w:val="0078228D"/>
    <w:rsid w:val="0078238A"/>
    <w:rsid w:val="00782544"/>
    <w:rsid w:val="00782566"/>
    <w:rsid w:val="0078286F"/>
    <w:rsid w:val="00782940"/>
    <w:rsid w:val="00782AEA"/>
    <w:rsid w:val="00782B37"/>
    <w:rsid w:val="00782C55"/>
    <w:rsid w:val="00782EE8"/>
    <w:rsid w:val="00782EFE"/>
    <w:rsid w:val="00782F2F"/>
    <w:rsid w:val="007830D8"/>
    <w:rsid w:val="00783126"/>
    <w:rsid w:val="0078338D"/>
    <w:rsid w:val="007834C6"/>
    <w:rsid w:val="00783532"/>
    <w:rsid w:val="007835FA"/>
    <w:rsid w:val="007836CB"/>
    <w:rsid w:val="00783839"/>
    <w:rsid w:val="0078386A"/>
    <w:rsid w:val="007838FB"/>
    <w:rsid w:val="00783AE8"/>
    <w:rsid w:val="00783FAF"/>
    <w:rsid w:val="00784169"/>
    <w:rsid w:val="00784207"/>
    <w:rsid w:val="00784237"/>
    <w:rsid w:val="00784289"/>
    <w:rsid w:val="007842B2"/>
    <w:rsid w:val="007842C4"/>
    <w:rsid w:val="007844A8"/>
    <w:rsid w:val="00784507"/>
    <w:rsid w:val="00784621"/>
    <w:rsid w:val="007846B5"/>
    <w:rsid w:val="0078477B"/>
    <w:rsid w:val="00784943"/>
    <w:rsid w:val="00784BF5"/>
    <w:rsid w:val="00784D72"/>
    <w:rsid w:val="00784DDC"/>
    <w:rsid w:val="00784EEC"/>
    <w:rsid w:val="00784F00"/>
    <w:rsid w:val="00784FC4"/>
    <w:rsid w:val="00784FE2"/>
    <w:rsid w:val="00784FFD"/>
    <w:rsid w:val="007850AC"/>
    <w:rsid w:val="00785201"/>
    <w:rsid w:val="00785361"/>
    <w:rsid w:val="007856A8"/>
    <w:rsid w:val="007857F4"/>
    <w:rsid w:val="00785834"/>
    <w:rsid w:val="00785C2E"/>
    <w:rsid w:val="00785DFB"/>
    <w:rsid w:val="00785F00"/>
    <w:rsid w:val="00785F35"/>
    <w:rsid w:val="00785FB6"/>
    <w:rsid w:val="007860B4"/>
    <w:rsid w:val="00786345"/>
    <w:rsid w:val="0078639F"/>
    <w:rsid w:val="007863F6"/>
    <w:rsid w:val="0078654C"/>
    <w:rsid w:val="00786A85"/>
    <w:rsid w:val="00786A94"/>
    <w:rsid w:val="00786CDA"/>
    <w:rsid w:val="00786D03"/>
    <w:rsid w:val="00786D37"/>
    <w:rsid w:val="00786E0D"/>
    <w:rsid w:val="00786F9B"/>
    <w:rsid w:val="00786FFF"/>
    <w:rsid w:val="00787010"/>
    <w:rsid w:val="007871C0"/>
    <w:rsid w:val="007871D6"/>
    <w:rsid w:val="00787342"/>
    <w:rsid w:val="00787344"/>
    <w:rsid w:val="0078735A"/>
    <w:rsid w:val="007874F0"/>
    <w:rsid w:val="00787518"/>
    <w:rsid w:val="0078759D"/>
    <w:rsid w:val="007875B3"/>
    <w:rsid w:val="007875F9"/>
    <w:rsid w:val="0078763D"/>
    <w:rsid w:val="007876D9"/>
    <w:rsid w:val="0078773D"/>
    <w:rsid w:val="00787B90"/>
    <w:rsid w:val="00787E98"/>
    <w:rsid w:val="00787EBF"/>
    <w:rsid w:val="00790082"/>
    <w:rsid w:val="00790163"/>
    <w:rsid w:val="007901FE"/>
    <w:rsid w:val="00790294"/>
    <w:rsid w:val="007902B8"/>
    <w:rsid w:val="00790333"/>
    <w:rsid w:val="007904F3"/>
    <w:rsid w:val="007908A0"/>
    <w:rsid w:val="007909EE"/>
    <w:rsid w:val="007909FA"/>
    <w:rsid w:val="00790B2B"/>
    <w:rsid w:val="00790DB7"/>
    <w:rsid w:val="00790DD1"/>
    <w:rsid w:val="007912EA"/>
    <w:rsid w:val="00791377"/>
    <w:rsid w:val="00791652"/>
    <w:rsid w:val="00791699"/>
    <w:rsid w:val="007916AF"/>
    <w:rsid w:val="0079184B"/>
    <w:rsid w:val="00791D31"/>
    <w:rsid w:val="00791DA7"/>
    <w:rsid w:val="00791E5E"/>
    <w:rsid w:val="00791EE0"/>
    <w:rsid w:val="00792110"/>
    <w:rsid w:val="0079213B"/>
    <w:rsid w:val="00792198"/>
    <w:rsid w:val="00792245"/>
    <w:rsid w:val="00792246"/>
    <w:rsid w:val="007923C9"/>
    <w:rsid w:val="0079249D"/>
    <w:rsid w:val="007924BD"/>
    <w:rsid w:val="00792641"/>
    <w:rsid w:val="0079287E"/>
    <w:rsid w:val="00792902"/>
    <w:rsid w:val="00792ABA"/>
    <w:rsid w:val="00792B2D"/>
    <w:rsid w:val="00792E66"/>
    <w:rsid w:val="00792EF8"/>
    <w:rsid w:val="00792F0E"/>
    <w:rsid w:val="00792F78"/>
    <w:rsid w:val="0079300A"/>
    <w:rsid w:val="0079302F"/>
    <w:rsid w:val="007930C6"/>
    <w:rsid w:val="0079326D"/>
    <w:rsid w:val="007932D0"/>
    <w:rsid w:val="007933EA"/>
    <w:rsid w:val="00793424"/>
    <w:rsid w:val="00793491"/>
    <w:rsid w:val="00793715"/>
    <w:rsid w:val="00793926"/>
    <w:rsid w:val="00793A7D"/>
    <w:rsid w:val="00793A95"/>
    <w:rsid w:val="00793AF7"/>
    <w:rsid w:val="00793B5C"/>
    <w:rsid w:val="00793B8B"/>
    <w:rsid w:val="00793D55"/>
    <w:rsid w:val="00794025"/>
    <w:rsid w:val="007943F8"/>
    <w:rsid w:val="007944D0"/>
    <w:rsid w:val="00794508"/>
    <w:rsid w:val="0079459D"/>
    <w:rsid w:val="007947C5"/>
    <w:rsid w:val="007947EC"/>
    <w:rsid w:val="0079490F"/>
    <w:rsid w:val="00794D46"/>
    <w:rsid w:val="00794E20"/>
    <w:rsid w:val="00794FA7"/>
    <w:rsid w:val="00795285"/>
    <w:rsid w:val="0079558C"/>
    <w:rsid w:val="00795658"/>
    <w:rsid w:val="007956CE"/>
    <w:rsid w:val="00795797"/>
    <w:rsid w:val="00795807"/>
    <w:rsid w:val="007958DD"/>
    <w:rsid w:val="007959AF"/>
    <w:rsid w:val="00795A06"/>
    <w:rsid w:val="00795C30"/>
    <w:rsid w:val="00795CD0"/>
    <w:rsid w:val="00795E2D"/>
    <w:rsid w:val="00795FD8"/>
    <w:rsid w:val="0079606B"/>
    <w:rsid w:val="0079617B"/>
    <w:rsid w:val="00796212"/>
    <w:rsid w:val="00796355"/>
    <w:rsid w:val="00796388"/>
    <w:rsid w:val="007963F2"/>
    <w:rsid w:val="0079646D"/>
    <w:rsid w:val="00796492"/>
    <w:rsid w:val="007964BA"/>
    <w:rsid w:val="00796664"/>
    <w:rsid w:val="00796861"/>
    <w:rsid w:val="007968F5"/>
    <w:rsid w:val="00796982"/>
    <w:rsid w:val="007969CA"/>
    <w:rsid w:val="00796B0D"/>
    <w:rsid w:val="00796DBA"/>
    <w:rsid w:val="00796DE2"/>
    <w:rsid w:val="00796EE3"/>
    <w:rsid w:val="00796F6C"/>
    <w:rsid w:val="007970E5"/>
    <w:rsid w:val="0079731E"/>
    <w:rsid w:val="00797395"/>
    <w:rsid w:val="0079747F"/>
    <w:rsid w:val="00797686"/>
    <w:rsid w:val="007977C1"/>
    <w:rsid w:val="0079797F"/>
    <w:rsid w:val="0079799D"/>
    <w:rsid w:val="00797CBB"/>
    <w:rsid w:val="00797F59"/>
    <w:rsid w:val="00797FA7"/>
    <w:rsid w:val="007A006C"/>
    <w:rsid w:val="007A009E"/>
    <w:rsid w:val="007A00B5"/>
    <w:rsid w:val="007A05A7"/>
    <w:rsid w:val="007A0610"/>
    <w:rsid w:val="007A07AD"/>
    <w:rsid w:val="007A0874"/>
    <w:rsid w:val="007A0CB5"/>
    <w:rsid w:val="007A0CFD"/>
    <w:rsid w:val="007A0E34"/>
    <w:rsid w:val="007A0F66"/>
    <w:rsid w:val="007A1075"/>
    <w:rsid w:val="007A10C9"/>
    <w:rsid w:val="007A125A"/>
    <w:rsid w:val="007A1355"/>
    <w:rsid w:val="007A140A"/>
    <w:rsid w:val="007A15C2"/>
    <w:rsid w:val="007A16CF"/>
    <w:rsid w:val="007A17BD"/>
    <w:rsid w:val="007A1868"/>
    <w:rsid w:val="007A18FA"/>
    <w:rsid w:val="007A19F5"/>
    <w:rsid w:val="007A1A62"/>
    <w:rsid w:val="007A1C1A"/>
    <w:rsid w:val="007A1D05"/>
    <w:rsid w:val="007A1E61"/>
    <w:rsid w:val="007A2025"/>
    <w:rsid w:val="007A2034"/>
    <w:rsid w:val="007A2170"/>
    <w:rsid w:val="007A23E8"/>
    <w:rsid w:val="007A245E"/>
    <w:rsid w:val="007A255A"/>
    <w:rsid w:val="007A276B"/>
    <w:rsid w:val="007A2848"/>
    <w:rsid w:val="007A2A4F"/>
    <w:rsid w:val="007A2E55"/>
    <w:rsid w:val="007A2EF5"/>
    <w:rsid w:val="007A31DA"/>
    <w:rsid w:val="007A3305"/>
    <w:rsid w:val="007A3592"/>
    <w:rsid w:val="007A35EF"/>
    <w:rsid w:val="007A37A3"/>
    <w:rsid w:val="007A3896"/>
    <w:rsid w:val="007A3AB8"/>
    <w:rsid w:val="007A3D71"/>
    <w:rsid w:val="007A3E6A"/>
    <w:rsid w:val="007A3E79"/>
    <w:rsid w:val="007A3FB8"/>
    <w:rsid w:val="007A40D0"/>
    <w:rsid w:val="007A4145"/>
    <w:rsid w:val="007A417D"/>
    <w:rsid w:val="007A4368"/>
    <w:rsid w:val="007A445C"/>
    <w:rsid w:val="007A455A"/>
    <w:rsid w:val="007A455E"/>
    <w:rsid w:val="007A45B0"/>
    <w:rsid w:val="007A4679"/>
    <w:rsid w:val="007A4698"/>
    <w:rsid w:val="007A4736"/>
    <w:rsid w:val="007A47A8"/>
    <w:rsid w:val="007A47DC"/>
    <w:rsid w:val="007A4E62"/>
    <w:rsid w:val="007A510A"/>
    <w:rsid w:val="007A514F"/>
    <w:rsid w:val="007A5158"/>
    <w:rsid w:val="007A5393"/>
    <w:rsid w:val="007A54A3"/>
    <w:rsid w:val="007A5706"/>
    <w:rsid w:val="007A57CC"/>
    <w:rsid w:val="007A596C"/>
    <w:rsid w:val="007A5AEE"/>
    <w:rsid w:val="007A5E1D"/>
    <w:rsid w:val="007A5F3E"/>
    <w:rsid w:val="007A617B"/>
    <w:rsid w:val="007A642A"/>
    <w:rsid w:val="007A6555"/>
    <w:rsid w:val="007A6667"/>
    <w:rsid w:val="007A66E4"/>
    <w:rsid w:val="007A67DE"/>
    <w:rsid w:val="007A6985"/>
    <w:rsid w:val="007A6B93"/>
    <w:rsid w:val="007A6CAD"/>
    <w:rsid w:val="007A6E98"/>
    <w:rsid w:val="007A71A7"/>
    <w:rsid w:val="007A71C2"/>
    <w:rsid w:val="007A71FE"/>
    <w:rsid w:val="007A7288"/>
    <w:rsid w:val="007A72B3"/>
    <w:rsid w:val="007A7364"/>
    <w:rsid w:val="007A7834"/>
    <w:rsid w:val="007A7AB5"/>
    <w:rsid w:val="007A7AFB"/>
    <w:rsid w:val="007A7B51"/>
    <w:rsid w:val="007A7DA7"/>
    <w:rsid w:val="007B0120"/>
    <w:rsid w:val="007B02A7"/>
    <w:rsid w:val="007B0324"/>
    <w:rsid w:val="007B033B"/>
    <w:rsid w:val="007B03A2"/>
    <w:rsid w:val="007B06E2"/>
    <w:rsid w:val="007B06EA"/>
    <w:rsid w:val="007B0A4D"/>
    <w:rsid w:val="007B0C7F"/>
    <w:rsid w:val="007B0D43"/>
    <w:rsid w:val="007B0E0D"/>
    <w:rsid w:val="007B0E28"/>
    <w:rsid w:val="007B10D6"/>
    <w:rsid w:val="007B1121"/>
    <w:rsid w:val="007B1282"/>
    <w:rsid w:val="007B1459"/>
    <w:rsid w:val="007B164B"/>
    <w:rsid w:val="007B170D"/>
    <w:rsid w:val="007B17AB"/>
    <w:rsid w:val="007B18AB"/>
    <w:rsid w:val="007B18DE"/>
    <w:rsid w:val="007B1A38"/>
    <w:rsid w:val="007B1A48"/>
    <w:rsid w:val="007B1A72"/>
    <w:rsid w:val="007B1BAA"/>
    <w:rsid w:val="007B1C3D"/>
    <w:rsid w:val="007B1C61"/>
    <w:rsid w:val="007B1E4C"/>
    <w:rsid w:val="007B20AC"/>
    <w:rsid w:val="007B23E2"/>
    <w:rsid w:val="007B2441"/>
    <w:rsid w:val="007B2537"/>
    <w:rsid w:val="007B2647"/>
    <w:rsid w:val="007B28EA"/>
    <w:rsid w:val="007B2BE5"/>
    <w:rsid w:val="007B2C32"/>
    <w:rsid w:val="007B2CDE"/>
    <w:rsid w:val="007B2D16"/>
    <w:rsid w:val="007B2D45"/>
    <w:rsid w:val="007B2ED5"/>
    <w:rsid w:val="007B2F0D"/>
    <w:rsid w:val="007B30B7"/>
    <w:rsid w:val="007B31E5"/>
    <w:rsid w:val="007B31FD"/>
    <w:rsid w:val="007B3424"/>
    <w:rsid w:val="007B3454"/>
    <w:rsid w:val="007B35DA"/>
    <w:rsid w:val="007B35E1"/>
    <w:rsid w:val="007B36CA"/>
    <w:rsid w:val="007B3770"/>
    <w:rsid w:val="007B3802"/>
    <w:rsid w:val="007B38F0"/>
    <w:rsid w:val="007B3B6D"/>
    <w:rsid w:val="007B3CA3"/>
    <w:rsid w:val="007B3D01"/>
    <w:rsid w:val="007B427F"/>
    <w:rsid w:val="007B434C"/>
    <w:rsid w:val="007B4368"/>
    <w:rsid w:val="007B43A5"/>
    <w:rsid w:val="007B43DE"/>
    <w:rsid w:val="007B443B"/>
    <w:rsid w:val="007B444D"/>
    <w:rsid w:val="007B444F"/>
    <w:rsid w:val="007B451E"/>
    <w:rsid w:val="007B45B7"/>
    <w:rsid w:val="007B46F4"/>
    <w:rsid w:val="007B47C2"/>
    <w:rsid w:val="007B47E7"/>
    <w:rsid w:val="007B4A81"/>
    <w:rsid w:val="007B4B12"/>
    <w:rsid w:val="007B4B22"/>
    <w:rsid w:val="007B4C5F"/>
    <w:rsid w:val="007B4C92"/>
    <w:rsid w:val="007B4C98"/>
    <w:rsid w:val="007B4D94"/>
    <w:rsid w:val="007B4EF2"/>
    <w:rsid w:val="007B4EFA"/>
    <w:rsid w:val="007B50AE"/>
    <w:rsid w:val="007B5204"/>
    <w:rsid w:val="007B5251"/>
    <w:rsid w:val="007B5410"/>
    <w:rsid w:val="007B5477"/>
    <w:rsid w:val="007B54C3"/>
    <w:rsid w:val="007B5612"/>
    <w:rsid w:val="007B563B"/>
    <w:rsid w:val="007B564F"/>
    <w:rsid w:val="007B597D"/>
    <w:rsid w:val="007B5C2C"/>
    <w:rsid w:val="007B5F98"/>
    <w:rsid w:val="007B62D4"/>
    <w:rsid w:val="007B6340"/>
    <w:rsid w:val="007B63DF"/>
    <w:rsid w:val="007B64CB"/>
    <w:rsid w:val="007B656D"/>
    <w:rsid w:val="007B657C"/>
    <w:rsid w:val="007B65BF"/>
    <w:rsid w:val="007B672E"/>
    <w:rsid w:val="007B6822"/>
    <w:rsid w:val="007B6937"/>
    <w:rsid w:val="007B6A16"/>
    <w:rsid w:val="007B6CA1"/>
    <w:rsid w:val="007B6CBF"/>
    <w:rsid w:val="007B6CE4"/>
    <w:rsid w:val="007B6DB2"/>
    <w:rsid w:val="007B6E6F"/>
    <w:rsid w:val="007B6E75"/>
    <w:rsid w:val="007B6F2F"/>
    <w:rsid w:val="007B6F5D"/>
    <w:rsid w:val="007B6FD5"/>
    <w:rsid w:val="007B7160"/>
    <w:rsid w:val="007B727D"/>
    <w:rsid w:val="007B7384"/>
    <w:rsid w:val="007B7549"/>
    <w:rsid w:val="007B754D"/>
    <w:rsid w:val="007B7735"/>
    <w:rsid w:val="007B78AA"/>
    <w:rsid w:val="007B791F"/>
    <w:rsid w:val="007B7952"/>
    <w:rsid w:val="007B7A56"/>
    <w:rsid w:val="007B7A97"/>
    <w:rsid w:val="007B7B0D"/>
    <w:rsid w:val="007B7C02"/>
    <w:rsid w:val="007B7C82"/>
    <w:rsid w:val="007B7D37"/>
    <w:rsid w:val="007B7D79"/>
    <w:rsid w:val="007B7DE5"/>
    <w:rsid w:val="007B7E19"/>
    <w:rsid w:val="007B7F31"/>
    <w:rsid w:val="007C0121"/>
    <w:rsid w:val="007C01BD"/>
    <w:rsid w:val="007C046B"/>
    <w:rsid w:val="007C05C1"/>
    <w:rsid w:val="007C06AA"/>
    <w:rsid w:val="007C097D"/>
    <w:rsid w:val="007C0A94"/>
    <w:rsid w:val="007C0B72"/>
    <w:rsid w:val="007C0C48"/>
    <w:rsid w:val="007C0E16"/>
    <w:rsid w:val="007C0E4A"/>
    <w:rsid w:val="007C0F2E"/>
    <w:rsid w:val="007C0FB0"/>
    <w:rsid w:val="007C1070"/>
    <w:rsid w:val="007C1114"/>
    <w:rsid w:val="007C119E"/>
    <w:rsid w:val="007C11D3"/>
    <w:rsid w:val="007C1639"/>
    <w:rsid w:val="007C1790"/>
    <w:rsid w:val="007C1801"/>
    <w:rsid w:val="007C189F"/>
    <w:rsid w:val="007C19EC"/>
    <w:rsid w:val="007C1BA7"/>
    <w:rsid w:val="007C1C7E"/>
    <w:rsid w:val="007C1DA2"/>
    <w:rsid w:val="007C1E2C"/>
    <w:rsid w:val="007C2078"/>
    <w:rsid w:val="007C2136"/>
    <w:rsid w:val="007C21BE"/>
    <w:rsid w:val="007C2252"/>
    <w:rsid w:val="007C23B5"/>
    <w:rsid w:val="007C23F5"/>
    <w:rsid w:val="007C2525"/>
    <w:rsid w:val="007C262B"/>
    <w:rsid w:val="007C26EC"/>
    <w:rsid w:val="007C28D4"/>
    <w:rsid w:val="007C29DA"/>
    <w:rsid w:val="007C2F34"/>
    <w:rsid w:val="007C300B"/>
    <w:rsid w:val="007C3066"/>
    <w:rsid w:val="007C3207"/>
    <w:rsid w:val="007C3407"/>
    <w:rsid w:val="007C3506"/>
    <w:rsid w:val="007C3658"/>
    <w:rsid w:val="007C36EA"/>
    <w:rsid w:val="007C37FC"/>
    <w:rsid w:val="007C3917"/>
    <w:rsid w:val="007C3A89"/>
    <w:rsid w:val="007C3B1B"/>
    <w:rsid w:val="007C3B90"/>
    <w:rsid w:val="007C3CD1"/>
    <w:rsid w:val="007C3D5F"/>
    <w:rsid w:val="007C3D66"/>
    <w:rsid w:val="007C3D85"/>
    <w:rsid w:val="007C3E1E"/>
    <w:rsid w:val="007C3E34"/>
    <w:rsid w:val="007C4109"/>
    <w:rsid w:val="007C4151"/>
    <w:rsid w:val="007C4173"/>
    <w:rsid w:val="007C41B6"/>
    <w:rsid w:val="007C4277"/>
    <w:rsid w:val="007C455A"/>
    <w:rsid w:val="007C457E"/>
    <w:rsid w:val="007C466C"/>
    <w:rsid w:val="007C468C"/>
    <w:rsid w:val="007C46F6"/>
    <w:rsid w:val="007C476E"/>
    <w:rsid w:val="007C4897"/>
    <w:rsid w:val="007C48E5"/>
    <w:rsid w:val="007C499E"/>
    <w:rsid w:val="007C49A9"/>
    <w:rsid w:val="007C49FC"/>
    <w:rsid w:val="007C4A1B"/>
    <w:rsid w:val="007C4ADB"/>
    <w:rsid w:val="007C4C95"/>
    <w:rsid w:val="007C500D"/>
    <w:rsid w:val="007C503F"/>
    <w:rsid w:val="007C50A5"/>
    <w:rsid w:val="007C5300"/>
    <w:rsid w:val="007C54DE"/>
    <w:rsid w:val="007C583F"/>
    <w:rsid w:val="007C5965"/>
    <w:rsid w:val="007C596B"/>
    <w:rsid w:val="007C5A19"/>
    <w:rsid w:val="007C5A83"/>
    <w:rsid w:val="007C5ACF"/>
    <w:rsid w:val="007C5BEE"/>
    <w:rsid w:val="007C5C37"/>
    <w:rsid w:val="007C5C60"/>
    <w:rsid w:val="007C5CF6"/>
    <w:rsid w:val="007C5D02"/>
    <w:rsid w:val="007C5DD4"/>
    <w:rsid w:val="007C5FFE"/>
    <w:rsid w:val="007C615B"/>
    <w:rsid w:val="007C6202"/>
    <w:rsid w:val="007C6218"/>
    <w:rsid w:val="007C6243"/>
    <w:rsid w:val="007C6288"/>
    <w:rsid w:val="007C633E"/>
    <w:rsid w:val="007C6392"/>
    <w:rsid w:val="007C63BF"/>
    <w:rsid w:val="007C641F"/>
    <w:rsid w:val="007C64E1"/>
    <w:rsid w:val="007C6567"/>
    <w:rsid w:val="007C6B9E"/>
    <w:rsid w:val="007C6BC2"/>
    <w:rsid w:val="007C6C93"/>
    <w:rsid w:val="007C6E4B"/>
    <w:rsid w:val="007C708B"/>
    <w:rsid w:val="007C709E"/>
    <w:rsid w:val="007C7112"/>
    <w:rsid w:val="007C7338"/>
    <w:rsid w:val="007C7496"/>
    <w:rsid w:val="007C7771"/>
    <w:rsid w:val="007C78E3"/>
    <w:rsid w:val="007C7AC5"/>
    <w:rsid w:val="007C7BE5"/>
    <w:rsid w:val="007C7D5E"/>
    <w:rsid w:val="007C7D6D"/>
    <w:rsid w:val="007C7D9B"/>
    <w:rsid w:val="007C7DC9"/>
    <w:rsid w:val="007C7FB6"/>
    <w:rsid w:val="007D00C5"/>
    <w:rsid w:val="007D0149"/>
    <w:rsid w:val="007D01A0"/>
    <w:rsid w:val="007D0361"/>
    <w:rsid w:val="007D0816"/>
    <w:rsid w:val="007D0CEC"/>
    <w:rsid w:val="007D0F9B"/>
    <w:rsid w:val="007D1004"/>
    <w:rsid w:val="007D111D"/>
    <w:rsid w:val="007D11EF"/>
    <w:rsid w:val="007D121C"/>
    <w:rsid w:val="007D126A"/>
    <w:rsid w:val="007D135E"/>
    <w:rsid w:val="007D143A"/>
    <w:rsid w:val="007D1625"/>
    <w:rsid w:val="007D1832"/>
    <w:rsid w:val="007D1859"/>
    <w:rsid w:val="007D193F"/>
    <w:rsid w:val="007D19BB"/>
    <w:rsid w:val="007D19BC"/>
    <w:rsid w:val="007D1B13"/>
    <w:rsid w:val="007D1C02"/>
    <w:rsid w:val="007D1C85"/>
    <w:rsid w:val="007D1CF7"/>
    <w:rsid w:val="007D209E"/>
    <w:rsid w:val="007D218B"/>
    <w:rsid w:val="007D24DF"/>
    <w:rsid w:val="007D24FE"/>
    <w:rsid w:val="007D2853"/>
    <w:rsid w:val="007D288B"/>
    <w:rsid w:val="007D292B"/>
    <w:rsid w:val="007D2933"/>
    <w:rsid w:val="007D2C42"/>
    <w:rsid w:val="007D2EEB"/>
    <w:rsid w:val="007D2F00"/>
    <w:rsid w:val="007D342D"/>
    <w:rsid w:val="007D3458"/>
    <w:rsid w:val="007D3563"/>
    <w:rsid w:val="007D360A"/>
    <w:rsid w:val="007D362B"/>
    <w:rsid w:val="007D36C4"/>
    <w:rsid w:val="007D37D8"/>
    <w:rsid w:val="007D3899"/>
    <w:rsid w:val="007D395D"/>
    <w:rsid w:val="007D3BE9"/>
    <w:rsid w:val="007D3CA5"/>
    <w:rsid w:val="007D3DF5"/>
    <w:rsid w:val="007D3E22"/>
    <w:rsid w:val="007D3E42"/>
    <w:rsid w:val="007D4094"/>
    <w:rsid w:val="007D41A4"/>
    <w:rsid w:val="007D42B5"/>
    <w:rsid w:val="007D438C"/>
    <w:rsid w:val="007D43D1"/>
    <w:rsid w:val="007D43E6"/>
    <w:rsid w:val="007D4471"/>
    <w:rsid w:val="007D4494"/>
    <w:rsid w:val="007D45CE"/>
    <w:rsid w:val="007D46FF"/>
    <w:rsid w:val="007D477E"/>
    <w:rsid w:val="007D49D4"/>
    <w:rsid w:val="007D4B2C"/>
    <w:rsid w:val="007D4CD7"/>
    <w:rsid w:val="007D4E2A"/>
    <w:rsid w:val="007D4E3F"/>
    <w:rsid w:val="007D4EF6"/>
    <w:rsid w:val="007D500D"/>
    <w:rsid w:val="007D525C"/>
    <w:rsid w:val="007D5322"/>
    <w:rsid w:val="007D548A"/>
    <w:rsid w:val="007D551D"/>
    <w:rsid w:val="007D5615"/>
    <w:rsid w:val="007D5731"/>
    <w:rsid w:val="007D58C1"/>
    <w:rsid w:val="007D59BE"/>
    <w:rsid w:val="007D5B53"/>
    <w:rsid w:val="007D5C1C"/>
    <w:rsid w:val="007D5C6E"/>
    <w:rsid w:val="007D5DBB"/>
    <w:rsid w:val="007D5DC5"/>
    <w:rsid w:val="007D5E9F"/>
    <w:rsid w:val="007D63C8"/>
    <w:rsid w:val="007D646F"/>
    <w:rsid w:val="007D66CE"/>
    <w:rsid w:val="007D67AF"/>
    <w:rsid w:val="007D6952"/>
    <w:rsid w:val="007D6AFE"/>
    <w:rsid w:val="007D6B7F"/>
    <w:rsid w:val="007D6BF3"/>
    <w:rsid w:val="007D6D20"/>
    <w:rsid w:val="007D6D39"/>
    <w:rsid w:val="007D7079"/>
    <w:rsid w:val="007D709A"/>
    <w:rsid w:val="007D719D"/>
    <w:rsid w:val="007D71D1"/>
    <w:rsid w:val="007D7347"/>
    <w:rsid w:val="007D73CD"/>
    <w:rsid w:val="007D7580"/>
    <w:rsid w:val="007D775E"/>
    <w:rsid w:val="007D7C8D"/>
    <w:rsid w:val="007D7EE8"/>
    <w:rsid w:val="007D7F2C"/>
    <w:rsid w:val="007E006A"/>
    <w:rsid w:val="007E0077"/>
    <w:rsid w:val="007E0153"/>
    <w:rsid w:val="007E0191"/>
    <w:rsid w:val="007E01A3"/>
    <w:rsid w:val="007E0222"/>
    <w:rsid w:val="007E0230"/>
    <w:rsid w:val="007E038B"/>
    <w:rsid w:val="007E0441"/>
    <w:rsid w:val="007E04B1"/>
    <w:rsid w:val="007E04F1"/>
    <w:rsid w:val="007E0522"/>
    <w:rsid w:val="007E082A"/>
    <w:rsid w:val="007E0922"/>
    <w:rsid w:val="007E0BE5"/>
    <w:rsid w:val="007E0D52"/>
    <w:rsid w:val="007E10BD"/>
    <w:rsid w:val="007E111E"/>
    <w:rsid w:val="007E1190"/>
    <w:rsid w:val="007E119D"/>
    <w:rsid w:val="007E1371"/>
    <w:rsid w:val="007E142F"/>
    <w:rsid w:val="007E1492"/>
    <w:rsid w:val="007E152A"/>
    <w:rsid w:val="007E1828"/>
    <w:rsid w:val="007E18F6"/>
    <w:rsid w:val="007E195C"/>
    <w:rsid w:val="007E1B57"/>
    <w:rsid w:val="007E1BAC"/>
    <w:rsid w:val="007E1BE3"/>
    <w:rsid w:val="007E1C37"/>
    <w:rsid w:val="007E1C90"/>
    <w:rsid w:val="007E1D54"/>
    <w:rsid w:val="007E1E45"/>
    <w:rsid w:val="007E1E99"/>
    <w:rsid w:val="007E1EAF"/>
    <w:rsid w:val="007E1EE3"/>
    <w:rsid w:val="007E1EE6"/>
    <w:rsid w:val="007E1F00"/>
    <w:rsid w:val="007E1FA0"/>
    <w:rsid w:val="007E1FD9"/>
    <w:rsid w:val="007E2118"/>
    <w:rsid w:val="007E215B"/>
    <w:rsid w:val="007E22C9"/>
    <w:rsid w:val="007E230B"/>
    <w:rsid w:val="007E2588"/>
    <w:rsid w:val="007E261E"/>
    <w:rsid w:val="007E26C5"/>
    <w:rsid w:val="007E286D"/>
    <w:rsid w:val="007E2C65"/>
    <w:rsid w:val="007E2D02"/>
    <w:rsid w:val="007E2D4A"/>
    <w:rsid w:val="007E2E08"/>
    <w:rsid w:val="007E2E60"/>
    <w:rsid w:val="007E314C"/>
    <w:rsid w:val="007E32BC"/>
    <w:rsid w:val="007E390F"/>
    <w:rsid w:val="007E3A74"/>
    <w:rsid w:val="007E3AAB"/>
    <w:rsid w:val="007E3F22"/>
    <w:rsid w:val="007E3F9E"/>
    <w:rsid w:val="007E4195"/>
    <w:rsid w:val="007E446D"/>
    <w:rsid w:val="007E44FF"/>
    <w:rsid w:val="007E465D"/>
    <w:rsid w:val="007E4998"/>
    <w:rsid w:val="007E49AF"/>
    <w:rsid w:val="007E49E6"/>
    <w:rsid w:val="007E4A47"/>
    <w:rsid w:val="007E4D8F"/>
    <w:rsid w:val="007E4EB5"/>
    <w:rsid w:val="007E4F1A"/>
    <w:rsid w:val="007E4F37"/>
    <w:rsid w:val="007E4F8C"/>
    <w:rsid w:val="007E4FA6"/>
    <w:rsid w:val="007E526A"/>
    <w:rsid w:val="007E5365"/>
    <w:rsid w:val="007E5401"/>
    <w:rsid w:val="007E556D"/>
    <w:rsid w:val="007E559D"/>
    <w:rsid w:val="007E5630"/>
    <w:rsid w:val="007E56E8"/>
    <w:rsid w:val="007E58C8"/>
    <w:rsid w:val="007E5934"/>
    <w:rsid w:val="007E5A1D"/>
    <w:rsid w:val="007E5B88"/>
    <w:rsid w:val="007E5BBB"/>
    <w:rsid w:val="007E5C0C"/>
    <w:rsid w:val="007E5CBF"/>
    <w:rsid w:val="007E5F3D"/>
    <w:rsid w:val="007E5FE6"/>
    <w:rsid w:val="007E6021"/>
    <w:rsid w:val="007E6171"/>
    <w:rsid w:val="007E61B5"/>
    <w:rsid w:val="007E6254"/>
    <w:rsid w:val="007E6266"/>
    <w:rsid w:val="007E627A"/>
    <w:rsid w:val="007E6360"/>
    <w:rsid w:val="007E6362"/>
    <w:rsid w:val="007E63DE"/>
    <w:rsid w:val="007E669C"/>
    <w:rsid w:val="007E66C9"/>
    <w:rsid w:val="007E6B5D"/>
    <w:rsid w:val="007E6B84"/>
    <w:rsid w:val="007E6C74"/>
    <w:rsid w:val="007E6DC5"/>
    <w:rsid w:val="007E6F18"/>
    <w:rsid w:val="007E71E2"/>
    <w:rsid w:val="007E7340"/>
    <w:rsid w:val="007E73F2"/>
    <w:rsid w:val="007E759B"/>
    <w:rsid w:val="007E771A"/>
    <w:rsid w:val="007E7849"/>
    <w:rsid w:val="007E7AD2"/>
    <w:rsid w:val="007E7ADB"/>
    <w:rsid w:val="007E7B86"/>
    <w:rsid w:val="007E7DB0"/>
    <w:rsid w:val="007F006D"/>
    <w:rsid w:val="007F01E6"/>
    <w:rsid w:val="007F033F"/>
    <w:rsid w:val="007F03BC"/>
    <w:rsid w:val="007F04B8"/>
    <w:rsid w:val="007F0795"/>
    <w:rsid w:val="007F07FF"/>
    <w:rsid w:val="007F084B"/>
    <w:rsid w:val="007F0B25"/>
    <w:rsid w:val="007F0BB3"/>
    <w:rsid w:val="007F0CE7"/>
    <w:rsid w:val="007F0D0B"/>
    <w:rsid w:val="007F0D10"/>
    <w:rsid w:val="007F0D64"/>
    <w:rsid w:val="007F120F"/>
    <w:rsid w:val="007F136D"/>
    <w:rsid w:val="007F19F1"/>
    <w:rsid w:val="007F1C19"/>
    <w:rsid w:val="007F1CC1"/>
    <w:rsid w:val="007F1D9B"/>
    <w:rsid w:val="007F200B"/>
    <w:rsid w:val="007F200D"/>
    <w:rsid w:val="007F20C8"/>
    <w:rsid w:val="007F22E3"/>
    <w:rsid w:val="007F253F"/>
    <w:rsid w:val="007F27D7"/>
    <w:rsid w:val="007F2A97"/>
    <w:rsid w:val="007F2C75"/>
    <w:rsid w:val="007F2CD1"/>
    <w:rsid w:val="007F2DFF"/>
    <w:rsid w:val="007F2E1E"/>
    <w:rsid w:val="007F2E8C"/>
    <w:rsid w:val="007F3237"/>
    <w:rsid w:val="007F3290"/>
    <w:rsid w:val="007F32C3"/>
    <w:rsid w:val="007F3911"/>
    <w:rsid w:val="007F39C0"/>
    <w:rsid w:val="007F3B57"/>
    <w:rsid w:val="007F3E84"/>
    <w:rsid w:val="007F3F4B"/>
    <w:rsid w:val="007F3F70"/>
    <w:rsid w:val="007F419B"/>
    <w:rsid w:val="007F43FD"/>
    <w:rsid w:val="007F4434"/>
    <w:rsid w:val="007F4B1F"/>
    <w:rsid w:val="007F4C1A"/>
    <w:rsid w:val="007F4CC6"/>
    <w:rsid w:val="007F4D66"/>
    <w:rsid w:val="007F4F0B"/>
    <w:rsid w:val="007F4FD4"/>
    <w:rsid w:val="007F578B"/>
    <w:rsid w:val="007F57DC"/>
    <w:rsid w:val="007F582E"/>
    <w:rsid w:val="007F586F"/>
    <w:rsid w:val="007F5A59"/>
    <w:rsid w:val="007F5A5B"/>
    <w:rsid w:val="007F5C0A"/>
    <w:rsid w:val="007F5C1C"/>
    <w:rsid w:val="007F6266"/>
    <w:rsid w:val="007F65A1"/>
    <w:rsid w:val="007F666C"/>
    <w:rsid w:val="007F675F"/>
    <w:rsid w:val="007F6AE1"/>
    <w:rsid w:val="007F6C69"/>
    <w:rsid w:val="007F6EBB"/>
    <w:rsid w:val="007F6EFF"/>
    <w:rsid w:val="007F6F5E"/>
    <w:rsid w:val="007F6FFC"/>
    <w:rsid w:val="007F7033"/>
    <w:rsid w:val="007F71A2"/>
    <w:rsid w:val="007F722E"/>
    <w:rsid w:val="007F725C"/>
    <w:rsid w:val="007F738D"/>
    <w:rsid w:val="007F7529"/>
    <w:rsid w:val="007F7533"/>
    <w:rsid w:val="007F7609"/>
    <w:rsid w:val="007F7687"/>
    <w:rsid w:val="007F7764"/>
    <w:rsid w:val="007F7807"/>
    <w:rsid w:val="007F7972"/>
    <w:rsid w:val="007F7B69"/>
    <w:rsid w:val="007F7D10"/>
    <w:rsid w:val="007F7D16"/>
    <w:rsid w:val="007F7D4E"/>
    <w:rsid w:val="007F7DC8"/>
    <w:rsid w:val="008001C3"/>
    <w:rsid w:val="0080062F"/>
    <w:rsid w:val="0080068A"/>
    <w:rsid w:val="008007A8"/>
    <w:rsid w:val="008007C3"/>
    <w:rsid w:val="008008B4"/>
    <w:rsid w:val="00800A07"/>
    <w:rsid w:val="00800A76"/>
    <w:rsid w:val="00800B3E"/>
    <w:rsid w:val="00800F87"/>
    <w:rsid w:val="00800FF7"/>
    <w:rsid w:val="00801013"/>
    <w:rsid w:val="00801037"/>
    <w:rsid w:val="0080114F"/>
    <w:rsid w:val="00801283"/>
    <w:rsid w:val="00801315"/>
    <w:rsid w:val="0080133C"/>
    <w:rsid w:val="00801381"/>
    <w:rsid w:val="008015EE"/>
    <w:rsid w:val="008016EE"/>
    <w:rsid w:val="00801762"/>
    <w:rsid w:val="008018AA"/>
    <w:rsid w:val="00801A51"/>
    <w:rsid w:val="00801B2E"/>
    <w:rsid w:val="00801C76"/>
    <w:rsid w:val="00801C99"/>
    <w:rsid w:val="00801DA8"/>
    <w:rsid w:val="00801DDD"/>
    <w:rsid w:val="00801E59"/>
    <w:rsid w:val="00801EA6"/>
    <w:rsid w:val="00802125"/>
    <w:rsid w:val="00802298"/>
    <w:rsid w:val="00802455"/>
    <w:rsid w:val="00802584"/>
    <w:rsid w:val="008025A0"/>
    <w:rsid w:val="008025DC"/>
    <w:rsid w:val="0080270A"/>
    <w:rsid w:val="00802BD0"/>
    <w:rsid w:val="00802C33"/>
    <w:rsid w:val="00802C56"/>
    <w:rsid w:val="00802E6B"/>
    <w:rsid w:val="00802EC3"/>
    <w:rsid w:val="00803204"/>
    <w:rsid w:val="00803230"/>
    <w:rsid w:val="0080328A"/>
    <w:rsid w:val="00803305"/>
    <w:rsid w:val="008034CF"/>
    <w:rsid w:val="00803613"/>
    <w:rsid w:val="008036D9"/>
    <w:rsid w:val="0080373B"/>
    <w:rsid w:val="008037D8"/>
    <w:rsid w:val="00803940"/>
    <w:rsid w:val="00803BE0"/>
    <w:rsid w:val="00803FF3"/>
    <w:rsid w:val="0080412C"/>
    <w:rsid w:val="008042BF"/>
    <w:rsid w:val="008042D9"/>
    <w:rsid w:val="0080436F"/>
    <w:rsid w:val="008043B3"/>
    <w:rsid w:val="008045F5"/>
    <w:rsid w:val="00804708"/>
    <w:rsid w:val="00804B53"/>
    <w:rsid w:val="00804CC8"/>
    <w:rsid w:val="00804CEB"/>
    <w:rsid w:val="00804D5C"/>
    <w:rsid w:val="00804D91"/>
    <w:rsid w:val="00805211"/>
    <w:rsid w:val="00805292"/>
    <w:rsid w:val="00805321"/>
    <w:rsid w:val="008053EA"/>
    <w:rsid w:val="008055CE"/>
    <w:rsid w:val="008055E1"/>
    <w:rsid w:val="008056ED"/>
    <w:rsid w:val="008056F5"/>
    <w:rsid w:val="00805746"/>
    <w:rsid w:val="00805787"/>
    <w:rsid w:val="0080584D"/>
    <w:rsid w:val="0080594D"/>
    <w:rsid w:val="00805A6C"/>
    <w:rsid w:val="00805B4A"/>
    <w:rsid w:val="00805DC6"/>
    <w:rsid w:val="008060D5"/>
    <w:rsid w:val="00806281"/>
    <w:rsid w:val="008062F6"/>
    <w:rsid w:val="00806305"/>
    <w:rsid w:val="008066BF"/>
    <w:rsid w:val="0080676B"/>
    <w:rsid w:val="008067EA"/>
    <w:rsid w:val="00806949"/>
    <w:rsid w:val="00806A5B"/>
    <w:rsid w:val="00806B27"/>
    <w:rsid w:val="00806B69"/>
    <w:rsid w:val="00806C70"/>
    <w:rsid w:val="00806CA5"/>
    <w:rsid w:val="00806E4C"/>
    <w:rsid w:val="0080708E"/>
    <w:rsid w:val="008070C6"/>
    <w:rsid w:val="008070F5"/>
    <w:rsid w:val="0080714B"/>
    <w:rsid w:val="008074A8"/>
    <w:rsid w:val="00807665"/>
    <w:rsid w:val="00807795"/>
    <w:rsid w:val="008078BD"/>
    <w:rsid w:val="00807903"/>
    <w:rsid w:val="00807BB1"/>
    <w:rsid w:val="00807D2E"/>
    <w:rsid w:val="00807E84"/>
    <w:rsid w:val="00807E91"/>
    <w:rsid w:val="0081028E"/>
    <w:rsid w:val="0081057A"/>
    <w:rsid w:val="008105B8"/>
    <w:rsid w:val="008108CF"/>
    <w:rsid w:val="0081099E"/>
    <w:rsid w:val="00810B30"/>
    <w:rsid w:val="00810C24"/>
    <w:rsid w:val="00810E6B"/>
    <w:rsid w:val="00810FC4"/>
    <w:rsid w:val="00811034"/>
    <w:rsid w:val="00811145"/>
    <w:rsid w:val="00811169"/>
    <w:rsid w:val="00811225"/>
    <w:rsid w:val="008112F5"/>
    <w:rsid w:val="00811311"/>
    <w:rsid w:val="00811339"/>
    <w:rsid w:val="00811498"/>
    <w:rsid w:val="008114A5"/>
    <w:rsid w:val="008114E0"/>
    <w:rsid w:val="00811818"/>
    <w:rsid w:val="0081181D"/>
    <w:rsid w:val="0081198D"/>
    <w:rsid w:val="00811A90"/>
    <w:rsid w:val="00811C0B"/>
    <w:rsid w:val="00811D27"/>
    <w:rsid w:val="0081222D"/>
    <w:rsid w:val="0081226C"/>
    <w:rsid w:val="008122A7"/>
    <w:rsid w:val="00812453"/>
    <w:rsid w:val="00812456"/>
    <w:rsid w:val="008124BF"/>
    <w:rsid w:val="008125FD"/>
    <w:rsid w:val="008127C2"/>
    <w:rsid w:val="00812901"/>
    <w:rsid w:val="00812A5E"/>
    <w:rsid w:val="00812E82"/>
    <w:rsid w:val="00812ED1"/>
    <w:rsid w:val="00812ED2"/>
    <w:rsid w:val="00812F00"/>
    <w:rsid w:val="00812F1A"/>
    <w:rsid w:val="00812F4A"/>
    <w:rsid w:val="008132A5"/>
    <w:rsid w:val="008132DD"/>
    <w:rsid w:val="0081348A"/>
    <w:rsid w:val="008135A6"/>
    <w:rsid w:val="008135CF"/>
    <w:rsid w:val="00813B60"/>
    <w:rsid w:val="00813C52"/>
    <w:rsid w:val="00813CE6"/>
    <w:rsid w:val="00813E17"/>
    <w:rsid w:val="00813E76"/>
    <w:rsid w:val="00813E7E"/>
    <w:rsid w:val="008140CE"/>
    <w:rsid w:val="008141A2"/>
    <w:rsid w:val="008142AA"/>
    <w:rsid w:val="00814404"/>
    <w:rsid w:val="0081445B"/>
    <w:rsid w:val="008144E1"/>
    <w:rsid w:val="008147D1"/>
    <w:rsid w:val="00814976"/>
    <w:rsid w:val="00814977"/>
    <w:rsid w:val="00814B2A"/>
    <w:rsid w:val="00814B51"/>
    <w:rsid w:val="00814B70"/>
    <w:rsid w:val="00814FC0"/>
    <w:rsid w:val="00814FD2"/>
    <w:rsid w:val="00815161"/>
    <w:rsid w:val="0081516D"/>
    <w:rsid w:val="00815170"/>
    <w:rsid w:val="00815229"/>
    <w:rsid w:val="00815278"/>
    <w:rsid w:val="008153BA"/>
    <w:rsid w:val="00815443"/>
    <w:rsid w:val="00815498"/>
    <w:rsid w:val="0081563F"/>
    <w:rsid w:val="00815904"/>
    <w:rsid w:val="00815959"/>
    <w:rsid w:val="00815CEB"/>
    <w:rsid w:val="00815D23"/>
    <w:rsid w:val="00815D47"/>
    <w:rsid w:val="00816159"/>
    <w:rsid w:val="00816321"/>
    <w:rsid w:val="00816393"/>
    <w:rsid w:val="0081653F"/>
    <w:rsid w:val="0081688E"/>
    <w:rsid w:val="0081693E"/>
    <w:rsid w:val="00816969"/>
    <w:rsid w:val="00816AFB"/>
    <w:rsid w:val="00816AFD"/>
    <w:rsid w:val="00816E60"/>
    <w:rsid w:val="0081700B"/>
    <w:rsid w:val="00817116"/>
    <w:rsid w:val="00817140"/>
    <w:rsid w:val="00817357"/>
    <w:rsid w:val="00817402"/>
    <w:rsid w:val="008174B9"/>
    <w:rsid w:val="00817522"/>
    <w:rsid w:val="00817545"/>
    <w:rsid w:val="008176FC"/>
    <w:rsid w:val="0081770C"/>
    <w:rsid w:val="00817971"/>
    <w:rsid w:val="00817B08"/>
    <w:rsid w:val="00817B5B"/>
    <w:rsid w:val="00817C73"/>
    <w:rsid w:val="00817DDC"/>
    <w:rsid w:val="00817E5F"/>
    <w:rsid w:val="008201C4"/>
    <w:rsid w:val="00820215"/>
    <w:rsid w:val="008203C8"/>
    <w:rsid w:val="008203D8"/>
    <w:rsid w:val="008203F3"/>
    <w:rsid w:val="00820518"/>
    <w:rsid w:val="0082056F"/>
    <w:rsid w:val="008207D6"/>
    <w:rsid w:val="00820812"/>
    <w:rsid w:val="00820975"/>
    <w:rsid w:val="00820A64"/>
    <w:rsid w:val="00820B9A"/>
    <w:rsid w:val="00820D06"/>
    <w:rsid w:val="00820F65"/>
    <w:rsid w:val="008212E2"/>
    <w:rsid w:val="0082138A"/>
    <w:rsid w:val="008214B5"/>
    <w:rsid w:val="00821636"/>
    <w:rsid w:val="0082179D"/>
    <w:rsid w:val="008219F9"/>
    <w:rsid w:val="00821D0A"/>
    <w:rsid w:val="00821DFE"/>
    <w:rsid w:val="0082201C"/>
    <w:rsid w:val="008220FF"/>
    <w:rsid w:val="00822108"/>
    <w:rsid w:val="00822118"/>
    <w:rsid w:val="0082218B"/>
    <w:rsid w:val="008221AF"/>
    <w:rsid w:val="008221DD"/>
    <w:rsid w:val="008223E4"/>
    <w:rsid w:val="0082248B"/>
    <w:rsid w:val="00822534"/>
    <w:rsid w:val="00822575"/>
    <w:rsid w:val="008227C5"/>
    <w:rsid w:val="008229B4"/>
    <w:rsid w:val="00822A9D"/>
    <w:rsid w:val="00822C50"/>
    <w:rsid w:val="00822EB7"/>
    <w:rsid w:val="00822EEB"/>
    <w:rsid w:val="00823005"/>
    <w:rsid w:val="00823015"/>
    <w:rsid w:val="00823137"/>
    <w:rsid w:val="008232FA"/>
    <w:rsid w:val="00823418"/>
    <w:rsid w:val="0082346F"/>
    <w:rsid w:val="008234C8"/>
    <w:rsid w:val="00823564"/>
    <w:rsid w:val="0082392D"/>
    <w:rsid w:val="008239BD"/>
    <w:rsid w:val="00823B78"/>
    <w:rsid w:val="00823DB3"/>
    <w:rsid w:val="00823F3E"/>
    <w:rsid w:val="00823FF2"/>
    <w:rsid w:val="0082404A"/>
    <w:rsid w:val="00824178"/>
    <w:rsid w:val="00824386"/>
    <w:rsid w:val="00824407"/>
    <w:rsid w:val="0082446F"/>
    <w:rsid w:val="0082448C"/>
    <w:rsid w:val="00824804"/>
    <w:rsid w:val="00824BC5"/>
    <w:rsid w:val="00824BE3"/>
    <w:rsid w:val="00824C33"/>
    <w:rsid w:val="00824DAE"/>
    <w:rsid w:val="00824E09"/>
    <w:rsid w:val="00824E50"/>
    <w:rsid w:val="00824FA2"/>
    <w:rsid w:val="00824FAC"/>
    <w:rsid w:val="0082519F"/>
    <w:rsid w:val="00825494"/>
    <w:rsid w:val="0082552A"/>
    <w:rsid w:val="00825624"/>
    <w:rsid w:val="00825789"/>
    <w:rsid w:val="0082588E"/>
    <w:rsid w:val="00825A45"/>
    <w:rsid w:val="00825AAF"/>
    <w:rsid w:val="00825ABB"/>
    <w:rsid w:val="00825C14"/>
    <w:rsid w:val="00825C60"/>
    <w:rsid w:val="00825E2A"/>
    <w:rsid w:val="00825EC3"/>
    <w:rsid w:val="00826002"/>
    <w:rsid w:val="00826014"/>
    <w:rsid w:val="0082606F"/>
    <w:rsid w:val="00826083"/>
    <w:rsid w:val="0082617A"/>
    <w:rsid w:val="008265D2"/>
    <w:rsid w:val="00826604"/>
    <w:rsid w:val="008266B9"/>
    <w:rsid w:val="0082683D"/>
    <w:rsid w:val="0082684B"/>
    <w:rsid w:val="008268D6"/>
    <w:rsid w:val="00826A5B"/>
    <w:rsid w:val="00826B0B"/>
    <w:rsid w:val="00826C20"/>
    <w:rsid w:val="00826DFD"/>
    <w:rsid w:val="00827079"/>
    <w:rsid w:val="008271CD"/>
    <w:rsid w:val="008273CC"/>
    <w:rsid w:val="008273D4"/>
    <w:rsid w:val="0082747C"/>
    <w:rsid w:val="00827499"/>
    <w:rsid w:val="008274A9"/>
    <w:rsid w:val="008275B6"/>
    <w:rsid w:val="00827718"/>
    <w:rsid w:val="00827ABE"/>
    <w:rsid w:val="00827C36"/>
    <w:rsid w:val="00827CD6"/>
    <w:rsid w:val="00827E91"/>
    <w:rsid w:val="00827E9E"/>
    <w:rsid w:val="00827EB4"/>
    <w:rsid w:val="00827FA6"/>
    <w:rsid w:val="00830056"/>
    <w:rsid w:val="008302BF"/>
    <w:rsid w:val="008303FB"/>
    <w:rsid w:val="0083040C"/>
    <w:rsid w:val="0083073D"/>
    <w:rsid w:val="008307FA"/>
    <w:rsid w:val="00830823"/>
    <w:rsid w:val="008308DB"/>
    <w:rsid w:val="00830A87"/>
    <w:rsid w:val="00830B22"/>
    <w:rsid w:val="00830CB8"/>
    <w:rsid w:val="00830E13"/>
    <w:rsid w:val="00830E2A"/>
    <w:rsid w:val="00830E2C"/>
    <w:rsid w:val="00830E7F"/>
    <w:rsid w:val="00830FAB"/>
    <w:rsid w:val="00830FBB"/>
    <w:rsid w:val="0083100C"/>
    <w:rsid w:val="00831264"/>
    <w:rsid w:val="00831465"/>
    <w:rsid w:val="00831761"/>
    <w:rsid w:val="008317C0"/>
    <w:rsid w:val="00831802"/>
    <w:rsid w:val="008318C7"/>
    <w:rsid w:val="00831946"/>
    <w:rsid w:val="00831AD2"/>
    <w:rsid w:val="00831F0A"/>
    <w:rsid w:val="0083214E"/>
    <w:rsid w:val="00832357"/>
    <w:rsid w:val="0083238C"/>
    <w:rsid w:val="0083239D"/>
    <w:rsid w:val="008325D0"/>
    <w:rsid w:val="00832672"/>
    <w:rsid w:val="00832696"/>
    <w:rsid w:val="008326E0"/>
    <w:rsid w:val="00832841"/>
    <w:rsid w:val="008329F1"/>
    <w:rsid w:val="00832BAE"/>
    <w:rsid w:val="00832FBF"/>
    <w:rsid w:val="00833186"/>
    <w:rsid w:val="00833245"/>
    <w:rsid w:val="00833307"/>
    <w:rsid w:val="00833335"/>
    <w:rsid w:val="00833469"/>
    <w:rsid w:val="0083371B"/>
    <w:rsid w:val="0083375C"/>
    <w:rsid w:val="00833821"/>
    <w:rsid w:val="008339C3"/>
    <w:rsid w:val="00833A96"/>
    <w:rsid w:val="00833ADE"/>
    <w:rsid w:val="00833F18"/>
    <w:rsid w:val="008340D1"/>
    <w:rsid w:val="008340D9"/>
    <w:rsid w:val="00834188"/>
    <w:rsid w:val="0083437E"/>
    <w:rsid w:val="0083474F"/>
    <w:rsid w:val="008348D5"/>
    <w:rsid w:val="00834AED"/>
    <w:rsid w:val="00834B6E"/>
    <w:rsid w:val="00834BE9"/>
    <w:rsid w:val="00834CDD"/>
    <w:rsid w:val="00834D3A"/>
    <w:rsid w:val="00834D91"/>
    <w:rsid w:val="00834E89"/>
    <w:rsid w:val="00834FDD"/>
    <w:rsid w:val="008351DB"/>
    <w:rsid w:val="0083530E"/>
    <w:rsid w:val="00835608"/>
    <w:rsid w:val="00835740"/>
    <w:rsid w:val="00835801"/>
    <w:rsid w:val="00835B5E"/>
    <w:rsid w:val="00835CA5"/>
    <w:rsid w:val="00835FC3"/>
    <w:rsid w:val="008361ED"/>
    <w:rsid w:val="00836221"/>
    <w:rsid w:val="0083643B"/>
    <w:rsid w:val="008365E5"/>
    <w:rsid w:val="008366B9"/>
    <w:rsid w:val="00836878"/>
    <w:rsid w:val="00836B77"/>
    <w:rsid w:val="00836CB1"/>
    <w:rsid w:val="00836D9A"/>
    <w:rsid w:val="00836ECE"/>
    <w:rsid w:val="00836F86"/>
    <w:rsid w:val="00837006"/>
    <w:rsid w:val="008372AC"/>
    <w:rsid w:val="00837423"/>
    <w:rsid w:val="0083763D"/>
    <w:rsid w:val="00837721"/>
    <w:rsid w:val="00837837"/>
    <w:rsid w:val="00837A8F"/>
    <w:rsid w:val="00837D3A"/>
    <w:rsid w:val="00837F66"/>
    <w:rsid w:val="00840274"/>
    <w:rsid w:val="008403CB"/>
    <w:rsid w:val="00840426"/>
    <w:rsid w:val="00840447"/>
    <w:rsid w:val="00840535"/>
    <w:rsid w:val="00840650"/>
    <w:rsid w:val="00840703"/>
    <w:rsid w:val="00840926"/>
    <w:rsid w:val="00840ACE"/>
    <w:rsid w:val="00840B64"/>
    <w:rsid w:val="00840C09"/>
    <w:rsid w:val="00840CC9"/>
    <w:rsid w:val="00840D38"/>
    <w:rsid w:val="00841031"/>
    <w:rsid w:val="00841046"/>
    <w:rsid w:val="008410F6"/>
    <w:rsid w:val="008411A9"/>
    <w:rsid w:val="0084141D"/>
    <w:rsid w:val="0084143E"/>
    <w:rsid w:val="008414C1"/>
    <w:rsid w:val="008415DF"/>
    <w:rsid w:val="00841723"/>
    <w:rsid w:val="00841814"/>
    <w:rsid w:val="008418AF"/>
    <w:rsid w:val="00841A87"/>
    <w:rsid w:val="00841B5E"/>
    <w:rsid w:val="00841C32"/>
    <w:rsid w:val="00841FA2"/>
    <w:rsid w:val="008422E3"/>
    <w:rsid w:val="00842351"/>
    <w:rsid w:val="00842A46"/>
    <w:rsid w:val="00842B04"/>
    <w:rsid w:val="00842B6E"/>
    <w:rsid w:val="00842B87"/>
    <w:rsid w:val="00842BD7"/>
    <w:rsid w:val="00842C56"/>
    <w:rsid w:val="00842D5B"/>
    <w:rsid w:val="00842FB4"/>
    <w:rsid w:val="00842FDD"/>
    <w:rsid w:val="0084307A"/>
    <w:rsid w:val="00843199"/>
    <w:rsid w:val="00843219"/>
    <w:rsid w:val="0084325D"/>
    <w:rsid w:val="00843352"/>
    <w:rsid w:val="00843364"/>
    <w:rsid w:val="00843932"/>
    <w:rsid w:val="008439B8"/>
    <w:rsid w:val="008439D4"/>
    <w:rsid w:val="00843A22"/>
    <w:rsid w:val="00843A60"/>
    <w:rsid w:val="00843B60"/>
    <w:rsid w:val="00843BCD"/>
    <w:rsid w:val="00843D9A"/>
    <w:rsid w:val="00843FD2"/>
    <w:rsid w:val="008440BA"/>
    <w:rsid w:val="008440BD"/>
    <w:rsid w:val="00844211"/>
    <w:rsid w:val="0084424A"/>
    <w:rsid w:val="008443F0"/>
    <w:rsid w:val="00844445"/>
    <w:rsid w:val="008445F0"/>
    <w:rsid w:val="0084462A"/>
    <w:rsid w:val="0084463A"/>
    <w:rsid w:val="008446EA"/>
    <w:rsid w:val="00844709"/>
    <w:rsid w:val="00844866"/>
    <w:rsid w:val="0084493B"/>
    <w:rsid w:val="008449B9"/>
    <w:rsid w:val="00844A23"/>
    <w:rsid w:val="00844A32"/>
    <w:rsid w:val="00844D7A"/>
    <w:rsid w:val="00844E20"/>
    <w:rsid w:val="00844E94"/>
    <w:rsid w:val="00844F16"/>
    <w:rsid w:val="00844FA4"/>
    <w:rsid w:val="00845028"/>
    <w:rsid w:val="0084509E"/>
    <w:rsid w:val="00845174"/>
    <w:rsid w:val="008455BB"/>
    <w:rsid w:val="00845688"/>
    <w:rsid w:val="00845793"/>
    <w:rsid w:val="0084582F"/>
    <w:rsid w:val="0084598D"/>
    <w:rsid w:val="00845D54"/>
    <w:rsid w:val="00845EAB"/>
    <w:rsid w:val="00845EB8"/>
    <w:rsid w:val="00845FDE"/>
    <w:rsid w:val="008460FC"/>
    <w:rsid w:val="008460FE"/>
    <w:rsid w:val="00846180"/>
    <w:rsid w:val="0084626F"/>
    <w:rsid w:val="00846637"/>
    <w:rsid w:val="00846781"/>
    <w:rsid w:val="00846926"/>
    <w:rsid w:val="008469FF"/>
    <w:rsid w:val="00846A3C"/>
    <w:rsid w:val="00846A97"/>
    <w:rsid w:val="00846D72"/>
    <w:rsid w:val="00846E59"/>
    <w:rsid w:val="00846E90"/>
    <w:rsid w:val="00846EF3"/>
    <w:rsid w:val="00846F50"/>
    <w:rsid w:val="00847028"/>
    <w:rsid w:val="008470A5"/>
    <w:rsid w:val="00847128"/>
    <w:rsid w:val="0084718F"/>
    <w:rsid w:val="00847191"/>
    <w:rsid w:val="008473F9"/>
    <w:rsid w:val="00847641"/>
    <w:rsid w:val="008476AD"/>
    <w:rsid w:val="008477EA"/>
    <w:rsid w:val="00847880"/>
    <w:rsid w:val="008478D4"/>
    <w:rsid w:val="0084792E"/>
    <w:rsid w:val="008479DF"/>
    <w:rsid w:val="00847A77"/>
    <w:rsid w:val="00847DF2"/>
    <w:rsid w:val="00847E30"/>
    <w:rsid w:val="00847F66"/>
    <w:rsid w:val="00850016"/>
    <w:rsid w:val="0085005D"/>
    <w:rsid w:val="008500A7"/>
    <w:rsid w:val="00850246"/>
    <w:rsid w:val="008503AE"/>
    <w:rsid w:val="00850870"/>
    <w:rsid w:val="008509A8"/>
    <w:rsid w:val="00850A42"/>
    <w:rsid w:val="00850A4B"/>
    <w:rsid w:val="00850AFF"/>
    <w:rsid w:val="00850BB3"/>
    <w:rsid w:val="00850BF5"/>
    <w:rsid w:val="00850E37"/>
    <w:rsid w:val="008510C8"/>
    <w:rsid w:val="00851311"/>
    <w:rsid w:val="008513E3"/>
    <w:rsid w:val="008513F4"/>
    <w:rsid w:val="00851549"/>
    <w:rsid w:val="00851688"/>
    <w:rsid w:val="00851745"/>
    <w:rsid w:val="0085186C"/>
    <w:rsid w:val="00851887"/>
    <w:rsid w:val="00851A58"/>
    <w:rsid w:val="00851A6D"/>
    <w:rsid w:val="00851D3B"/>
    <w:rsid w:val="00851D8C"/>
    <w:rsid w:val="00851EAE"/>
    <w:rsid w:val="00851EB6"/>
    <w:rsid w:val="0085214B"/>
    <w:rsid w:val="0085214C"/>
    <w:rsid w:val="00852482"/>
    <w:rsid w:val="00852850"/>
    <w:rsid w:val="00852987"/>
    <w:rsid w:val="00852B13"/>
    <w:rsid w:val="00852BD7"/>
    <w:rsid w:val="00852DE3"/>
    <w:rsid w:val="00852E19"/>
    <w:rsid w:val="00852E1F"/>
    <w:rsid w:val="00853029"/>
    <w:rsid w:val="00853226"/>
    <w:rsid w:val="00853241"/>
    <w:rsid w:val="008532C2"/>
    <w:rsid w:val="008532F7"/>
    <w:rsid w:val="00853445"/>
    <w:rsid w:val="0085344A"/>
    <w:rsid w:val="008535CF"/>
    <w:rsid w:val="008536FA"/>
    <w:rsid w:val="008536FD"/>
    <w:rsid w:val="0085374F"/>
    <w:rsid w:val="00853787"/>
    <w:rsid w:val="00853819"/>
    <w:rsid w:val="00853845"/>
    <w:rsid w:val="008538E5"/>
    <w:rsid w:val="0085395D"/>
    <w:rsid w:val="00853A0B"/>
    <w:rsid w:val="00853B42"/>
    <w:rsid w:val="00853CFC"/>
    <w:rsid w:val="0085450D"/>
    <w:rsid w:val="00854621"/>
    <w:rsid w:val="00854774"/>
    <w:rsid w:val="00854886"/>
    <w:rsid w:val="00854A80"/>
    <w:rsid w:val="00854D3B"/>
    <w:rsid w:val="00854D52"/>
    <w:rsid w:val="008550A6"/>
    <w:rsid w:val="008551AE"/>
    <w:rsid w:val="00855526"/>
    <w:rsid w:val="008556EF"/>
    <w:rsid w:val="0085570A"/>
    <w:rsid w:val="008557ED"/>
    <w:rsid w:val="0085586B"/>
    <w:rsid w:val="008559F5"/>
    <w:rsid w:val="00855A76"/>
    <w:rsid w:val="00855CF3"/>
    <w:rsid w:val="00855D7D"/>
    <w:rsid w:val="00855E1F"/>
    <w:rsid w:val="00855F90"/>
    <w:rsid w:val="00855FD7"/>
    <w:rsid w:val="0085605B"/>
    <w:rsid w:val="0085607E"/>
    <w:rsid w:val="008563A1"/>
    <w:rsid w:val="00856420"/>
    <w:rsid w:val="00856446"/>
    <w:rsid w:val="00856654"/>
    <w:rsid w:val="00856894"/>
    <w:rsid w:val="00856900"/>
    <w:rsid w:val="00856AF1"/>
    <w:rsid w:val="00856C7D"/>
    <w:rsid w:val="00856D59"/>
    <w:rsid w:val="00856EAE"/>
    <w:rsid w:val="00857119"/>
    <w:rsid w:val="0085712A"/>
    <w:rsid w:val="00857188"/>
    <w:rsid w:val="008571AE"/>
    <w:rsid w:val="008571B3"/>
    <w:rsid w:val="00857316"/>
    <w:rsid w:val="008573B9"/>
    <w:rsid w:val="0085749D"/>
    <w:rsid w:val="00857504"/>
    <w:rsid w:val="008575A5"/>
    <w:rsid w:val="00857625"/>
    <w:rsid w:val="00857A1C"/>
    <w:rsid w:val="00857AF2"/>
    <w:rsid w:val="00857B0F"/>
    <w:rsid w:val="00857C1A"/>
    <w:rsid w:val="00857ED5"/>
    <w:rsid w:val="00857FC8"/>
    <w:rsid w:val="00860117"/>
    <w:rsid w:val="008601E4"/>
    <w:rsid w:val="008601F6"/>
    <w:rsid w:val="00860477"/>
    <w:rsid w:val="008604A5"/>
    <w:rsid w:val="00860730"/>
    <w:rsid w:val="00860A4B"/>
    <w:rsid w:val="00860BBF"/>
    <w:rsid w:val="00860C17"/>
    <w:rsid w:val="00860D3C"/>
    <w:rsid w:val="00860EC4"/>
    <w:rsid w:val="00860F06"/>
    <w:rsid w:val="00860F72"/>
    <w:rsid w:val="0086101D"/>
    <w:rsid w:val="00861205"/>
    <w:rsid w:val="00861303"/>
    <w:rsid w:val="00861317"/>
    <w:rsid w:val="008613FA"/>
    <w:rsid w:val="008616E1"/>
    <w:rsid w:val="008616FE"/>
    <w:rsid w:val="0086182A"/>
    <w:rsid w:val="00861912"/>
    <w:rsid w:val="00861D70"/>
    <w:rsid w:val="00861DD3"/>
    <w:rsid w:val="00861F1B"/>
    <w:rsid w:val="0086221E"/>
    <w:rsid w:val="00862234"/>
    <w:rsid w:val="00862333"/>
    <w:rsid w:val="0086254F"/>
    <w:rsid w:val="008625BD"/>
    <w:rsid w:val="008627B9"/>
    <w:rsid w:val="0086284C"/>
    <w:rsid w:val="008628C1"/>
    <w:rsid w:val="0086293C"/>
    <w:rsid w:val="00862A1D"/>
    <w:rsid w:val="00862BE9"/>
    <w:rsid w:val="00862CDF"/>
    <w:rsid w:val="0086329D"/>
    <w:rsid w:val="008633D0"/>
    <w:rsid w:val="00863449"/>
    <w:rsid w:val="008634D1"/>
    <w:rsid w:val="0086353E"/>
    <w:rsid w:val="008635C0"/>
    <w:rsid w:val="00863665"/>
    <w:rsid w:val="00863819"/>
    <w:rsid w:val="0086394F"/>
    <w:rsid w:val="00863A3B"/>
    <w:rsid w:val="00863AFE"/>
    <w:rsid w:val="00863C38"/>
    <w:rsid w:val="00863D6D"/>
    <w:rsid w:val="00863E39"/>
    <w:rsid w:val="00863FF4"/>
    <w:rsid w:val="008640FE"/>
    <w:rsid w:val="00864199"/>
    <w:rsid w:val="00864432"/>
    <w:rsid w:val="0086457D"/>
    <w:rsid w:val="00864638"/>
    <w:rsid w:val="00864C67"/>
    <w:rsid w:val="00864F3B"/>
    <w:rsid w:val="008650A5"/>
    <w:rsid w:val="008653AD"/>
    <w:rsid w:val="008653E5"/>
    <w:rsid w:val="008654F8"/>
    <w:rsid w:val="008655AF"/>
    <w:rsid w:val="00865770"/>
    <w:rsid w:val="008657A9"/>
    <w:rsid w:val="008657AB"/>
    <w:rsid w:val="00865812"/>
    <w:rsid w:val="008659BE"/>
    <w:rsid w:val="00865B03"/>
    <w:rsid w:val="00865D76"/>
    <w:rsid w:val="00865E7A"/>
    <w:rsid w:val="00865FD8"/>
    <w:rsid w:val="0086605C"/>
    <w:rsid w:val="00866412"/>
    <w:rsid w:val="00866511"/>
    <w:rsid w:val="00866526"/>
    <w:rsid w:val="008668E4"/>
    <w:rsid w:val="00866A7E"/>
    <w:rsid w:val="00866A8F"/>
    <w:rsid w:val="008671D8"/>
    <w:rsid w:val="00867653"/>
    <w:rsid w:val="008676E6"/>
    <w:rsid w:val="00867902"/>
    <w:rsid w:val="008679C8"/>
    <w:rsid w:val="00867A0E"/>
    <w:rsid w:val="00867B10"/>
    <w:rsid w:val="00867C58"/>
    <w:rsid w:val="00867F4B"/>
    <w:rsid w:val="008701B1"/>
    <w:rsid w:val="00870288"/>
    <w:rsid w:val="0087037F"/>
    <w:rsid w:val="00870682"/>
    <w:rsid w:val="008706D2"/>
    <w:rsid w:val="008706EB"/>
    <w:rsid w:val="008706F1"/>
    <w:rsid w:val="008707F1"/>
    <w:rsid w:val="0087086C"/>
    <w:rsid w:val="00870943"/>
    <w:rsid w:val="00870958"/>
    <w:rsid w:val="00870AFB"/>
    <w:rsid w:val="00870F73"/>
    <w:rsid w:val="00871026"/>
    <w:rsid w:val="0087107E"/>
    <w:rsid w:val="008712CC"/>
    <w:rsid w:val="008712F2"/>
    <w:rsid w:val="00871464"/>
    <w:rsid w:val="008714AB"/>
    <w:rsid w:val="008716D5"/>
    <w:rsid w:val="0087175B"/>
    <w:rsid w:val="0087177A"/>
    <w:rsid w:val="00871797"/>
    <w:rsid w:val="008718F3"/>
    <w:rsid w:val="00871933"/>
    <w:rsid w:val="0087193F"/>
    <w:rsid w:val="00871B31"/>
    <w:rsid w:val="00871E2B"/>
    <w:rsid w:val="00871F98"/>
    <w:rsid w:val="0087226C"/>
    <w:rsid w:val="008722F3"/>
    <w:rsid w:val="00872367"/>
    <w:rsid w:val="008724DE"/>
    <w:rsid w:val="008724ED"/>
    <w:rsid w:val="008726E8"/>
    <w:rsid w:val="0087278F"/>
    <w:rsid w:val="008728A4"/>
    <w:rsid w:val="008728CB"/>
    <w:rsid w:val="0087291A"/>
    <w:rsid w:val="008729C9"/>
    <w:rsid w:val="00872A19"/>
    <w:rsid w:val="00872D53"/>
    <w:rsid w:val="00872E55"/>
    <w:rsid w:val="00872ED6"/>
    <w:rsid w:val="00872F22"/>
    <w:rsid w:val="00872F83"/>
    <w:rsid w:val="00873013"/>
    <w:rsid w:val="0087307C"/>
    <w:rsid w:val="008730F7"/>
    <w:rsid w:val="00873311"/>
    <w:rsid w:val="008734E5"/>
    <w:rsid w:val="00873580"/>
    <w:rsid w:val="008735CA"/>
    <w:rsid w:val="00873853"/>
    <w:rsid w:val="008739B8"/>
    <w:rsid w:val="00873A0D"/>
    <w:rsid w:val="00873ADC"/>
    <w:rsid w:val="00873B49"/>
    <w:rsid w:val="00873C22"/>
    <w:rsid w:val="00873C7A"/>
    <w:rsid w:val="00873CD8"/>
    <w:rsid w:val="00873EC2"/>
    <w:rsid w:val="008740BC"/>
    <w:rsid w:val="008740F9"/>
    <w:rsid w:val="00874166"/>
    <w:rsid w:val="008742EE"/>
    <w:rsid w:val="00874364"/>
    <w:rsid w:val="00874431"/>
    <w:rsid w:val="00874584"/>
    <w:rsid w:val="008745AB"/>
    <w:rsid w:val="008746EE"/>
    <w:rsid w:val="00874734"/>
    <w:rsid w:val="008747A9"/>
    <w:rsid w:val="00874814"/>
    <w:rsid w:val="00874847"/>
    <w:rsid w:val="008748F7"/>
    <w:rsid w:val="00874CD8"/>
    <w:rsid w:val="00874D10"/>
    <w:rsid w:val="00874D66"/>
    <w:rsid w:val="00874F96"/>
    <w:rsid w:val="00874F9A"/>
    <w:rsid w:val="0087522D"/>
    <w:rsid w:val="008753EC"/>
    <w:rsid w:val="0087564F"/>
    <w:rsid w:val="008756FD"/>
    <w:rsid w:val="008757D3"/>
    <w:rsid w:val="008758D9"/>
    <w:rsid w:val="00875A34"/>
    <w:rsid w:val="00875B11"/>
    <w:rsid w:val="00875BAA"/>
    <w:rsid w:val="00875C01"/>
    <w:rsid w:val="00875CA4"/>
    <w:rsid w:val="00875D5A"/>
    <w:rsid w:val="00875E47"/>
    <w:rsid w:val="00875E62"/>
    <w:rsid w:val="00875E88"/>
    <w:rsid w:val="00875F46"/>
    <w:rsid w:val="00875F52"/>
    <w:rsid w:val="00876005"/>
    <w:rsid w:val="0087619A"/>
    <w:rsid w:val="008761F1"/>
    <w:rsid w:val="008762B4"/>
    <w:rsid w:val="00876352"/>
    <w:rsid w:val="008763D2"/>
    <w:rsid w:val="00876439"/>
    <w:rsid w:val="00876491"/>
    <w:rsid w:val="00876532"/>
    <w:rsid w:val="00876635"/>
    <w:rsid w:val="00876705"/>
    <w:rsid w:val="0087670D"/>
    <w:rsid w:val="00876CEB"/>
    <w:rsid w:val="00876CF7"/>
    <w:rsid w:val="00876D4C"/>
    <w:rsid w:val="008770CA"/>
    <w:rsid w:val="008770F7"/>
    <w:rsid w:val="00877175"/>
    <w:rsid w:val="008771B3"/>
    <w:rsid w:val="0087748D"/>
    <w:rsid w:val="0087771F"/>
    <w:rsid w:val="008778F6"/>
    <w:rsid w:val="00877978"/>
    <w:rsid w:val="00877B73"/>
    <w:rsid w:val="00877C19"/>
    <w:rsid w:val="0088012C"/>
    <w:rsid w:val="008801C6"/>
    <w:rsid w:val="00880388"/>
    <w:rsid w:val="008806A9"/>
    <w:rsid w:val="008808CF"/>
    <w:rsid w:val="008808E9"/>
    <w:rsid w:val="008809E7"/>
    <w:rsid w:val="00880B3B"/>
    <w:rsid w:val="00880C06"/>
    <w:rsid w:val="00880F2E"/>
    <w:rsid w:val="00881018"/>
    <w:rsid w:val="00881111"/>
    <w:rsid w:val="00881620"/>
    <w:rsid w:val="00881786"/>
    <w:rsid w:val="00881E8E"/>
    <w:rsid w:val="00881EEF"/>
    <w:rsid w:val="00881FB9"/>
    <w:rsid w:val="0088206C"/>
    <w:rsid w:val="00882155"/>
    <w:rsid w:val="008824E2"/>
    <w:rsid w:val="00882698"/>
    <w:rsid w:val="00882AEC"/>
    <w:rsid w:val="00882B0A"/>
    <w:rsid w:val="00882D9A"/>
    <w:rsid w:val="00882ECF"/>
    <w:rsid w:val="00882FE3"/>
    <w:rsid w:val="008830EE"/>
    <w:rsid w:val="00883159"/>
    <w:rsid w:val="00883161"/>
    <w:rsid w:val="008831C9"/>
    <w:rsid w:val="00883239"/>
    <w:rsid w:val="008832C8"/>
    <w:rsid w:val="008834A3"/>
    <w:rsid w:val="00883597"/>
    <w:rsid w:val="008838BD"/>
    <w:rsid w:val="00883C99"/>
    <w:rsid w:val="00883D21"/>
    <w:rsid w:val="00883E5B"/>
    <w:rsid w:val="00883F9E"/>
    <w:rsid w:val="00883FB7"/>
    <w:rsid w:val="0088404D"/>
    <w:rsid w:val="008843B5"/>
    <w:rsid w:val="008845B4"/>
    <w:rsid w:val="008846D0"/>
    <w:rsid w:val="008846D7"/>
    <w:rsid w:val="0088476E"/>
    <w:rsid w:val="0088483D"/>
    <w:rsid w:val="00884978"/>
    <w:rsid w:val="00884985"/>
    <w:rsid w:val="008849F2"/>
    <w:rsid w:val="00884A4D"/>
    <w:rsid w:val="00884C9F"/>
    <w:rsid w:val="00884DCF"/>
    <w:rsid w:val="00884EEC"/>
    <w:rsid w:val="0088500B"/>
    <w:rsid w:val="008852E2"/>
    <w:rsid w:val="00885456"/>
    <w:rsid w:val="0088551D"/>
    <w:rsid w:val="0088552D"/>
    <w:rsid w:val="00885532"/>
    <w:rsid w:val="00885540"/>
    <w:rsid w:val="00885755"/>
    <w:rsid w:val="00885A3B"/>
    <w:rsid w:val="00885FD0"/>
    <w:rsid w:val="00886096"/>
    <w:rsid w:val="008860E2"/>
    <w:rsid w:val="00886145"/>
    <w:rsid w:val="008867AE"/>
    <w:rsid w:val="008867DD"/>
    <w:rsid w:val="008868A2"/>
    <w:rsid w:val="008868C7"/>
    <w:rsid w:val="008868F1"/>
    <w:rsid w:val="00886EFD"/>
    <w:rsid w:val="0088700A"/>
    <w:rsid w:val="008870F3"/>
    <w:rsid w:val="008871A2"/>
    <w:rsid w:val="008873A6"/>
    <w:rsid w:val="008874A4"/>
    <w:rsid w:val="0088750B"/>
    <w:rsid w:val="0088757C"/>
    <w:rsid w:val="0088763B"/>
    <w:rsid w:val="0088779F"/>
    <w:rsid w:val="00887839"/>
    <w:rsid w:val="008879CE"/>
    <w:rsid w:val="00887B52"/>
    <w:rsid w:val="00887B90"/>
    <w:rsid w:val="00887D35"/>
    <w:rsid w:val="00887DEF"/>
    <w:rsid w:val="0089003E"/>
    <w:rsid w:val="008900C7"/>
    <w:rsid w:val="0089018F"/>
    <w:rsid w:val="0089022B"/>
    <w:rsid w:val="008903FD"/>
    <w:rsid w:val="00890419"/>
    <w:rsid w:val="00890436"/>
    <w:rsid w:val="008908C7"/>
    <w:rsid w:val="008909D6"/>
    <w:rsid w:val="00890FDE"/>
    <w:rsid w:val="0089112B"/>
    <w:rsid w:val="0089123E"/>
    <w:rsid w:val="008912BB"/>
    <w:rsid w:val="0089132A"/>
    <w:rsid w:val="0089154B"/>
    <w:rsid w:val="008915C7"/>
    <w:rsid w:val="008915F5"/>
    <w:rsid w:val="008916E6"/>
    <w:rsid w:val="00891798"/>
    <w:rsid w:val="00891807"/>
    <w:rsid w:val="008918DC"/>
    <w:rsid w:val="00891C21"/>
    <w:rsid w:val="00891CD1"/>
    <w:rsid w:val="00891D9A"/>
    <w:rsid w:val="00891DA0"/>
    <w:rsid w:val="00891DCE"/>
    <w:rsid w:val="00891E22"/>
    <w:rsid w:val="00891EE0"/>
    <w:rsid w:val="0089233F"/>
    <w:rsid w:val="00892563"/>
    <w:rsid w:val="008927C2"/>
    <w:rsid w:val="008928B5"/>
    <w:rsid w:val="0089299E"/>
    <w:rsid w:val="00892A80"/>
    <w:rsid w:val="00893035"/>
    <w:rsid w:val="008930D3"/>
    <w:rsid w:val="00893128"/>
    <w:rsid w:val="00893186"/>
    <w:rsid w:val="008932FD"/>
    <w:rsid w:val="00893478"/>
    <w:rsid w:val="00893585"/>
    <w:rsid w:val="00893691"/>
    <w:rsid w:val="00893876"/>
    <w:rsid w:val="00893882"/>
    <w:rsid w:val="008939EC"/>
    <w:rsid w:val="00893D4A"/>
    <w:rsid w:val="00893EB2"/>
    <w:rsid w:val="00894093"/>
    <w:rsid w:val="008940CA"/>
    <w:rsid w:val="00894123"/>
    <w:rsid w:val="008942EE"/>
    <w:rsid w:val="008942F3"/>
    <w:rsid w:val="00894310"/>
    <w:rsid w:val="00894406"/>
    <w:rsid w:val="00894551"/>
    <w:rsid w:val="0089477B"/>
    <w:rsid w:val="0089490E"/>
    <w:rsid w:val="00894AA7"/>
    <w:rsid w:val="00894B41"/>
    <w:rsid w:val="00894BCD"/>
    <w:rsid w:val="00894CC2"/>
    <w:rsid w:val="00894FDE"/>
    <w:rsid w:val="0089501F"/>
    <w:rsid w:val="00895036"/>
    <w:rsid w:val="00895081"/>
    <w:rsid w:val="008950DD"/>
    <w:rsid w:val="0089545C"/>
    <w:rsid w:val="00895496"/>
    <w:rsid w:val="008954C9"/>
    <w:rsid w:val="008955B6"/>
    <w:rsid w:val="0089569F"/>
    <w:rsid w:val="008957A4"/>
    <w:rsid w:val="008957A8"/>
    <w:rsid w:val="008957AF"/>
    <w:rsid w:val="008958A8"/>
    <w:rsid w:val="00895932"/>
    <w:rsid w:val="00895C86"/>
    <w:rsid w:val="00895D57"/>
    <w:rsid w:val="00895DE7"/>
    <w:rsid w:val="00895E25"/>
    <w:rsid w:val="00895F02"/>
    <w:rsid w:val="00895FBB"/>
    <w:rsid w:val="0089605E"/>
    <w:rsid w:val="00896075"/>
    <w:rsid w:val="00896081"/>
    <w:rsid w:val="0089618A"/>
    <w:rsid w:val="008963D4"/>
    <w:rsid w:val="00896515"/>
    <w:rsid w:val="008968D1"/>
    <w:rsid w:val="00896904"/>
    <w:rsid w:val="008969E6"/>
    <w:rsid w:val="008969FD"/>
    <w:rsid w:val="00896C79"/>
    <w:rsid w:val="00896CA6"/>
    <w:rsid w:val="00897543"/>
    <w:rsid w:val="008975A8"/>
    <w:rsid w:val="00897667"/>
    <w:rsid w:val="00897762"/>
    <w:rsid w:val="008978E8"/>
    <w:rsid w:val="008978FE"/>
    <w:rsid w:val="0089790F"/>
    <w:rsid w:val="00897A2B"/>
    <w:rsid w:val="00897ACA"/>
    <w:rsid w:val="00897CB1"/>
    <w:rsid w:val="00897CC2"/>
    <w:rsid w:val="00897DE6"/>
    <w:rsid w:val="00897EF7"/>
    <w:rsid w:val="00897F3D"/>
    <w:rsid w:val="00897F91"/>
    <w:rsid w:val="008A0001"/>
    <w:rsid w:val="008A0017"/>
    <w:rsid w:val="008A0067"/>
    <w:rsid w:val="008A00BB"/>
    <w:rsid w:val="008A0172"/>
    <w:rsid w:val="008A01CD"/>
    <w:rsid w:val="008A020D"/>
    <w:rsid w:val="008A0239"/>
    <w:rsid w:val="008A0268"/>
    <w:rsid w:val="008A03D1"/>
    <w:rsid w:val="008A03F0"/>
    <w:rsid w:val="008A048F"/>
    <w:rsid w:val="008A04B3"/>
    <w:rsid w:val="008A05CB"/>
    <w:rsid w:val="008A0A24"/>
    <w:rsid w:val="008A0C24"/>
    <w:rsid w:val="008A0C56"/>
    <w:rsid w:val="008A0C7D"/>
    <w:rsid w:val="008A0D25"/>
    <w:rsid w:val="008A0E63"/>
    <w:rsid w:val="008A0F75"/>
    <w:rsid w:val="008A1002"/>
    <w:rsid w:val="008A1005"/>
    <w:rsid w:val="008A1216"/>
    <w:rsid w:val="008A1296"/>
    <w:rsid w:val="008A1485"/>
    <w:rsid w:val="008A1495"/>
    <w:rsid w:val="008A14A9"/>
    <w:rsid w:val="008A1543"/>
    <w:rsid w:val="008A170A"/>
    <w:rsid w:val="008A1ABC"/>
    <w:rsid w:val="008A1B99"/>
    <w:rsid w:val="008A1DB1"/>
    <w:rsid w:val="008A220D"/>
    <w:rsid w:val="008A23DB"/>
    <w:rsid w:val="008A2411"/>
    <w:rsid w:val="008A2506"/>
    <w:rsid w:val="008A254B"/>
    <w:rsid w:val="008A25DE"/>
    <w:rsid w:val="008A27D3"/>
    <w:rsid w:val="008A27FD"/>
    <w:rsid w:val="008A29EB"/>
    <w:rsid w:val="008A2A18"/>
    <w:rsid w:val="008A2A88"/>
    <w:rsid w:val="008A2ABE"/>
    <w:rsid w:val="008A2AC0"/>
    <w:rsid w:val="008A2B45"/>
    <w:rsid w:val="008A2D45"/>
    <w:rsid w:val="008A2E21"/>
    <w:rsid w:val="008A2E88"/>
    <w:rsid w:val="008A30FB"/>
    <w:rsid w:val="008A31EF"/>
    <w:rsid w:val="008A331F"/>
    <w:rsid w:val="008A34BD"/>
    <w:rsid w:val="008A3571"/>
    <w:rsid w:val="008A3C06"/>
    <w:rsid w:val="008A3D57"/>
    <w:rsid w:val="008A3DB2"/>
    <w:rsid w:val="008A3EB5"/>
    <w:rsid w:val="008A407E"/>
    <w:rsid w:val="008A4314"/>
    <w:rsid w:val="008A448D"/>
    <w:rsid w:val="008A4529"/>
    <w:rsid w:val="008A475A"/>
    <w:rsid w:val="008A476E"/>
    <w:rsid w:val="008A48A0"/>
    <w:rsid w:val="008A4A75"/>
    <w:rsid w:val="008A4B15"/>
    <w:rsid w:val="008A503D"/>
    <w:rsid w:val="008A50B5"/>
    <w:rsid w:val="008A53B0"/>
    <w:rsid w:val="008A53D8"/>
    <w:rsid w:val="008A5706"/>
    <w:rsid w:val="008A5877"/>
    <w:rsid w:val="008A5915"/>
    <w:rsid w:val="008A5A31"/>
    <w:rsid w:val="008A5A83"/>
    <w:rsid w:val="008A5CC6"/>
    <w:rsid w:val="008A5CCA"/>
    <w:rsid w:val="008A5D90"/>
    <w:rsid w:val="008A60DC"/>
    <w:rsid w:val="008A60F1"/>
    <w:rsid w:val="008A6210"/>
    <w:rsid w:val="008A624A"/>
    <w:rsid w:val="008A6357"/>
    <w:rsid w:val="008A6516"/>
    <w:rsid w:val="008A6572"/>
    <w:rsid w:val="008A682F"/>
    <w:rsid w:val="008A6964"/>
    <w:rsid w:val="008A6A78"/>
    <w:rsid w:val="008A6B2E"/>
    <w:rsid w:val="008A6B35"/>
    <w:rsid w:val="008A6B5A"/>
    <w:rsid w:val="008A6B86"/>
    <w:rsid w:val="008A6C38"/>
    <w:rsid w:val="008A70C2"/>
    <w:rsid w:val="008A723F"/>
    <w:rsid w:val="008A7289"/>
    <w:rsid w:val="008A7305"/>
    <w:rsid w:val="008A7724"/>
    <w:rsid w:val="008A7872"/>
    <w:rsid w:val="008A78DA"/>
    <w:rsid w:val="008A7AAF"/>
    <w:rsid w:val="008A7B67"/>
    <w:rsid w:val="008A7CBD"/>
    <w:rsid w:val="008A7D6C"/>
    <w:rsid w:val="008A7D90"/>
    <w:rsid w:val="008A7EFF"/>
    <w:rsid w:val="008B0071"/>
    <w:rsid w:val="008B01C0"/>
    <w:rsid w:val="008B029A"/>
    <w:rsid w:val="008B0473"/>
    <w:rsid w:val="008B0595"/>
    <w:rsid w:val="008B0600"/>
    <w:rsid w:val="008B0640"/>
    <w:rsid w:val="008B065F"/>
    <w:rsid w:val="008B07C3"/>
    <w:rsid w:val="008B0BB1"/>
    <w:rsid w:val="008B0D49"/>
    <w:rsid w:val="008B0D5F"/>
    <w:rsid w:val="008B0E6E"/>
    <w:rsid w:val="008B0E8A"/>
    <w:rsid w:val="008B0EF5"/>
    <w:rsid w:val="008B1205"/>
    <w:rsid w:val="008B128A"/>
    <w:rsid w:val="008B151A"/>
    <w:rsid w:val="008B1933"/>
    <w:rsid w:val="008B19C7"/>
    <w:rsid w:val="008B1AA9"/>
    <w:rsid w:val="008B1B5D"/>
    <w:rsid w:val="008B1D1C"/>
    <w:rsid w:val="008B1DAB"/>
    <w:rsid w:val="008B2003"/>
    <w:rsid w:val="008B2018"/>
    <w:rsid w:val="008B22C3"/>
    <w:rsid w:val="008B23BC"/>
    <w:rsid w:val="008B251C"/>
    <w:rsid w:val="008B29E1"/>
    <w:rsid w:val="008B2A82"/>
    <w:rsid w:val="008B2AA1"/>
    <w:rsid w:val="008B2B11"/>
    <w:rsid w:val="008B2D5C"/>
    <w:rsid w:val="008B2E77"/>
    <w:rsid w:val="008B2EBA"/>
    <w:rsid w:val="008B2FC5"/>
    <w:rsid w:val="008B3031"/>
    <w:rsid w:val="008B3222"/>
    <w:rsid w:val="008B32B8"/>
    <w:rsid w:val="008B32E2"/>
    <w:rsid w:val="008B35BF"/>
    <w:rsid w:val="008B3703"/>
    <w:rsid w:val="008B3899"/>
    <w:rsid w:val="008B3A57"/>
    <w:rsid w:val="008B3DFC"/>
    <w:rsid w:val="008B40DD"/>
    <w:rsid w:val="008B410F"/>
    <w:rsid w:val="008B4158"/>
    <w:rsid w:val="008B41B6"/>
    <w:rsid w:val="008B427F"/>
    <w:rsid w:val="008B4368"/>
    <w:rsid w:val="008B43EA"/>
    <w:rsid w:val="008B4476"/>
    <w:rsid w:val="008B44BD"/>
    <w:rsid w:val="008B46AE"/>
    <w:rsid w:val="008B49AE"/>
    <w:rsid w:val="008B4B53"/>
    <w:rsid w:val="008B4CC9"/>
    <w:rsid w:val="008B4D1B"/>
    <w:rsid w:val="008B4E82"/>
    <w:rsid w:val="008B5019"/>
    <w:rsid w:val="008B51EC"/>
    <w:rsid w:val="008B532F"/>
    <w:rsid w:val="008B541D"/>
    <w:rsid w:val="008B54C8"/>
    <w:rsid w:val="008B581E"/>
    <w:rsid w:val="008B589D"/>
    <w:rsid w:val="008B597B"/>
    <w:rsid w:val="008B59F9"/>
    <w:rsid w:val="008B5B41"/>
    <w:rsid w:val="008B5CFE"/>
    <w:rsid w:val="008B5E3A"/>
    <w:rsid w:val="008B5EEA"/>
    <w:rsid w:val="008B5F39"/>
    <w:rsid w:val="008B633C"/>
    <w:rsid w:val="008B677B"/>
    <w:rsid w:val="008B6A63"/>
    <w:rsid w:val="008B6AA8"/>
    <w:rsid w:val="008B6B2A"/>
    <w:rsid w:val="008B6B61"/>
    <w:rsid w:val="008B6C30"/>
    <w:rsid w:val="008B6C70"/>
    <w:rsid w:val="008B6F2B"/>
    <w:rsid w:val="008B6FCD"/>
    <w:rsid w:val="008B7065"/>
    <w:rsid w:val="008B711E"/>
    <w:rsid w:val="008B7195"/>
    <w:rsid w:val="008B74B8"/>
    <w:rsid w:val="008B7696"/>
    <w:rsid w:val="008B7A33"/>
    <w:rsid w:val="008B7A9B"/>
    <w:rsid w:val="008B7AA8"/>
    <w:rsid w:val="008B7AB7"/>
    <w:rsid w:val="008B7BBF"/>
    <w:rsid w:val="008B7DFD"/>
    <w:rsid w:val="008C018B"/>
    <w:rsid w:val="008C0618"/>
    <w:rsid w:val="008C062F"/>
    <w:rsid w:val="008C0679"/>
    <w:rsid w:val="008C0875"/>
    <w:rsid w:val="008C08FE"/>
    <w:rsid w:val="008C090D"/>
    <w:rsid w:val="008C0926"/>
    <w:rsid w:val="008C0C38"/>
    <w:rsid w:val="008C0DD1"/>
    <w:rsid w:val="008C1048"/>
    <w:rsid w:val="008C11C7"/>
    <w:rsid w:val="008C1569"/>
    <w:rsid w:val="008C1576"/>
    <w:rsid w:val="008C16E4"/>
    <w:rsid w:val="008C16F5"/>
    <w:rsid w:val="008C18A2"/>
    <w:rsid w:val="008C1ADD"/>
    <w:rsid w:val="008C1B50"/>
    <w:rsid w:val="008C1C51"/>
    <w:rsid w:val="008C1C74"/>
    <w:rsid w:val="008C1C92"/>
    <w:rsid w:val="008C1F9B"/>
    <w:rsid w:val="008C1FA1"/>
    <w:rsid w:val="008C1FF8"/>
    <w:rsid w:val="008C237B"/>
    <w:rsid w:val="008C2427"/>
    <w:rsid w:val="008C24D3"/>
    <w:rsid w:val="008C286E"/>
    <w:rsid w:val="008C2A2A"/>
    <w:rsid w:val="008C2B49"/>
    <w:rsid w:val="008C2B90"/>
    <w:rsid w:val="008C2C53"/>
    <w:rsid w:val="008C2C83"/>
    <w:rsid w:val="008C2E75"/>
    <w:rsid w:val="008C2F7A"/>
    <w:rsid w:val="008C2F7E"/>
    <w:rsid w:val="008C3131"/>
    <w:rsid w:val="008C31F1"/>
    <w:rsid w:val="008C3248"/>
    <w:rsid w:val="008C3374"/>
    <w:rsid w:val="008C3481"/>
    <w:rsid w:val="008C34C1"/>
    <w:rsid w:val="008C3665"/>
    <w:rsid w:val="008C3ACA"/>
    <w:rsid w:val="008C3ACD"/>
    <w:rsid w:val="008C3B2E"/>
    <w:rsid w:val="008C3BE2"/>
    <w:rsid w:val="008C3C43"/>
    <w:rsid w:val="008C3D78"/>
    <w:rsid w:val="008C3DE5"/>
    <w:rsid w:val="008C4091"/>
    <w:rsid w:val="008C40A3"/>
    <w:rsid w:val="008C417D"/>
    <w:rsid w:val="008C4309"/>
    <w:rsid w:val="008C484B"/>
    <w:rsid w:val="008C4A25"/>
    <w:rsid w:val="008C4B19"/>
    <w:rsid w:val="008C4B7D"/>
    <w:rsid w:val="008C4F26"/>
    <w:rsid w:val="008C4F67"/>
    <w:rsid w:val="008C506D"/>
    <w:rsid w:val="008C509A"/>
    <w:rsid w:val="008C50BC"/>
    <w:rsid w:val="008C5172"/>
    <w:rsid w:val="008C5321"/>
    <w:rsid w:val="008C5348"/>
    <w:rsid w:val="008C56F3"/>
    <w:rsid w:val="008C58B7"/>
    <w:rsid w:val="008C58E3"/>
    <w:rsid w:val="008C5A62"/>
    <w:rsid w:val="008C5B52"/>
    <w:rsid w:val="008C5B5A"/>
    <w:rsid w:val="008C5BAB"/>
    <w:rsid w:val="008C5C58"/>
    <w:rsid w:val="008C5CB4"/>
    <w:rsid w:val="008C5D14"/>
    <w:rsid w:val="008C5EA0"/>
    <w:rsid w:val="008C5EA9"/>
    <w:rsid w:val="008C5EF3"/>
    <w:rsid w:val="008C6121"/>
    <w:rsid w:val="008C6187"/>
    <w:rsid w:val="008C655D"/>
    <w:rsid w:val="008C6704"/>
    <w:rsid w:val="008C69FA"/>
    <w:rsid w:val="008C6B2E"/>
    <w:rsid w:val="008C6B73"/>
    <w:rsid w:val="008C6D09"/>
    <w:rsid w:val="008C6D74"/>
    <w:rsid w:val="008C778E"/>
    <w:rsid w:val="008C7883"/>
    <w:rsid w:val="008C78AC"/>
    <w:rsid w:val="008C7A72"/>
    <w:rsid w:val="008C7A7E"/>
    <w:rsid w:val="008C7BD7"/>
    <w:rsid w:val="008C7C69"/>
    <w:rsid w:val="008C7D01"/>
    <w:rsid w:val="008C7EFC"/>
    <w:rsid w:val="008D0004"/>
    <w:rsid w:val="008D010D"/>
    <w:rsid w:val="008D016D"/>
    <w:rsid w:val="008D01E0"/>
    <w:rsid w:val="008D0279"/>
    <w:rsid w:val="008D0354"/>
    <w:rsid w:val="008D066B"/>
    <w:rsid w:val="008D0751"/>
    <w:rsid w:val="008D08E0"/>
    <w:rsid w:val="008D0A36"/>
    <w:rsid w:val="008D0A37"/>
    <w:rsid w:val="008D0D9F"/>
    <w:rsid w:val="008D0E75"/>
    <w:rsid w:val="008D0F1A"/>
    <w:rsid w:val="008D0F84"/>
    <w:rsid w:val="008D0FA5"/>
    <w:rsid w:val="008D1006"/>
    <w:rsid w:val="008D15A3"/>
    <w:rsid w:val="008D1776"/>
    <w:rsid w:val="008D178F"/>
    <w:rsid w:val="008D186B"/>
    <w:rsid w:val="008D18AD"/>
    <w:rsid w:val="008D1983"/>
    <w:rsid w:val="008D19E1"/>
    <w:rsid w:val="008D1B32"/>
    <w:rsid w:val="008D1C94"/>
    <w:rsid w:val="008D1FDD"/>
    <w:rsid w:val="008D2033"/>
    <w:rsid w:val="008D2075"/>
    <w:rsid w:val="008D2126"/>
    <w:rsid w:val="008D214E"/>
    <w:rsid w:val="008D216C"/>
    <w:rsid w:val="008D253B"/>
    <w:rsid w:val="008D26B1"/>
    <w:rsid w:val="008D27BB"/>
    <w:rsid w:val="008D2829"/>
    <w:rsid w:val="008D283F"/>
    <w:rsid w:val="008D2924"/>
    <w:rsid w:val="008D299F"/>
    <w:rsid w:val="008D29CC"/>
    <w:rsid w:val="008D2B40"/>
    <w:rsid w:val="008D2CD5"/>
    <w:rsid w:val="008D2D43"/>
    <w:rsid w:val="008D2D60"/>
    <w:rsid w:val="008D2F60"/>
    <w:rsid w:val="008D3157"/>
    <w:rsid w:val="008D3299"/>
    <w:rsid w:val="008D3624"/>
    <w:rsid w:val="008D364A"/>
    <w:rsid w:val="008D38B7"/>
    <w:rsid w:val="008D399F"/>
    <w:rsid w:val="008D39E9"/>
    <w:rsid w:val="008D3A4D"/>
    <w:rsid w:val="008D3D46"/>
    <w:rsid w:val="008D3E29"/>
    <w:rsid w:val="008D3E6A"/>
    <w:rsid w:val="008D3F11"/>
    <w:rsid w:val="008D3F29"/>
    <w:rsid w:val="008D4106"/>
    <w:rsid w:val="008D41C9"/>
    <w:rsid w:val="008D439F"/>
    <w:rsid w:val="008D43C8"/>
    <w:rsid w:val="008D4426"/>
    <w:rsid w:val="008D48F7"/>
    <w:rsid w:val="008D4963"/>
    <w:rsid w:val="008D49E8"/>
    <w:rsid w:val="008D4A31"/>
    <w:rsid w:val="008D4B30"/>
    <w:rsid w:val="008D4BB6"/>
    <w:rsid w:val="008D4BBF"/>
    <w:rsid w:val="008D4DA2"/>
    <w:rsid w:val="008D4DAB"/>
    <w:rsid w:val="008D4F6E"/>
    <w:rsid w:val="008D4FF0"/>
    <w:rsid w:val="008D50B8"/>
    <w:rsid w:val="008D51BD"/>
    <w:rsid w:val="008D523B"/>
    <w:rsid w:val="008D52E1"/>
    <w:rsid w:val="008D52E9"/>
    <w:rsid w:val="008D5406"/>
    <w:rsid w:val="008D549D"/>
    <w:rsid w:val="008D56DC"/>
    <w:rsid w:val="008D5762"/>
    <w:rsid w:val="008D5778"/>
    <w:rsid w:val="008D5934"/>
    <w:rsid w:val="008D5AEB"/>
    <w:rsid w:val="008D5D08"/>
    <w:rsid w:val="008D5D50"/>
    <w:rsid w:val="008D5D84"/>
    <w:rsid w:val="008D6456"/>
    <w:rsid w:val="008D667B"/>
    <w:rsid w:val="008D66A3"/>
    <w:rsid w:val="008D67A4"/>
    <w:rsid w:val="008D67C0"/>
    <w:rsid w:val="008D67F0"/>
    <w:rsid w:val="008D6944"/>
    <w:rsid w:val="008D6A2C"/>
    <w:rsid w:val="008D6A41"/>
    <w:rsid w:val="008D6C20"/>
    <w:rsid w:val="008D6DB6"/>
    <w:rsid w:val="008D7064"/>
    <w:rsid w:val="008D70A9"/>
    <w:rsid w:val="008D70C5"/>
    <w:rsid w:val="008D717F"/>
    <w:rsid w:val="008D742B"/>
    <w:rsid w:val="008D74FA"/>
    <w:rsid w:val="008D752B"/>
    <w:rsid w:val="008D77AE"/>
    <w:rsid w:val="008D7877"/>
    <w:rsid w:val="008D7B00"/>
    <w:rsid w:val="008D7DEB"/>
    <w:rsid w:val="008D7E4A"/>
    <w:rsid w:val="008D7F15"/>
    <w:rsid w:val="008D7FA5"/>
    <w:rsid w:val="008E013B"/>
    <w:rsid w:val="008E0279"/>
    <w:rsid w:val="008E036B"/>
    <w:rsid w:val="008E0473"/>
    <w:rsid w:val="008E0476"/>
    <w:rsid w:val="008E0531"/>
    <w:rsid w:val="008E06B2"/>
    <w:rsid w:val="008E0B3B"/>
    <w:rsid w:val="008E0DE2"/>
    <w:rsid w:val="008E0DE5"/>
    <w:rsid w:val="008E0EFC"/>
    <w:rsid w:val="008E0FAB"/>
    <w:rsid w:val="008E1116"/>
    <w:rsid w:val="008E1122"/>
    <w:rsid w:val="008E155E"/>
    <w:rsid w:val="008E16FC"/>
    <w:rsid w:val="008E1746"/>
    <w:rsid w:val="008E185A"/>
    <w:rsid w:val="008E18B4"/>
    <w:rsid w:val="008E191D"/>
    <w:rsid w:val="008E1AF6"/>
    <w:rsid w:val="008E1CC3"/>
    <w:rsid w:val="008E1D6E"/>
    <w:rsid w:val="008E22E2"/>
    <w:rsid w:val="008E2432"/>
    <w:rsid w:val="008E2587"/>
    <w:rsid w:val="008E2877"/>
    <w:rsid w:val="008E29F8"/>
    <w:rsid w:val="008E2A68"/>
    <w:rsid w:val="008E2AE8"/>
    <w:rsid w:val="008E2CF0"/>
    <w:rsid w:val="008E2F35"/>
    <w:rsid w:val="008E30A3"/>
    <w:rsid w:val="008E326E"/>
    <w:rsid w:val="008E328C"/>
    <w:rsid w:val="008E344C"/>
    <w:rsid w:val="008E3494"/>
    <w:rsid w:val="008E358B"/>
    <w:rsid w:val="008E35D3"/>
    <w:rsid w:val="008E35D7"/>
    <w:rsid w:val="008E363B"/>
    <w:rsid w:val="008E3692"/>
    <w:rsid w:val="008E37EF"/>
    <w:rsid w:val="008E38B1"/>
    <w:rsid w:val="008E397B"/>
    <w:rsid w:val="008E39B4"/>
    <w:rsid w:val="008E3D60"/>
    <w:rsid w:val="008E3D7B"/>
    <w:rsid w:val="008E3DC3"/>
    <w:rsid w:val="008E3E38"/>
    <w:rsid w:val="008E3E39"/>
    <w:rsid w:val="008E3E65"/>
    <w:rsid w:val="008E3F4C"/>
    <w:rsid w:val="008E404D"/>
    <w:rsid w:val="008E43A2"/>
    <w:rsid w:val="008E4518"/>
    <w:rsid w:val="008E4520"/>
    <w:rsid w:val="008E474F"/>
    <w:rsid w:val="008E47DB"/>
    <w:rsid w:val="008E47DC"/>
    <w:rsid w:val="008E4951"/>
    <w:rsid w:val="008E4A84"/>
    <w:rsid w:val="008E4B17"/>
    <w:rsid w:val="008E4C3B"/>
    <w:rsid w:val="008E4D41"/>
    <w:rsid w:val="008E4EE2"/>
    <w:rsid w:val="008E4FF6"/>
    <w:rsid w:val="008E52B5"/>
    <w:rsid w:val="008E5455"/>
    <w:rsid w:val="008E55DF"/>
    <w:rsid w:val="008E5600"/>
    <w:rsid w:val="008E58B8"/>
    <w:rsid w:val="008E59BE"/>
    <w:rsid w:val="008E5C6E"/>
    <w:rsid w:val="008E5CC9"/>
    <w:rsid w:val="008E5CD1"/>
    <w:rsid w:val="008E5D87"/>
    <w:rsid w:val="008E5D9F"/>
    <w:rsid w:val="008E60AF"/>
    <w:rsid w:val="008E6164"/>
    <w:rsid w:val="008E6197"/>
    <w:rsid w:val="008E628C"/>
    <w:rsid w:val="008E649F"/>
    <w:rsid w:val="008E6571"/>
    <w:rsid w:val="008E674C"/>
    <w:rsid w:val="008E6B6F"/>
    <w:rsid w:val="008E6F6A"/>
    <w:rsid w:val="008E6FD1"/>
    <w:rsid w:val="008E708A"/>
    <w:rsid w:val="008E7404"/>
    <w:rsid w:val="008E771E"/>
    <w:rsid w:val="008E773D"/>
    <w:rsid w:val="008E7753"/>
    <w:rsid w:val="008E78F0"/>
    <w:rsid w:val="008E7C92"/>
    <w:rsid w:val="008F01BB"/>
    <w:rsid w:val="008F0262"/>
    <w:rsid w:val="008F04F0"/>
    <w:rsid w:val="008F062E"/>
    <w:rsid w:val="008F07F2"/>
    <w:rsid w:val="008F088A"/>
    <w:rsid w:val="008F09EB"/>
    <w:rsid w:val="008F0B37"/>
    <w:rsid w:val="008F0C0C"/>
    <w:rsid w:val="008F0C0E"/>
    <w:rsid w:val="008F0C7A"/>
    <w:rsid w:val="008F0CCA"/>
    <w:rsid w:val="008F0D37"/>
    <w:rsid w:val="008F0DB7"/>
    <w:rsid w:val="008F0F6E"/>
    <w:rsid w:val="008F10A2"/>
    <w:rsid w:val="008F119A"/>
    <w:rsid w:val="008F11F4"/>
    <w:rsid w:val="008F12D0"/>
    <w:rsid w:val="008F1482"/>
    <w:rsid w:val="008F150E"/>
    <w:rsid w:val="008F170F"/>
    <w:rsid w:val="008F1A75"/>
    <w:rsid w:val="008F1AC1"/>
    <w:rsid w:val="008F1AC7"/>
    <w:rsid w:val="008F1C0F"/>
    <w:rsid w:val="008F1C3E"/>
    <w:rsid w:val="008F1D3E"/>
    <w:rsid w:val="008F2159"/>
    <w:rsid w:val="008F2234"/>
    <w:rsid w:val="008F2299"/>
    <w:rsid w:val="008F2809"/>
    <w:rsid w:val="008F291B"/>
    <w:rsid w:val="008F2BBE"/>
    <w:rsid w:val="008F2DE6"/>
    <w:rsid w:val="008F306F"/>
    <w:rsid w:val="008F312E"/>
    <w:rsid w:val="008F32FE"/>
    <w:rsid w:val="008F36FB"/>
    <w:rsid w:val="008F3704"/>
    <w:rsid w:val="008F37A2"/>
    <w:rsid w:val="008F382B"/>
    <w:rsid w:val="008F3A72"/>
    <w:rsid w:val="008F3A8A"/>
    <w:rsid w:val="008F3D5B"/>
    <w:rsid w:val="008F3F0E"/>
    <w:rsid w:val="008F4038"/>
    <w:rsid w:val="008F4081"/>
    <w:rsid w:val="008F431D"/>
    <w:rsid w:val="008F4400"/>
    <w:rsid w:val="008F4525"/>
    <w:rsid w:val="008F4529"/>
    <w:rsid w:val="008F459E"/>
    <w:rsid w:val="008F45BD"/>
    <w:rsid w:val="008F45DB"/>
    <w:rsid w:val="008F461B"/>
    <w:rsid w:val="008F46A2"/>
    <w:rsid w:val="008F46F2"/>
    <w:rsid w:val="008F481B"/>
    <w:rsid w:val="008F4E4D"/>
    <w:rsid w:val="008F5124"/>
    <w:rsid w:val="008F52FA"/>
    <w:rsid w:val="008F536F"/>
    <w:rsid w:val="008F543E"/>
    <w:rsid w:val="008F556C"/>
    <w:rsid w:val="008F585D"/>
    <w:rsid w:val="008F5945"/>
    <w:rsid w:val="008F5958"/>
    <w:rsid w:val="008F5B23"/>
    <w:rsid w:val="008F5B2C"/>
    <w:rsid w:val="008F5D4F"/>
    <w:rsid w:val="008F5E39"/>
    <w:rsid w:val="008F610B"/>
    <w:rsid w:val="008F624E"/>
    <w:rsid w:val="008F655E"/>
    <w:rsid w:val="008F66EC"/>
    <w:rsid w:val="008F6738"/>
    <w:rsid w:val="008F673A"/>
    <w:rsid w:val="008F6827"/>
    <w:rsid w:val="008F6868"/>
    <w:rsid w:val="008F6B56"/>
    <w:rsid w:val="008F6B9D"/>
    <w:rsid w:val="008F6C4B"/>
    <w:rsid w:val="008F6C8A"/>
    <w:rsid w:val="008F6CB4"/>
    <w:rsid w:val="008F6E7C"/>
    <w:rsid w:val="008F6F42"/>
    <w:rsid w:val="008F6F51"/>
    <w:rsid w:val="008F6F92"/>
    <w:rsid w:val="008F70C1"/>
    <w:rsid w:val="008F7118"/>
    <w:rsid w:val="008F716D"/>
    <w:rsid w:val="008F758D"/>
    <w:rsid w:val="008F7757"/>
    <w:rsid w:val="008F7964"/>
    <w:rsid w:val="008F7A57"/>
    <w:rsid w:val="008F7AA4"/>
    <w:rsid w:val="008F7ED4"/>
    <w:rsid w:val="008F7F2D"/>
    <w:rsid w:val="008F7FA7"/>
    <w:rsid w:val="008F7FE4"/>
    <w:rsid w:val="009002C2"/>
    <w:rsid w:val="00900670"/>
    <w:rsid w:val="009008F2"/>
    <w:rsid w:val="00900B2E"/>
    <w:rsid w:val="00900DBD"/>
    <w:rsid w:val="00901308"/>
    <w:rsid w:val="0090130F"/>
    <w:rsid w:val="0090136A"/>
    <w:rsid w:val="009013B4"/>
    <w:rsid w:val="0090165F"/>
    <w:rsid w:val="009017B1"/>
    <w:rsid w:val="00901B82"/>
    <w:rsid w:val="00901BBA"/>
    <w:rsid w:val="00901C72"/>
    <w:rsid w:val="00901E14"/>
    <w:rsid w:val="00902098"/>
    <w:rsid w:val="0090215A"/>
    <w:rsid w:val="009021A9"/>
    <w:rsid w:val="00902322"/>
    <w:rsid w:val="00902344"/>
    <w:rsid w:val="009023CB"/>
    <w:rsid w:val="00902478"/>
    <w:rsid w:val="0090270F"/>
    <w:rsid w:val="0090272C"/>
    <w:rsid w:val="0090272D"/>
    <w:rsid w:val="00902A3B"/>
    <w:rsid w:val="00902A77"/>
    <w:rsid w:val="00902B44"/>
    <w:rsid w:val="00902EC3"/>
    <w:rsid w:val="00902ECA"/>
    <w:rsid w:val="00902FE0"/>
    <w:rsid w:val="0090312F"/>
    <w:rsid w:val="009031B7"/>
    <w:rsid w:val="009032CC"/>
    <w:rsid w:val="0090334C"/>
    <w:rsid w:val="00903547"/>
    <w:rsid w:val="009036B0"/>
    <w:rsid w:val="00903739"/>
    <w:rsid w:val="00903802"/>
    <w:rsid w:val="00903840"/>
    <w:rsid w:val="0090386E"/>
    <w:rsid w:val="009039BD"/>
    <w:rsid w:val="00903AE1"/>
    <w:rsid w:val="00903B9A"/>
    <w:rsid w:val="00903D4F"/>
    <w:rsid w:val="00903D6B"/>
    <w:rsid w:val="00903DD7"/>
    <w:rsid w:val="00903DE3"/>
    <w:rsid w:val="00903DFB"/>
    <w:rsid w:val="00903F08"/>
    <w:rsid w:val="00903F34"/>
    <w:rsid w:val="00903FE7"/>
    <w:rsid w:val="00904110"/>
    <w:rsid w:val="00904187"/>
    <w:rsid w:val="009041F5"/>
    <w:rsid w:val="0090422B"/>
    <w:rsid w:val="009043A0"/>
    <w:rsid w:val="0090440E"/>
    <w:rsid w:val="0090455C"/>
    <w:rsid w:val="00904635"/>
    <w:rsid w:val="00904696"/>
    <w:rsid w:val="00904831"/>
    <w:rsid w:val="00904E9B"/>
    <w:rsid w:val="00904EFF"/>
    <w:rsid w:val="00904F77"/>
    <w:rsid w:val="00905170"/>
    <w:rsid w:val="0090526C"/>
    <w:rsid w:val="0090527A"/>
    <w:rsid w:val="009053A2"/>
    <w:rsid w:val="009054DE"/>
    <w:rsid w:val="009057B7"/>
    <w:rsid w:val="00905833"/>
    <w:rsid w:val="009058F5"/>
    <w:rsid w:val="00905BDC"/>
    <w:rsid w:val="00905D4E"/>
    <w:rsid w:val="00905FD6"/>
    <w:rsid w:val="0090620B"/>
    <w:rsid w:val="009062EE"/>
    <w:rsid w:val="00906353"/>
    <w:rsid w:val="00906376"/>
    <w:rsid w:val="009065C9"/>
    <w:rsid w:val="0090666C"/>
    <w:rsid w:val="009066B2"/>
    <w:rsid w:val="00906D94"/>
    <w:rsid w:val="00906DDE"/>
    <w:rsid w:val="00906EB5"/>
    <w:rsid w:val="00906EF3"/>
    <w:rsid w:val="00906F35"/>
    <w:rsid w:val="00906FC3"/>
    <w:rsid w:val="00907079"/>
    <w:rsid w:val="009074F6"/>
    <w:rsid w:val="00907640"/>
    <w:rsid w:val="00907700"/>
    <w:rsid w:val="00907784"/>
    <w:rsid w:val="009079CD"/>
    <w:rsid w:val="00907B63"/>
    <w:rsid w:val="00907D4B"/>
    <w:rsid w:val="00907E2C"/>
    <w:rsid w:val="00907E45"/>
    <w:rsid w:val="00907F1A"/>
    <w:rsid w:val="00910201"/>
    <w:rsid w:val="0091020C"/>
    <w:rsid w:val="009102E4"/>
    <w:rsid w:val="0091037A"/>
    <w:rsid w:val="009105B1"/>
    <w:rsid w:val="009106E1"/>
    <w:rsid w:val="009107DE"/>
    <w:rsid w:val="00910817"/>
    <w:rsid w:val="009108ED"/>
    <w:rsid w:val="00910971"/>
    <w:rsid w:val="00910A5E"/>
    <w:rsid w:val="00911141"/>
    <w:rsid w:val="009111D6"/>
    <w:rsid w:val="00911442"/>
    <w:rsid w:val="00911514"/>
    <w:rsid w:val="009115E3"/>
    <w:rsid w:val="009115E4"/>
    <w:rsid w:val="009116AE"/>
    <w:rsid w:val="009117FD"/>
    <w:rsid w:val="00911ABE"/>
    <w:rsid w:val="00911C0F"/>
    <w:rsid w:val="00911D4E"/>
    <w:rsid w:val="00911D50"/>
    <w:rsid w:val="00911E25"/>
    <w:rsid w:val="00911E6E"/>
    <w:rsid w:val="00911F8C"/>
    <w:rsid w:val="009121B1"/>
    <w:rsid w:val="009122C5"/>
    <w:rsid w:val="00912603"/>
    <w:rsid w:val="00912B09"/>
    <w:rsid w:val="00912B0B"/>
    <w:rsid w:val="009130C9"/>
    <w:rsid w:val="009130D1"/>
    <w:rsid w:val="00913287"/>
    <w:rsid w:val="009133D7"/>
    <w:rsid w:val="00913586"/>
    <w:rsid w:val="00913639"/>
    <w:rsid w:val="00913A1A"/>
    <w:rsid w:val="00913A37"/>
    <w:rsid w:val="00913B5A"/>
    <w:rsid w:val="00913BB9"/>
    <w:rsid w:val="00913CD5"/>
    <w:rsid w:val="00913F0E"/>
    <w:rsid w:val="00913F66"/>
    <w:rsid w:val="00914118"/>
    <w:rsid w:val="00914316"/>
    <w:rsid w:val="0091435B"/>
    <w:rsid w:val="0091454C"/>
    <w:rsid w:val="00914583"/>
    <w:rsid w:val="009149D4"/>
    <w:rsid w:val="00914A94"/>
    <w:rsid w:val="00914C72"/>
    <w:rsid w:val="00914CAE"/>
    <w:rsid w:val="00914CB1"/>
    <w:rsid w:val="00914CBE"/>
    <w:rsid w:val="00914F97"/>
    <w:rsid w:val="0091509C"/>
    <w:rsid w:val="0091511B"/>
    <w:rsid w:val="0091523A"/>
    <w:rsid w:val="009152B5"/>
    <w:rsid w:val="00915338"/>
    <w:rsid w:val="0091555B"/>
    <w:rsid w:val="00915734"/>
    <w:rsid w:val="009157F6"/>
    <w:rsid w:val="009158F5"/>
    <w:rsid w:val="00915943"/>
    <w:rsid w:val="009159DE"/>
    <w:rsid w:val="00915A10"/>
    <w:rsid w:val="00915B05"/>
    <w:rsid w:val="00915EB6"/>
    <w:rsid w:val="00915ED7"/>
    <w:rsid w:val="009160A2"/>
    <w:rsid w:val="00916171"/>
    <w:rsid w:val="0091630B"/>
    <w:rsid w:val="00916DB9"/>
    <w:rsid w:val="00916E5D"/>
    <w:rsid w:val="00916E6C"/>
    <w:rsid w:val="00917037"/>
    <w:rsid w:val="009170AE"/>
    <w:rsid w:val="00917709"/>
    <w:rsid w:val="0091788B"/>
    <w:rsid w:val="0091791D"/>
    <w:rsid w:val="0091795B"/>
    <w:rsid w:val="009179E0"/>
    <w:rsid w:val="00917BF0"/>
    <w:rsid w:val="0092006A"/>
    <w:rsid w:val="0092055E"/>
    <w:rsid w:val="00920605"/>
    <w:rsid w:val="00920A40"/>
    <w:rsid w:val="00920CDE"/>
    <w:rsid w:val="00920DAD"/>
    <w:rsid w:val="00920E62"/>
    <w:rsid w:val="00920EEA"/>
    <w:rsid w:val="00920F7B"/>
    <w:rsid w:val="00920F82"/>
    <w:rsid w:val="00921141"/>
    <w:rsid w:val="009211B7"/>
    <w:rsid w:val="009211ED"/>
    <w:rsid w:val="00921323"/>
    <w:rsid w:val="00921341"/>
    <w:rsid w:val="009214D7"/>
    <w:rsid w:val="009215F5"/>
    <w:rsid w:val="00921604"/>
    <w:rsid w:val="009219D5"/>
    <w:rsid w:val="00921AD3"/>
    <w:rsid w:val="00921AEA"/>
    <w:rsid w:val="00921AF1"/>
    <w:rsid w:val="00921B40"/>
    <w:rsid w:val="00921F21"/>
    <w:rsid w:val="00921F85"/>
    <w:rsid w:val="0092217D"/>
    <w:rsid w:val="00922323"/>
    <w:rsid w:val="00922422"/>
    <w:rsid w:val="00922554"/>
    <w:rsid w:val="0092256E"/>
    <w:rsid w:val="00922A86"/>
    <w:rsid w:val="00922C16"/>
    <w:rsid w:val="009230B8"/>
    <w:rsid w:val="00923104"/>
    <w:rsid w:val="00923121"/>
    <w:rsid w:val="009231BB"/>
    <w:rsid w:val="00923363"/>
    <w:rsid w:val="00923693"/>
    <w:rsid w:val="009239C2"/>
    <w:rsid w:val="00923A8B"/>
    <w:rsid w:val="00923AFF"/>
    <w:rsid w:val="00923C04"/>
    <w:rsid w:val="00923CA0"/>
    <w:rsid w:val="00923E6E"/>
    <w:rsid w:val="0092406C"/>
    <w:rsid w:val="009242A3"/>
    <w:rsid w:val="0092442E"/>
    <w:rsid w:val="00924583"/>
    <w:rsid w:val="0092474E"/>
    <w:rsid w:val="0092475F"/>
    <w:rsid w:val="0092496E"/>
    <w:rsid w:val="00924A62"/>
    <w:rsid w:val="00924CAB"/>
    <w:rsid w:val="00924CC1"/>
    <w:rsid w:val="00924FD1"/>
    <w:rsid w:val="00924FE2"/>
    <w:rsid w:val="0092505D"/>
    <w:rsid w:val="009253E2"/>
    <w:rsid w:val="00925511"/>
    <w:rsid w:val="00925649"/>
    <w:rsid w:val="009257E1"/>
    <w:rsid w:val="00925887"/>
    <w:rsid w:val="009258B7"/>
    <w:rsid w:val="0092592E"/>
    <w:rsid w:val="00925ACB"/>
    <w:rsid w:val="00925BFD"/>
    <w:rsid w:val="00925D77"/>
    <w:rsid w:val="0092600B"/>
    <w:rsid w:val="009260BC"/>
    <w:rsid w:val="0092625E"/>
    <w:rsid w:val="009263BD"/>
    <w:rsid w:val="009263BE"/>
    <w:rsid w:val="00926409"/>
    <w:rsid w:val="00926425"/>
    <w:rsid w:val="009264BD"/>
    <w:rsid w:val="009265EB"/>
    <w:rsid w:val="00926701"/>
    <w:rsid w:val="009267EF"/>
    <w:rsid w:val="00926A75"/>
    <w:rsid w:val="00926B0A"/>
    <w:rsid w:val="00926CDF"/>
    <w:rsid w:val="00926D9F"/>
    <w:rsid w:val="00926EA1"/>
    <w:rsid w:val="00926F2F"/>
    <w:rsid w:val="00926F46"/>
    <w:rsid w:val="00926FB6"/>
    <w:rsid w:val="009270C9"/>
    <w:rsid w:val="00927264"/>
    <w:rsid w:val="00927369"/>
    <w:rsid w:val="009273A2"/>
    <w:rsid w:val="009276BC"/>
    <w:rsid w:val="009277DC"/>
    <w:rsid w:val="009277FD"/>
    <w:rsid w:val="00927892"/>
    <w:rsid w:val="00927D43"/>
    <w:rsid w:val="00927D6A"/>
    <w:rsid w:val="00927D95"/>
    <w:rsid w:val="00927EBA"/>
    <w:rsid w:val="00927F12"/>
    <w:rsid w:val="009300E7"/>
    <w:rsid w:val="0093027E"/>
    <w:rsid w:val="00930499"/>
    <w:rsid w:val="00930602"/>
    <w:rsid w:val="00930868"/>
    <w:rsid w:val="0093091B"/>
    <w:rsid w:val="00930A1D"/>
    <w:rsid w:val="00930B01"/>
    <w:rsid w:val="00930E3E"/>
    <w:rsid w:val="00930F44"/>
    <w:rsid w:val="00930F77"/>
    <w:rsid w:val="00930FB0"/>
    <w:rsid w:val="009310A9"/>
    <w:rsid w:val="009313D7"/>
    <w:rsid w:val="00931484"/>
    <w:rsid w:val="009314AD"/>
    <w:rsid w:val="009316FD"/>
    <w:rsid w:val="00931782"/>
    <w:rsid w:val="009318F4"/>
    <w:rsid w:val="00931D3D"/>
    <w:rsid w:val="00931E3A"/>
    <w:rsid w:val="00931EFB"/>
    <w:rsid w:val="00932194"/>
    <w:rsid w:val="009321F5"/>
    <w:rsid w:val="00932363"/>
    <w:rsid w:val="0093257D"/>
    <w:rsid w:val="009325C4"/>
    <w:rsid w:val="00932638"/>
    <w:rsid w:val="009326A4"/>
    <w:rsid w:val="00932730"/>
    <w:rsid w:val="009328B2"/>
    <w:rsid w:val="00932A55"/>
    <w:rsid w:val="00932AB5"/>
    <w:rsid w:val="00932DE6"/>
    <w:rsid w:val="00932E0F"/>
    <w:rsid w:val="00932E51"/>
    <w:rsid w:val="00932F67"/>
    <w:rsid w:val="0093304C"/>
    <w:rsid w:val="009330C2"/>
    <w:rsid w:val="00933189"/>
    <w:rsid w:val="0093350C"/>
    <w:rsid w:val="00933539"/>
    <w:rsid w:val="00933557"/>
    <w:rsid w:val="009335F7"/>
    <w:rsid w:val="0093378B"/>
    <w:rsid w:val="009337EF"/>
    <w:rsid w:val="00933918"/>
    <w:rsid w:val="00933966"/>
    <w:rsid w:val="009339C8"/>
    <w:rsid w:val="00933D91"/>
    <w:rsid w:val="00933D9A"/>
    <w:rsid w:val="00933DD0"/>
    <w:rsid w:val="00933FFB"/>
    <w:rsid w:val="00934019"/>
    <w:rsid w:val="009340A1"/>
    <w:rsid w:val="009340E3"/>
    <w:rsid w:val="0093425B"/>
    <w:rsid w:val="009343F4"/>
    <w:rsid w:val="00934463"/>
    <w:rsid w:val="00934530"/>
    <w:rsid w:val="009346B8"/>
    <w:rsid w:val="0093471B"/>
    <w:rsid w:val="0093479A"/>
    <w:rsid w:val="0093481A"/>
    <w:rsid w:val="0093484A"/>
    <w:rsid w:val="00934AA1"/>
    <w:rsid w:val="00934ADC"/>
    <w:rsid w:val="00934C57"/>
    <w:rsid w:val="00934D62"/>
    <w:rsid w:val="00934E5F"/>
    <w:rsid w:val="00934F7C"/>
    <w:rsid w:val="00935055"/>
    <w:rsid w:val="00935157"/>
    <w:rsid w:val="00935163"/>
    <w:rsid w:val="00935215"/>
    <w:rsid w:val="00935370"/>
    <w:rsid w:val="0093553D"/>
    <w:rsid w:val="009357B6"/>
    <w:rsid w:val="00935A39"/>
    <w:rsid w:val="00935A51"/>
    <w:rsid w:val="00935AFA"/>
    <w:rsid w:val="00935B02"/>
    <w:rsid w:val="00935E58"/>
    <w:rsid w:val="00935E9B"/>
    <w:rsid w:val="00935F48"/>
    <w:rsid w:val="00935FEC"/>
    <w:rsid w:val="00936017"/>
    <w:rsid w:val="00936247"/>
    <w:rsid w:val="00936285"/>
    <w:rsid w:val="00936288"/>
    <w:rsid w:val="009362D5"/>
    <w:rsid w:val="00936425"/>
    <w:rsid w:val="00936940"/>
    <w:rsid w:val="00936A56"/>
    <w:rsid w:val="00936ADD"/>
    <w:rsid w:val="00936C4E"/>
    <w:rsid w:val="00936C52"/>
    <w:rsid w:val="00936C82"/>
    <w:rsid w:val="00936CDE"/>
    <w:rsid w:val="00936DA3"/>
    <w:rsid w:val="00936E54"/>
    <w:rsid w:val="00936E80"/>
    <w:rsid w:val="00936FA1"/>
    <w:rsid w:val="00937029"/>
    <w:rsid w:val="00937132"/>
    <w:rsid w:val="00937172"/>
    <w:rsid w:val="009372AE"/>
    <w:rsid w:val="00937450"/>
    <w:rsid w:val="009375E3"/>
    <w:rsid w:val="009375FE"/>
    <w:rsid w:val="00937704"/>
    <w:rsid w:val="00937795"/>
    <w:rsid w:val="00937809"/>
    <w:rsid w:val="00937844"/>
    <w:rsid w:val="00937C27"/>
    <w:rsid w:val="00937D2A"/>
    <w:rsid w:val="00937DAF"/>
    <w:rsid w:val="00940035"/>
    <w:rsid w:val="009400F5"/>
    <w:rsid w:val="009401EA"/>
    <w:rsid w:val="0094031C"/>
    <w:rsid w:val="00940379"/>
    <w:rsid w:val="0094043C"/>
    <w:rsid w:val="00940595"/>
    <w:rsid w:val="0094068B"/>
    <w:rsid w:val="0094084D"/>
    <w:rsid w:val="00940B1C"/>
    <w:rsid w:val="00940BFA"/>
    <w:rsid w:val="00940C2D"/>
    <w:rsid w:val="00940E8E"/>
    <w:rsid w:val="00940F57"/>
    <w:rsid w:val="009411A6"/>
    <w:rsid w:val="00941233"/>
    <w:rsid w:val="00941404"/>
    <w:rsid w:val="00941492"/>
    <w:rsid w:val="009415DE"/>
    <w:rsid w:val="0094181C"/>
    <w:rsid w:val="009418B1"/>
    <w:rsid w:val="00941971"/>
    <w:rsid w:val="00941B15"/>
    <w:rsid w:val="00941BD3"/>
    <w:rsid w:val="00941EA9"/>
    <w:rsid w:val="0094209D"/>
    <w:rsid w:val="00942270"/>
    <w:rsid w:val="009422CE"/>
    <w:rsid w:val="009422D8"/>
    <w:rsid w:val="0094254F"/>
    <w:rsid w:val="009427DF"/>
    <w:rsid w:val="00942811"/>
    <w:rsid w:val="00942819"/>
    <w:rsid w:val="009428E6"/>
    <w:rsid w:val="00942F7B"/>
    <w:rsid w:val="00943164"/>
    <w:rsid w:val="009432CF"/>
    <w:rsid w:val="00943592"/>
    <w:rsid w:val="009436EB"/>
    <w:rsid w:val="009436F2"/>
    <w:rsid w:val="00943953"/>
    <w:rsid w:val="00943F46"/>
    <w:rsid w:val="00944155"/>
    <w:rsid w:val="00944295"/>
    <w:rsid w:val="00944375"/>
    <w:rsid w:val="009443AB"/>
    <w:rsid w:val="009443D4"/>
    <w:rsid w:val="00944505"/>
    <w:rsid w:val="0094452B"/>
    <w:rsid w:val="009446BF"/>
    <w:rsid w:val="00944743"/>
    <w:rsid w:val="0094484C"/>
    <w:rsid w:val="009448E3"/>
    <w:rsid w:val="009449ED"/>
    <w:rsid w:val="00944A08"/>
    <w:rsid w:val="00944CA4"/>
    <w:rsid w:val="00944FF1"/>
    <w:rsid w:val="009453A0"/>
    <w:rsid w:val="00945773"/>
    <w:rsid w:val="009458D8"/>
    <w:rsid w:val="00945B67"/>
    <w:rsid w:val="00945B78"/>
    <w:rsid w:val="00945BA9"/>
    <w:rsid w:val="00945BDE"/>
    <w:rsid w:val="00945D87"/>
    <w:rsid w:val="00945D91"/>
    <w:rsid w:val="00945D94"/>
    <w:rsid w:val="00945DD5"/>
    <w:rsid w:val="00945EFE"/>
    <w:rsid w:val="00945F2E"/>
    <w:rsid w:val="009460AC"/>
    <w:rsid w:val="009461D9"/>
    <w:rsid w:val="00946214"/>
    <w:rsid w:val="00946249"/>
    <w:rsid w:val="00946255"/>
    <w:rsid w:val="00946397"/>
    <w:rsid w:val="009464E6"/>
    <w:rsid w:val="009464F4"/>
    <w:rsid w:val="00946662"/>
    <w:rsid w:val="00946690"/>
    <w:rsid w:val="009466BF"/>
    <w:rsid w:val="00946745"/>
    <w:rsid w:val="009467A3"/>
    <w:rsid w:val="009469FE"/>
    <w:rsid w:val="00946A41"/>
    <w:rsid w:val="00946C63"/>
    <w:rsid w:val="00946D89"/>
    <w:rsid w:val="00946D9D"/>
    <w:rsid w:val="00946E37"/>
    <w:rsid w:val="00946EB0"/>
    <w:rsid w:val="00946FBE"/>
    <w:rsid w:val="00946FE5"/>
    <w:rsid w:val="009471FF"/>
    <w:rsid w:val="009472C7"/>
    <w:rsid w:val="009473F0"/>
    <w:rsid w:val="0094754A"/>
    <w:rsid w:val="00947771"/>
    <w:rsid w:val="009478D0"/>
    <w:rsid w:val="009479A8"/>
    <w:rsid w:val="00947ACD"/>
    <w:rsid w:val="00947BD8"/>
    <w:rsid w:val="00947CE5"/>
    <w:rsid w:val="00947D83"/>
    <w:rsid w:val="00947D8C"/>
    <w:rsid w:val="00947F03"/>
    <w:rsid w:val="00947F0D"/>
    <w:rsid w:val="00947FDC"/>
    <w:rsid w:val="009500F7"/>
    <w:rsid w:val="00950155"/>
    <w:rsid w:val="009502B8"/>
    <w:rsid w:val="0095035E"/>
    <w:rsid w:val="009503CA"/>
    <w:rsid w:val="00950439"/>
    <w:rsid w:val="009505A0"/>
    <w:rsid w:val="00950677"/>
    <w:rsid w:val="00950A14"/>
    <w:rsid w:val="00950A67"/>
    <w:rsid w:val="00950BEF"/>
    <w:rsid w:val="00950C03"/>
    <w:rsid w:val="00950C8A"/>
    <w:rsid w:val="00950FDD"/>
    <w:rsid w:val="009510CD"/>
    <w:rsid w:val="009510D0"/>
    <w:rsid w:val="0095114A"/>
    <w:rsid w:val="009511A3"/>
    <w:rsid w:val="009512A0"/>
    <w:rsid w:val="0095142F"/>
    <w:rsid w:val="009514A2"/>
    <w:rsid w:val="009514F9"/>
    <w:rsid w:val="00951B93"/>
    <w:rsid w:val="00951D48"/>
    <w:rsid w:val="00951DFA"/>
    <w:rsid w:val="00952026"/>
    <w:rsid w:val="009520FC"/>
    <w:rsid w:val="009521BF"/>
    <w:rsid w:val="00952272"/>
    <w:rsid w:val="009525BB"/>
    <w:rsid w:val="00952696"/>
    <w:rsid w:val="009527BE"/>
    <w:rsid w:val="009527FE"/>
    <w:rsid w:val="009528FB"/>
    <w:rsid w:val="00952A38"/>
    <w:rsid w:val="00952AF0"/>
    <w:rsid w:val="00952B84"/>
    <w:rsid w:val="00952DC6"/>
    <w:rsid w:val="00952FC9"/>
    <w:rsid w:val="00953078"/>
    <w:rsid w:val="0095311F"/>
    <w:rsid w:val="00953472"/>
    <w:rsid w:val="009534E4"/>
    <w:rsid w:val="00953529"/>
    <w:rsid w:val="00953662"/>
    <w:rsid w:val="00953832"/>
    <w:rsid w:val="0095388D"/>
    <w:rsid w:val="00953B0E"/>
    <w:rsid w:val="00953C39"/>
    <w:rsid w:val="00953C8B"/>
    <w:rsid w:val="00953D4A"/>
    <w:rsid w:val="00953F26"/>
    <w:rsid w:val="009541DE"/>
    <w:rsid w:val="00954318"/>
    <w:rsid w:val="00954453"/>
    <w:rsid w:val="009546F4"/>
    <w:rsid w:val="00954746"/>
    <w:rsid w:val="009548D3"/>
    <w:rsid w:val="00954B59"/>
    <w:rsid w:val="00954BC5"/>
    <w:rsid w:val="00954CC1"/>
    <w:rsid w:val="00954DFD"/>
    <w:rsid w:val="00954E12"/>
    <w:rsid w:val="0095528D"/>
    <w:rsid w:val="009553E4"/>
    <w:rsid w:val="0095544E"/>
    <w:rsid w:val="00955746"/>
    <w:rsid w:val="00955861"/>
    <w:rsid w:val="009558F2"/>
    <w:rsid w:val="00955958"/>
    <w:rsid w:val="00955ADC"/>
    <w:rsid w:val="00955B08"/>
    <w:rsid w:val="00955C42"/>
    <w:rsid w:val="00955E27"/>
    <w:rsid w:val="00955E7D"/>
    <w:rsid w:val="009560B5"/>
    <w:rsid w:val="00956108"/>
    <w:rsid w:val="009562B5"/>
    <w:rsid w:val="009563AF"/>
    <w:rsid w:val="009563FE"/>
    <w:rsid w:val="009564C9"/>
    <w:rsid w:val="0095675E"/>
    <w:rsid w:val="00956872"/>
    <w:rsid w:val="00956A3D"/>
    <w:rsid w:val="00956BE1"/>
    <w:rsid w:val="00956D71"/>
    <w:rsid w:val="00956E6A"/>
    <w:rsid w:val="00956E92"/>
    <w:rsid w:val="00956EAF"/>
    <w:rsid w:val="00956ECC"/>
    <w:rsid w:val="00956FEA"/>
    <w:rsid w:val="00957044"/>
    <w:rsid w:val="0095720B"/>
    <w:rsid w:val="009572ED"/>
    <w:rsid w:val="00957705"/>
    <w:rsid w:val="0095770E"/>
    <w:rsid w:val="00957916"/>
    <w:rsid w:val="00957A9D"/>
    <w:rsid w:val="00957D16"/>
    <w:rsid w:val="00957D35"/>
    <w:rsid w:val="009601BC"/>
    <w:rsid w:val="0096036B"/>
    <w:rsid w:val="00960617"/>
    <w:rsid w:val="009606B3"/>
    <w:rsid w:val="009609B1"/>
    <w:rsid w:val="009609BC"/>
    <w:rsid w:val="00960B00"/>
    <w:rsid w:val="00960C64"/>
    <w:rsid w:val="00960CA1"/>
    <w:rsid w:val="00960EA9"/>
    <w:rsid w:val="00961018"/>
    <w:rsid w:val="00961046"/>
    <w:rsid w:val="009610DD"/>
    <w:rsid w:val="00961135"/>
    <w:rsid w:val="0096113B"/>
    <w:rsid w:val="00961233"/>
    <w:rsid w:val="0096127A"/>
    <w:rsid w:val="009612C3"/>
    <w:rsid w:val="00961675"/>
    <w:rsid w:val="009618A7"/>
    <w:rsid w:val="009618B6"/>
    <w:rsid w:val="009619C2"/>
    <w:rsid w:val="00961C4D"/>
    <w:rsid w:val="00961D9B"/>
    <w:rsid w:val="00961EB2"/>
    <w:rsid w:val="00961F80"/>
    <w:rsid w:val="00961FFB"/>
    <w:rsid w:val="0096218A"/>
    <w:rsid w:val="0096220B"/>
    <w:rsid w:val="00962653"/>
    <w:rsid w:val="0096274D"/>
    <w:rsid w:val="00962898"/>
    <w:rsid w:val="0096289D"/>
    <w:rsid w:val="009628B0"/>
    <w:rsid w:val="009628C8"/>
    <w:rsid w:val="0096293B"/>
    <w:rsid w:val="00962AA1"/>
    <w:rsid w:val="00962B8A"/>
    <w:rsid w:val="00962D9B"/>
    <w:rsid w:val="00962E83"/>
    <w:rsid w:val="00962F55"/>
    <w:rsid w:val="00962F92"/>
    <w:rsid w:val="00963269"/>
    <w:rsid w:val="0096332F"/>
    <w:rsid w:val="00963335"/>
    <w:rsid w:val="00963356"/>
    <w:rsid w:val="009634C8"/>
    <w:rsid w:val="00963527"/>
    <w:rsid w:val="009636A9"/>
    <w:rsid w:val="00963723"/>
    <w:rsid w:val="00963751"/>
    <w:rsid w:val="00963954"/>
    <w:rsid w:val="00963C0D"/>
    <w:rsid w:val="00963C54"/>
    <w:rsid w:val="00963C6D"/>
    <w:rsid w:val="00963C82"/>
    <w:rsid w:val="00963E24"/>
    <w:rsid w:val="009646EC"/>
    <w:rsid w:val="0096478E"/>
    <w:rsid w:val="009648F7"/>
    <w:rsid w:val="00964D61"/>
    <w:rsid w:val="00964E77"/>
    <w:rsid w:val="00964F27"/>
    <w:rsid w:val="00965193"/>
    <w:rsid w:val="009652FA"/>
    <w:rsid w:val="009655EA"/>
    <w:rsid w:val="0096564D"/>
    <w:rsid w:val="0096568B"/>
    <w:rsid w:val="009656C2"/>
    <w:rsid w:val="0096574C"/>
    <w:rsid w:val="009657EB"/>
    <w:rsid w:val="00965C26"/>
    <w:rsid w:val="00965D66"/>
    <w:rsid w:val="00965E79"/>
    <w:rsid w:val="00965F9D"/>
    <w:rsid w:val="0096624D"/>
    <w:rsid w:val="00966251"/>
    <w:rsid w:val="00966559"/>
    <w:rsid w:val="0096667A"/>
    <w:rsid w:val="009666EA"/>
    <w:rsid w:val="009667BE"/>
    <w:rsid w:val="009667F2"/>
    <w:rsid w:val="009668A5"/>
    <w:rsid w:val="009668DA"/>
    <w:rsid w:val="00966999"/>
    <w:rsid w:val="00966AD5"/>
    <w:rsid w:val="00966AE8"/>
    <w:rsid w:val="00966AF6"/>
    <w:rsid w:val="00966BBE"/>
    <w:rsid w:val="00966C2F"/>
    <w:rsid w:val="00966CBE"/>
    <w:rsid w:val="00966DC0"/>
    <w:rsid w:val="00966F1F"/>
    <w:rsid w:val="00966F85"/>
    <w:rsid w:val="009670AB"/>
    <w:rsid w:val="009671E6"/>
    <w:rsid w:val="0096721C"/>
    <w:rsid w:val="0096725C"/>
    <w:rsid w:val="0096726E"/>
    <w:rsid w:val="00967326"/>
    <w:rsid w:val="00967328"/>
    <w:rsid w:val="00967421"/>
    <w:rsid w:val="0096742A"/>
    <w:rsid w:val="00967438"/>
    <w:rsid w:val="00967499"/>
    <w:rsid w:val="009674B0"/>
    <w:rsid w:val="00967595"/>
    <w:rsid w:val="00967605"/>
    <w:rsid w:val="009677FC"/>
    <w:rsid w:val="0096783F"/>
    <w:rsid w:val="0096784E"/>
    <w:rsid w:val="0096785E"/>
    <w:rsid w:val="0096787B"/>
    <w:rsid w:val="0096799C"/>
    <w:rsid w:val="0096799F"/>
    <w:rsid w:val="00967AA3"/>
    <w:rsid w:val="00967C21"/>
    <w:rsid w:val="00967D0D"/>
    <w:rsid w:val="00967D25"/>
    <w:rsid w:val="00967D7E"/>
    <w:rsid w:val="00967F12"/>
    <w:rsid w:val="00967F81"/>
    <w:rsid w:val="0097008D"/>
    <w:rsid w:val="00970090"/>
    <w:rsid w:val="009700B0"/>
    <w:rsid w:val="00970182"/>
    <w:rsid w:val="009701FE"/>
    <w:rsid w:val="0097021E"/>
    <w:rsid w:val="00970302"/>
    <w:rsid w:val="00970314"/>
    <w:rsid w:val="00970329"/>
    <w:rsid w:val="00970398"/>
    <w:rsid w:val="00970859"/>
    <w:rsid w:val="009708A9"/>
    <w:rsid w:val="00970914"/>
    <w:rsid w:val="00970945"/>
    <w:rsid w:val="0097097F"/>
    <w:rsid w:val="009709A0"/>
    <w:rsid w:val="00970A35"/>
    <w:rsid w:val="00970D1E"/>
    <w:rsid w:val="00970E61"/>
    <w:rsid w:val="00970E78"/>
    <w:rsid w:val="00970EA4"/>
    <w:rsid w:val="00970EE1"/>
    <w:rsid w:val="00971021"/>
    <w:rsid w:val="0097112D"/>
    <w:rsid w:val="0097112E"/>
    <w:rsid w:val="00971194"/>
    <w:rsid w:val="0097129D"/>
    <w:rsid w:val="009714AD"/>
    <w:rsid w:val="009714D2"/>
    <w:rsid w:val="00971507"/>
    <w:rsid w:val="00971521"/>
    <w:rsid w:val="00971609"/>
    <w:rsid w:val="0097176C"/>
    <w:rsid w:val="00971787"/>
    <w:rsid w:val="0097189A"/>
    <w:rsid w:val="0097189B"/>
    <w:rsid w:val="00971961"/>
    <w:rsid w:val="0097198D"/>
    <w:rsid w:val="00971C8E"/>
    <w:rsid w:val="00971DB2"/>
    <w:rsid w:val="00971DBA"/>
    <w:rsid w:val="00971F15"/>
    <w:rsid w:val="009722B2"/>
    <w:rsid w:val="009723AB"/>
    <w:rsid w:val="009725E0"/>
    <w:rsid w:val="00972720"/>
    <w:rsid w:val="00972773"/>
    <w:rsid w:val="009728EA"/>
    <w:rsid w:val="00972921"/>
    <w:rsid w:val="00972AE6"/>
    <w:rsid w:val="00972EAB"/>
    <w:rsid w:val="00972F0B"/>
    <w:rsid w:val="00972FD5"/>
    <w:rsid w:val="00973017"/>
    <w:rsid w:val="0097321E"/>
    <w:rsid w:val="009732C6"/>
    <w:rsid w:val="00973463"/>
    <w:rsid w:val="00973478"/>
    <w:rsid w:val="00973626"/>
    <w:rsid w:val="009736D2"/>
    <w:rsid w:val="00973AED"/>
    <w:rsid w:val="00973B15"/>
    <w:rsid w:val="00973D03"/>
    <w:rsid w:val="00973DA8"/>
    <w:rsid w:val="00973F4F"/>
    <w:rsid w:val="00973FE8"/>
    <w:rsid w:val="00974025"/>
    <w:rsid w:val="0097413F"/>
    <w:rsid w:val="009741CD"/>
    <w:rsid w:val="009742F9"/>
    <w:rsid w:val="00974300"/>
    <w:rsid w:val="00974319"/>
    <w:rsid w:val="00974627"/>
    <w:rsid w:val="00974806"/>
    <w:rsid w:val="00974967"/>
    <w:rsid w:val="00974A0F"/>
    <w:rsid w:val="00974BA1"/>
    <w:rsid w:val="00974C4E"/>
    <w:rsid w:val="00974C98"/>
    <w:rsid w:val="0097512B"/>
    <w:rsid w:val="00975306"/>
    <w:rsid w:val="00975329"/>
    <w:rsid w:val="00975453"/>
    <w:rsid w:val="00975549"/>
    <w:rsid w:val="0097557C"/>
    <w:rsid w:val="00975611"/>
    <w:rsid w:val="009757ED"/>
    <w:rsid w:val="009759BC"/>
    <w:rsid w:val="00975A70"/>
    <w:rsid w:val="00975AD5"/>
    <w:rsid w:val="00975B91"/>
    <w:rsid w:val="00975C22"/>
    <w:rsid w:val="00975C60"/>
    <w:rsid w:val="00975C9B"/>
    <w:rsid w:val="00975E20"/>
    <w:rsid w:val="00975EBC"/>
    <w:rsid w:val="00975ED5"/>
    <w:rsid w:val="00975F4C"/>
    <w:rsid w:val="00975FA7"/>
    <w:rsid w:val="00975FD9"/>
    <w:rsid w:val="009760BD"/>
    <w:rsid w:val="0097625F"/>
    <w:rsid w:val="009763D6"/>
    <w:rsid w:val="009764BA"/>
    <w:rsid w:val="0097662E"/>
    <w:rsid w:val="009767D5"/>
    <w:rsid w:val="00976859"/>
    <w:rsid w:val="0097717C"/>
    <w:rsid w:val="00977423"/>
    <w:rsid w:val="009775DA"/>
    <w:rsid w:val="009775EF"/>
    <w:rsid w:val="0097778E"/>
    <w:rsid w:val="009777C7"/>
    <w:rsid w:val="0097783F"/>
    <w:rsid w:val="00977B2B"/>
    <w:rsid w:val="00977B6B"/>
    <w:rsid w:val="00977C2D"/>
    <w:rsid w:val="00977F57"/>
    <w:rsid w:val="00977F76"/>
    <w:rsid w:val="009800ED"/>
    <w:rsid w:val="009801B6"/>
    <w:rsid w:val="009801D5"/>
    <w:rsid w:val="00980417"/>
    <w:rsid w:val="0098053E"/>
    <w:rsid w:val="00980578"/>
    <w:rsid w:val="0098068F"/>
    <w:rsid w:val="009806A0"/>
    <w:rsid w:val="00980825"/>
    <w:rsid w:val="0098089B"/>
    <w:rsid w:val="0098092D"/>
    <w:rsid w:val="00980A17"/>
    <w:rsid w:val="00980B3B"/>
    <w:rsid w:val="00980DF3"/>
    <w:rsid w:val="0098128E"/>
    <w:rsid w:val="009813AA"/>
    <w:rsid w:val="009813C8"/>
    <w:rsid w:val="009813D8"/>
    <w:rsid w:val="00981519"/>
    <w:rsid w:val="00981660"/>
    <w:rsid w:val="009816C4"/>
    <w:rsid w:val="0098178B"/>
    <w:rsid w:val="00981904"/>
    <w:rsid w:val="0098193C"/>
    <w:rsid w:val="009819AE"/>
    <w:rsid w:val="00981B01"/>
    <w:rsid w:val="00981EBF"/>
    <w:rsid w:val="00981F35"/>
    <w:rsid w:val="009820B6"/>
    <w:rsid w:val="009821F8"/>
    <w:rsid w:val="009822F9"/>
    <w:rsid w:val="009823AF"/>
    <w:rsid w:val="009823D4"/>
    <w:rsid w:val="00982404"/>
    <w:rsid w:val="0098251E"/>
    <w:rsid w:val="00982710"/>
    <w:rsid w:val="0098273F"/>
    <w:rsid w:val="00982854"/>
    <w:rsid w:val="00982A05"/>
    <w:rsid w:val="00982A7F"/>
    <w:rsid w:val="00982AE7"/>
    <w:rsid w:val="00982D7F"/>
    <w:rsid w:val="00982DBF"/>
    <w:rsid w:val="00982E6D"/>
    <w:rsid w:val="00982F7D"/>
    <w:rsid w:val="00982FE2"/>
    <w:rsid w:val="009831B7"/>
    <w:rsid w:val="009832CF"/>
    <w:rsid w:val="009832D5"/>
    <w:rsid w:val="009837DA"/>
    <w:rsid w:val="0098389B"/>
    <w:rsid w:val="00983A92"/>
    <w:rsid w:val="00983A94"/>
    <w:rsid w:val="00983D36"/>
    <w:rsid w:val="00983DBA"/>
    <w:rsid w:val="00983E24"/>
    <w:rsid w:val="00983E58"/>
    <w:rsid w:val="00983ECF"/>
    <w:rsid w:val="00983FBE"/>
    <w:rsid w:val="009844B6"/>
    <w:rsid w:val="00984A25"/>
    <w:rsid w:val="00984BBE"/>
    <w:rsid w:val="00984BF0"/>
    <w:rsid w:val="00984BFF"/>
    <w:rsid w:val="00984C9E"/>
    <w:rsid w:val="00984C9F"/>
    <w:rsid w:val="00984D8D"/>
    <w:rsid w:val="00984E05"/>
    <w:rsid w:val="00984E53"/>
    <w:rsid w:val="00984F71"/>
    <w:rsid w:val="0098553C"/>
    <w:rsid w:val="009856EE"/>
    <w:rsid w:val="009857D9"/>
    <w:rsid w:val="00985885"/>
    <w:rsid w:val="009859AC"/>
    <w:rsid w:val="00985C4F"/>
    <w:rsid w:val="00985F39"/>
    <w:rsid w:val="00985FB8"/>
    <w:rsid w:val="00986042"/>
    <w:rsid w:val="00986143"/>
    <w:rsid w:val="0098629A"/>
    <w:rsid w:val="0098658B"/>
    <w:rsid w:val="009865AE"/>
    <w:rsid w:val="009865BA"/>
    <w:rsid w:val="009867A6"/>
    <w:rsid w:val="0098685D"/>
    <w:rsid w:val="00986883"/>
    <w:rsid w:val="0098696C"/>
    <w:rsid w:val="00986AC1"/>
    <w:rsid w:val="00986BAB"/>
    <w:rsid w:val="00986BAC"/>
    <w:rsid w:val="00986BD0"/>
    <w:rsid w:val="00986CE8"/>
    <w:rsid w:val="00986F65"/>
    <w:rsid w:val="009871D4"/>
    <w:rsid w:val="009872B9"/>
    <w:rsid w:val="009872CE"/>
    <w:rsid w:val="009873E1"/>
    <w:rsid w:val="00987609"/>
    <w:rsid w:val="009876AC"/>
    <w:rsid w:val="009876C0"/>
    <w:rsid w:val="0098779B"/>
    <w:rsid w:val="00987838"/>
    <w:rsid w:val="0098786F"/>
    <w:rsid w:val="009878CD"/>
    <w:rsid w:val="0098793C"/>
    <w:rsid w:val="00987A72"/>
    <w:rsid w:val="00987D6D"/>
    <w:rsid w:val="00987DF6"/>
    <w:rsid w:val="00987E55"/>
    <w:rsid w:val="00987E6B"/>
    <w:rsid w:val="00990184"/>
    <w:rsid w:val="009901A8"/>
    <w:rsid w:val="0099028A"/>
    <w:rsid w:val="00990466"/>
    <w:rsid w:val="00990484"/>
    <w:rsid w:val="0099069E"/>
    <w:rsid w:val="009907C9"/>
    <w:rsid w:val="009909E9"/>
    <w:rsid w:val="00990B81"/>
    <w:rsid w:val="00990DFE"/>
    <w:rsid w:val="00990EA6"/>
    <w:rsid w:val="00990ED8"/>
    <w:rsid w:val="00990FAC"/>
    <w:rsid w:val="00990FF7"/>
    <w:rsid w:val="0099100F"/>
    <w:rsid w:val="00991295"/>
    <w:rsid w:val="009913CA"/>
    <w:rsid w:val="009914A0"/>
    <w:rsid w:val="00991500"/>
    <w:rsid w:val="00991577"/>
    <w:rsid w:val="009915E7"/>
    <w:rsid w:val="00991668"/>
    <w:rsid w:val="00991680"/>
    <w:rsid w:val="0099177C"/>
    <w:rsid w:val="00991872"/>
    <w:rsid w:val="009918B0"/>
    <w:rsid w:val="009919DB"/>
    <w:rsid w:val="00991B46"/>
    <w:rsid w:val="00991F64"/>
    <w:rsid w:val="00992158"/>
    <w:rsid w:val="009921A2"/>
    <w:rsid w:val="009924FE"/>
    <w:rsid w:val="009926DD"/>
    <w:rsid w:val="00992827"/>
    <w:rsid w:val="0099284E"/>
    <w:rsid w:val="00992859"/>
    <w:rsid w:val="0099299C"/>
    <w:rsid w:val="00992B9C"/>
    <w:rsid w:val="00992BAF"/>
    <w:rsid w:val="00992BC9"/>
    <w:rsid w:val="00992CCD"/>
    <w:rsid w:val="00992CDA"/>
    <w:rsid w:val="00992D1E"/>
    <w:rsid w:val="00992F48"/>
    <w:rsid w:val="00993010"/>
    <w:rsid w:val="00993200"/>
    <w:rsid w:val="0099340E"/>
    <w:rsid w:val="009934BC"/>
    <w:rsid w:val="009935AC"/>
    <w:rsid w:val="009936E4"/>
    <w:rsid w:val="00993814"/>
    <w:rsid w:val="00993A6A"/>
    <w:rsid w:val="00993BE6"/>
    <w:rsid w:val="00993C01"/>
    <w:rsid w:val="00993E13"/>
    <w:rsid w:val="00993EAE"/>
    <w:rsid w:val="00993FD2"/>
    <w:rsid w:val="00994044"/>
    <w:rsid w:val="0099434D"/>
    <w:rsid w:val="009943DD"/>
    <w:rsid w:val="0099444D"/>
    <w:rsid w:val="009944A7"/>
    <w:rsid w:val="00994878"/>
    <w:rsid w:val="009948AC"/>
    <w:rsid w:val="009949AD"/>
    <w:rsid w:val="00994A77"/>
    <w:rsid w:val="00994D98"/>
    <w:rsid w:val="00994DE2"/>
    <w:rsid w:val="00994E2B"/>
    <w:rsid w:val="00994E8F"/>
    <w:rsid w:val="00994FEE"/>
    <w:rsid w:val="0099510C"/>
    <w:rsid w:val="00995140"/>
    <w:rsid w:val="0099516A"/>
    <w:rsid w:val="009951BF"/>
    <w:rsid w:val="009951CB"/>
    <w:rsid w:val="0099527B"/>
    <w:rsid w:val="00995280"/>
    <w:rsid w:val="009957D6"/>
    <w:rsid w:val="00995B61"/>
    <w:rsid w:val="00995B7C"/>
    <w:rsid w:val="00995B80"/>
    <w:rsid w:val="00995C36"/>
    <w:rsid w:val="00995D18"/>
    <w:rsid w:val="00995D7E"/>
    <w:rsid w:val="00995DE9"/>
    <w:rsid w:val="009960B7"/>
    <w:rsid w:val="00996223"/>
    <w:rsid w:val="009964D1"/>
    <w:rsid w:val="00996611"/>
    <w:rsid w:val="009966F7"/>
    <w:rsid w:val="009967AB"/>
    <w:rsid w:val="009968E9"/>
    <w:rsid w:val="009969E3"/>
    <w:rsid w:val="00996B52"/>
    <w:rsid w:val="00996C0C"/>
    <w:rsid w:val="00996F11"/>
    <w:rsid w:val="009970F7"/>
    <w:rsid w:val="00997300"/>
    <w:rsid w:val="009973BB"/>
    <w:rsid w:val="009976F4"/>
    <w:rsid w:val="00997890"/>
    <w:rsid w:val="00997A31"/>
    <w:rsid w:val="00997C62"/>
    <w:rsid w:val="00997E6F"/>
    <w:rsid w:val="00997EE9"/>
    <w:rsid w:val="009A0156"/>
    <w:rsid w:val="009A0188"/>
    <w:rsid w:val="009A01C7"/>
    <w:rsid w:val="009A041F"/>
    <w:rsid w:val="009A044E"/>
    <w:rsid w:val="009A0659"/>
    <w:rsid w:val="009A071D"/>
    <w:rsid w:val="009A094D"/>
    <w:rsid w:val="009A0B5E"/>
    <w:rsid w:val="009A0BA2"/>
    <w:rsid w:val="009A0BD6"/>
    <w:rsid w:val="009A0D9B"/>
    <w:rsid w:val="009A0E47"/>
    <w:rsid w:val="009A10D2"/>
    <w:rsid w:val="009A1259"/>
    <w:rsid w:val="009A15CE"/>
    <w:rsid w:val="009A1777"/>
    <w:rsid w:val="009A178B"/>
    <w:rsid w:val="009A1915"/>
    <w:rsid w:val="009A1B60"/>
    <w:rsid w:val="009A1C2F"/>
    <w:rsid w:val="009A1DBC"/>
    <w:rsid w:val="009A1EF6"/>
    <w:rsid w:val="009A1F70"/>
    <w:rsid w:val="009A1FE1"/>
    <w:rsid w:val="009A25E5"/>
    <w:rsid w:val="009A2785"/>
    <w:rsid w:val="009A28B5"/>
    <w:rsid w:val="009A290A"/>
    <w:rsid w:val="009A2A79"/>
    <w:rsid w:val="009A2AE1"/>
    <w:rsid w:val="009A2CCD"/>
    <w:rsid w:val="009A2DD3"/>
    <w:rsid w:val="009A2E91"/>
    <w:rsid w:val="009A2EF0"/>
    <w:rsid w:val="009A30A0"/>
    <w:rsid w:val="009A3684"/>
    <w:rsid w:val="009A3770"/>
    <w:rsid w:val="009A37F2"/>
    <w:rsid w:val="009A38FF"/>
    <w:rsid w:val="009A3A30"/>
    <w:rsid w:val="009A3C1B"/>
    <w:rsid w:val="009A3CDC"/>
    <w:rsid w:val="009A3F98"/>
    <w:rsid w:val="009A3FBF"/>
    <w:rsid w:val="009A3FD8"/>
    <w:rsid w:val="009A4026"/>
    <w:rsid w:val="009A4224"/>
    <w:rsid w:val="009A4239"/>
    <w:rsid w:val="009A4346"/>
    <w:rsid w:val="009A4394"/>
    <w:rsid w:val="009A4470"/>
    <w:rsid w:val="009A4510"/>
    <w:rsid w:val="009A452F"/>
    <w:rsid w:val="009A45C9"/>
    <w:rsid w:val="009A477C"/>
    <w:rsid w:val="009A4821"/>
    <w:rsid w:val="009A4984"/>
    <w:rsid w:val="009A49DC"/>
    <w:rsid w:val="009A49E2"/>
    <w:rsid w:val="009A4C58"/>
    <w:rsid w:val="009A502A"/>
    <w:rsid w:val="009A5063"/>
    <w:rsid w:val="009A510E"/>
    <w:rsid w:val="009A511F"/>
    <w:rsid w:val="009A51DE"/>
    <w:rsid w:val="009A53AF"/>
    <w:rsid w:val="009A541A"/>
    <w:rsid w:val="009A550B"/>
    <w:rsid w:val="009A58A7"/>
    <w:rsid w:val="009A5B75"/>
    <w:rsid w:val="009A5D51"/>
    <w:rsid w:val="009A5DA6"/>
    <w:rsid w:val="009A5EEF"/>
    <w:rsid w:val="009A61F3"/>
    <w:rsid w:val="009A645A"/>
    <w:rsid w:val="009A667D"/>
    <w:rsid w:val="009A67E4"/>
    <w:rsid w:val="009A68D9"/>
    <w:rsid w:val="009A6933"/>
    <w:rsid w:val="009A6CDB"/>
    <w:rsid w:val="009A6DA9"/>
    <w:rsid w:val="009A71E6"/>
    <w:rsid w:val="009A7881"/>
    <w:rsid w:val="009A7988"/>
    <w:rsid w:val="009A7A28"/>
    <w:rsid w:val="009A7C32"/>
    <w:rsid w:val="009A7C60"/>
    <w:rsid w:val="009A7D26"/>
    <w:rsid w:val="009A7E9E"/>
    <w:rsid w:val="009A7EC6"/>
    <w:rsid w:val="009A7FA3"/>
    <w:rsid w:val="009A7FCE"/>
    <w:rsid w:val="009A7FDD"/>
    <w:rsid w:val="009B0297"/>
    <w:rsid w:val="009B0575"/>
    <w:rsid w:val="009B0644"/>
    <w:rsid w:val="009B0818"/>
    <w:rsid w:val="009B0942"/>
    <w:rsid w:val="009B0A1F"/>
    <w:rsid w:val="009B0A6F"/>
    <w:rsid w:val="009B0D6B"/>
    <w:rsid w:val="009B0E6B"/>
    <w:rsid w:val="009B0EFC"/>
    <w:rsid w:val="009B12B2"/>
    <w:rsid w:val="009B13C5"/>
    <w:rsid w:val="009B1415"/>
    <w:rsid w:val="009B14B3"/>
    <w:rsid w:val="009B14E7"/>
    <w:rsid w:val="009B17FB"/>
    <w:rsid w:val="009B18F7"/>
    <w:rsid w:val="009B19BB"/>
    <w:rsid w:val="009B1A01"/>
    <w:rsid w:val="009B1B15"/>
    <w:rsid w:val="009B1BCC"/>
    <w:rsid w:val="009B1C85"/>
    <w:rsid w:val="009B1CCE"/>
    <w:rsid w:val="009B1E5E"/>
    <w:rsid w:val="009B1F0E"/>
    <w:rsid w:val="009B1F19"/>
    <w:rsid w:val="009B2080"/>
    <w:rsid w:val="009B2454"/>
    <w:rsid w:val="009B2633"/>
    <w:rsid w:val="009B2835"/>
    <w:rsid w:val="009B289A"/>
    <w:rsid w:val="009B2906"/>
    <w:rsid w:val="009B2920"/>
    <w:rsid w:val="009B2A1F"/>
    <w:rsid w:val="009B2A6F"/>
    <w:rsid w:val="009B2A9C"/>
    <w:rsid w:val="009B2B20"/>
    <w:rsid w:val="009B2BA7"/>
    <w:rsid w:val="009B2E9E"/>
    <w:rsid w:val="009B2FE3"/>
    <w:rsid w:val="009B30EE"/>
    <w:rsid w:val="009B3205"/>
    <w:rsid w:val="009B3260"/>
    <w:rsid w:val="009B3338"/>
    <w:rsid w:val="009B35B1"/>
    <w:rsid w:val="009B3647"/>
    <w:rsid w:val="009B36A5"/>
    <w:rsid w:val="009B396D"/>
    <w:rsid w:val="009B3A8E"/>
    <w:rsid w:val="009B3BC6"/>
    <w:rsid w:val="009B3DC6"/>
    <w:rsid w:val="009B3F1C"/>
    <w:rsid w:val="009B4106"/>
    <w:rsid w:val="009B433D"/>
    <w:rsid w:val="009B4547"/>
    <w:rsid w:val="009B47BC"/>
    <w:rsid w:val="009B4938"/>
    <w:rsid w:val="009B4F7D"/>
    <w:rsid w:val="009B5003"/>
    <w:rsid w:val="009B5006"/>
    <w:rsid w:val="009B5119"/>
    <w:rsid w:val="009B5142"/>
    <w:rsid w:val="009B52C2"/>
    <w:rsid w:val="009B545B"/>
    <w:rsid w:val="009B5775"/>
    <w:rsid w:val="009B580E"/>
    <w:rsid w:val="009B588B"/>
    <w:rsid w:val="009B58C2"/>
    <w:rsid w:val="009B598E"/>
    <w:rsid w:val="009B59F1"/>
    <w:rsid w:val="009B5B03"/>
    <w:rsid w:val="009B5B8F"/>
    <w:rsid w:val="009B5BA5"/>
    <w:rsid w:val="009B5C73"/>
    <w:rsid w:val="009B5D2A"/>
    <w:rsid w:val="009B60B9"/>
    <w:rsid w:val="009B616B"/>
    <w:rsid w:val="009B61D2"/>
    <w:rsid w:val="009B6253"/>
    <w:rsid w:val="009B629C"/>
    <w:rsid w:val="009B62E6"/>
    <w:rsid w:val="009B6659"/>
    <w:rsid w:val="009B667C"/>
    <w:rsid w:val="009B6731"/>
    <w:rsid w:val="009B6742"/>
    <w:rsid w:val="009B6799"/>
    <w:rsid w:val="009B6840"/>
    <w:rsid w:val="009B6A24"/>
    <w:rsid w:val="009B6C9C"/>
    <w:rsid w:val="009B6D48"/>
    <w:rsid w:val="009B6E45"/>
    <w:rsid w:val="009B6E8C"/>
    <w:rsid w:val="009B7114"/>
    <w:rsid w:val="009B7200"/>
    <w:rsid w:val="009B7221"/>
    <w:rsid w:val="009B759B"/>
    <w:rsid w:val="009B779D"/>
    <w:rsid w:val="009B7981"/>
    <w:rsid w:val="009B7AC5"/>
    <w:rsid w:val="009B7CD4"/>
    <w:rsid w:val="009B7D8B"/>
    <w:rsid w:val="009B7DE4"/>
    <w:rsid w:val="009B7E48"/>
    <w:rsid w:val="009B7EF6"/>
    <w:rsid w:val="009B7F40"/>
    <w:rsid w:val="009C0007"/>
    <w:rsid w:val="009C0107"/>
    <w:rsid w:val="009C014D"/>
    <w:rsid w:val="009C01A0"/>
    <w:rsid w:val="009C03DD"/>
    <w:rsid w:val="009C05A5"/>
    <w:rsid w:val="009C0645"/>
    <w:rsid w:val="009C0679"/>
    <w:rsid w:val="009C067D"/>
    <w:rsid w:val="009C0895"/>
    <w:rsid w:val="009C0B74"/>
    <w:rsid w:val="009C0BC7"/>
    <w:rsid w:val="009C0EBA"/>
    <w:rsid w:val="009C0F7F"/>
    <w:rsid w:val="009C1033"/>
    <w:rsid w:val="009C1099"/>
    <w:rsid w:val="009C111E"/>
    <w:rsid w:val="009C134A"/>
    <w:rsid w:val="009C1612"/>
    <w:rsid w:val="009C163B"/>
    <w:rsid w:val="009C18F7"/>
    <w:rsid w:val="009C1B05"/>
    <w:rsid w:val="009C1C04"/>
    <w:rsid w:val="009C1DC3"/>
    <w:rsid w:val="009C218B"/>
    <w:rsid w:val="009C2584"/>
    <w:rsid w:val="009C25F9"/>
    <w:rsid w:val="009C294F"/>
    <w:rsid w:val="009C2B4F"/>
    <w:rsid w:val="009C2D57"/>
    <w:rsid w:val="009C2D76"/>
    <w:rsid w:val="009C2E55"/>
    <w:rsid w:val="009C323E"/>
    <w:rsid w:val="009C33B8"/>
    <w:rsid w:val="009C3AE3"/>
    <w:rsid w:val="009C3B03"/>
    <w:rsid w:val="009C3B15"/>
    <w:rsid w:val="009C3B30"/>
    <w:rsid w:val="009C3BAD"/>
    <w:rsid w:val="009C3C95"/>
    <w:rsid w:val="009C3F3C"/>
    <w:rsid w:val="009C40BD"/>
    <w:rsid w:val="009C4209"/>
    <w:rsid w:val="009C42A4"/>
    <w:rsid w:val="009C43CD"/>
    <w:rsid w:val="009C4443"/>
    <w:rsid w:val="009C4483"/>
    <w:rsid w:val="009C4485"/>
    <w:rsid w:val="009C44E5"/>
    <w:rsid w:val="009C497B"/>
    <w:rsid w:val="009C4B57"/>
    <w:rsid w:val="009C4B65"/>
    <w:rsid w:val="009C4F6E"/>
    <w:rsid w:val="009C4F85"/>
    <w:rsid w:val="009C4F9F"/>
    <w:rsid w:val="009C504C"/>
    <w:rsid w:val="009C50C4"/>
    <w:rsid w:val="009C5337"/>
    <w:rsid w:val="009C5459"/>
    <w:rsid w:val="009C5520"/>
    <w:rsid w:val="009C57A6"/>
    <w:rsid w:val="009C59E9"/>
    <w:rsid w:val="009C5B3D"/>
    <w:rsid w:val="009C609A"/>
    <w:rsid w:val="009C65FB"/>
    <w:rsid w:val="009C6801"/>
    <w:rsid w:val="009C685F"/>
    <w:rsid w:val="009C6A63"/>
    <w:rsid w:val="009C6BF9"/>
    <w:rsid w:val="009C6C4E"/>
    <w:rsid w:val="009C74AD"/>
    <w:rsid w:val="009C74D3"/>
    <w:rsid w:val="009C7513"/>
    <w:rsid w:val="009C7C67"/>
    <w:rsid w:val="009C7E0B"/>
    <w:rsid w:val="009C7E50"/>
    <w:rsid w:val="009C7EA8"/>
    <w:rsid w:val="009C7F35"/>
    <w:rsid w:val="009C7F65"/>
    <w:rsid w:val="009C7F96"/>
    <w:rsid w:val="009D022D"/>
    <w:rsid w:val="009D02C8"/>
    <w:rsid w:val="009D0363"/>
    <w:rsid w:val="009D0453"/>
    <w:rsid w:val="009D0595"/>
    <w:rsid w:val="009D063D"/>
    <w:rsid w:val="009D078A"/>
    <w:rsid w:val="009D09B8"/>
    <w:rsid w:val="009D0A5D"/>
    <w:rsid w:val="009D0EEE"/>
    <w:rsid w:val="009D1516"/>
    <w:rsid w:val="009D1689"/>
    <w:rsid w:val="009D168A"/>
    <w:rsid w:val="009D16F9"/>
    <w:rsid w:val="009D17DF"/>
    <w:rsid w:val="009D1BDC"/>
    <w:rsid w:val="009D1DA0"/>
    <w:rsid w:val="009D1E4B"/>
    <w:rsid w:val="009D1E53"/>
    <w:rsid w:val="009D1E59"/>
    <w:rsid w:val="009D1EA8"/>
    <w:rsid w:val="009D1F93"/>
    <w:rsid w:val="009D208D"/>
    <w:rsid w:val="009D22E3"/>
    <w:rsid w:val="009D2367"/>
    <w:rsid w:val="009D244A"/>
    <w:rsid w:val="009D26A5"/>
    <w:rsid w:val="009D271A"/>
    <w:rsid w:val="009D2731"/>
    <w:rsid w:val="009D2792"/>
    <w:rsid w:val="009D286A"/>
    <w:rsid w:val="009D2925"/>
    <w:rsid w:val="009D2D1A"/>
    <w:rsid w:val="009D2D3E"/>
    <w:rsid w:val="009D2E2B"/>
    <w:rsid w:val="009D2E64"/>
    <w:rsid w:val="009D2E7C"/>
    <w:rsid w:val="009D312D"/>
    <w:rsid w:val="009D3155"/>
    <w:rsid w:val="009D3516"/>
    <w:rsid w:val="009D3549"/>
    <w:rsid w:val="009D36C3"/>
    <w:rsid w:val="009D3829"/>
    <w:rsid w:val="009D38B2"/>
    <w:rsid w:val="009D3AC4"/>
    <w:rsid w:val="009D3B04"/>
    <w:rsid w:val="009D3BBF"/>
    <w:rsid w:val="009D3BDF"/>
    <w:rsid w:val="009D3CA4"/>
    <w:rsid w:val="009D3DA1"/>
    <w:rsid w:val="009D3EEC"/>
    <w:rsid w:val="009D408E"/>
    <w:rsid w:val="009D4246"/>
    <w:rsid w:val="009D4344"/>
    <w:rsid w:val="009D445B"/>
    <w:rsid w:val="009D44A3"/>
    <w:rsid w:val="009D4604"/>
    <w:rsid w:val="009D4822"/>
    <w:rsid w:val="009D48FF"/>
    <w:rsid w:val="009D4963"/>
    <w:rsid w:val="009D4A87"/>
    <w:rsid w:val="009D4C84"/>
    <w:rsid w:val="009D4CA6"/>
    <w:rsid w:val="009D4E7A"/>
    <w:rsid w:val="009D4F31"/>
    <w:rsid w:val="009D4FA0"/>
    <w:rsid w:val="009D513D"/>
    <w:rsid w:val="009D51FD"/>
    <w:rsid w:val="009D5535"/>
    <w:rsid w:val="009D5568"/>
    <w:rsid w:val="009D57D1"/>
    <w:rsid w:val="009D58D7"/>
    <w:rsid w:val="009D59FB"/>
    <w:rsid w:val="009D5C85"/>
    <w:rsid w:val="009D5EEF"/>
    <w:rsid w:val="009D5EF1"/>
    <w:rsid w:val="009D62DD"/>
    <w:rsid w:val="009D634E"/>
    <w:rsid w:val="009D667A"/>
    <w:rsid w:val="009D66A5"/>
    <w:rsid w:val="009D675C"/>
    <w:rsid w:val="009D67F6"/>
    <w:rsid w:val="009D69AA"/>
    <w:rsid w:val="009D6B2C"/>
    <w:rsid w:val="009D6C23"/>
    <w:rsid w:val="009D6C49"/>
    <w:rsid w:val="009D6CF9"/>
    <w:rsid w:val="009D6D12"/>
    <w:rsid w:val="009D6DA9"/>
    <w:rsid w:val="009D6EB1"/>
    <w:rsid w:val="009D6ECF"/>
    <w:rsid w:val="009D7047"/>
    <w:rsid w:val="009D7097"/>
    <w:rsid w:val="009D7166"/>
    <w:rsid w:val="009D762F"/>
    <w:rsid w:val="009D7738"/>
    <w:rsid w:val="009D7774"/>
    <w:rsid w:val="009D7797"/>
    <w:rsid w:val="009D77E8"/>
    <w:rsid w:val="009D7855"/>
    <w:rsid w:val="009D7868"/>
    <w:rsid w:val="009D7947"/>
    <w:rsid w:val="009D7C04"/>
    <w:rsid w:val="009D7C64"/>
    <w:rsid w:val="009E01E7"/>
    <w:rsid w:val="009E022B"/>
    <w:rsid w:val="009E03EC"/>
    <w:rsid w:val="009E03F0"/>
    <w:rsid w:val="009E0446"/>
    <w:rsid w:val="009E08D1"/>
    <w:rsid w:val="009E09FE"/>
    <w:rsid w:val="009E0B62"/>
    <w:rsid w:val="009E0C8C"/>
    <w:rsid w:val="009E0ED8"/>
    <w:rsid w:val="009E0F26"/>
    <w:rsid w:val="009E0F8E"/>
    <w:rsid w:val="009E0FE1"/>
    <w:rsid w:val="009E1059"/>
    <w:rsid w:val="009E125D"/>
    <w:rsid w:val="009E129F"/>
    <w:rsid w:val="009E1308"/>
    <w:rsid w:val="009E139D"/>
    <w:rsid w:val="009E14A3"/>
    <w:rsid w:val="009E1671"/>
    <w:rsid w:val="009E1811"/>
    <w:rsid w:val="009E18E6"/>
    <w:rsid w:val="009E19F7"/>
    <w:rsid w:val="009E1D07"/>
    <w:rsid w:val="009E1DF7"/>
    <w:rsid w:val="009E1EA0"/>
    <w:rsid w:val="009E1F80"/>
    <w:rsid w:val="009E203B"/>
    <w:rsid w:val="009E20E0"/>
    <w:rsid w:val="009E2452"/>
    <w:rsid w:val="009E2887"/>
    <w:rsid w:val="009E2928"/>
    <w:rsid w:val="009E2CC1"/>
    <w:rsid w:val="009E31FF"/>
    <w:rsid w:val="009E3210"/>
    <w:rsid w:val="009E3384"/>
    <w:rsid w:val="009E3483"/>
    <w:rsid w:val="009E3565"/>
    <w:rsid w:val="009E363A"/>
    <w:rsid w:val="009E3715"/>
    <w:rsid w:val="009E37DF"/>
    <w:rsid w:val="009E38E4"/>
    <w:rsid w:val="009E3C6F"/>
    <w:rsid w:val="009E3CC8"/>
    <w:rsid w:val="009E3DCC"/>
    <w:rsid w:val="009E3E30"/>
    <w:rsid w:val="009E3E8B"/>
    <w:rsid w:val="009E3EEA"/>
    <w:rsid w:val="009E3FBD"/>
    <w:rsid w:val="009E413A"/>
    <w:rsid w:val="009E41DC"/>
    <w:rsid w:val="009E4284"/>
    <w:rsid w:val="009E42BD"/>
    <w:rsid w:val="009E42F7"/>
    <w:rsid w:val="009E463C"/>
    <w:rsid w:val="009E4733"/>
    <w:rsid w:val="009E478D"/>
    <w:rsid w:val="009E4B44"/>
    <w:rsid w:val="009E4BD0"/>
    <w:rsid w:val="009E4D5D"/>
    <w:rsid w:val="009E4DAF"/>
    <w:rsid w:val="009E4E57"/>
    <w:rsid w:val="009E5112"/>
    <w:rsid w:val="009E53C6"/>
    <w:rsid w:val="009E5693"/>
    <w:rsid w:val="009E5B6C"/>
    <w:rsid w:val="009E5C9C"/>
    <w:rsid w:val="009E616D"/>
    <w:rsid w:val="009E63E8"/>
    <w:rsid w:val="009E6442"/>
    <w:rsid w:val="009E6454"/>
    <w:rsid w:val="009E66FE"/>
    <w:rsid w:val="009E6797"/>
    <w:rsid w:val="009E6A9E"/>
    <w:rsid w:val="009E6AB4"/>
    <w:rsid w:val="009E6AD3"/>
    <w:rsid w:val="009E6B04"/>
    <w:rsid w:val="009E6B0D"/>
    <w:rsid w:val="009E6B4B"/>
    <w:rsid w:val="009E6BAA"/>
    <w:rsid w:val="009E6C3B"/>
    <w:rsid w:val="009E6C9A"/>
    <w:rsid w:val="009E6DAA"/>
    <w:rsid w:val="009E6DD4"/>
    <w:rsid w:val="009E6E4A"/>
    <w:rsid w:val="009E6EC1"/>
    <w:rsid w:val="009E70FC"/>
    <w:rsid w:val="009E712B"/>
    <w:rsid w:val="009E7234"/>
    <w:rsid w:val="009E7322"/>
    <w:rsid w:val="009E787E"/>
    <w:rsid w:val="009E7A15"/>
    <w:rsid w:val="009E7ACE"/>
    <w:rsid w:val="009E7B1B"/>
    <w:rsid w:val="009E7CCB"/>
    <w:rsid w:val="009E7DC8"/>
    <w:rsid w:val="009E7E18"/>
    <w:rsid w:val="009E7EDE"/>
    <w:rsid w:val="009F00BC"/>
    <w:rsid w:val="009F024A"/>
    <w:rsid w:val="009F025D"/>
    <w:rsid w:val="009F039C"/>
    <w:rsid w:val="009F044F"/>
    <w:rsid w:val="009F0663"/>
    <w:rsid w:val="009F0782"/>
    <w:rsid w:val="009F0924"/>
    <w:rsid w:val="009F0B6E"/>
    <w:rsid w:val="009F0ECC"/>
    <w:rsid w:val="009F117C"/>
    <w:rsid w:val="009F12A8"/>
    <w:rsid w:val="009F12D5"/>
    <w:rsid w:val="009F13C7"/>
    <w:rsid w:val="009F1476"/>
    <w:rsid w:val="009F148A"/>
    <w:rsid w:val="009F165C"/>
    <w:rsid w:val="009F19BE"/>
    <w:rsid w:val="009F1AFB"/>
    <w:rsid w:val="009F1DE0"/>
    <w:rsid w:val="009F1F00"/>
    <w:rsid w:val="009F20B4"/>
    <w:rsid w:val="009F20C1"/>
    <w:rsid w:val="009F2172"/>
    <w:rsid w:val="009F22AE"/>
    <w:rsid w:val="009F244F"/>
    <w:rsid w:val="009F2596"/>
    <w:rsid w:val="009F2764"/>
    <w:rsid w:val="009F282E"/>
    <w:rsid w:val="009F2C4A"/>
    <w:rsid w:val="009F2C90"/>
    <w:rsid w:val="009F2CBE"/>
    <w:rsid w:val="009F2EB8"/>
    <w:rsid w:val="009F2F25"/>
    <w:rsid w:val="009F3048"/>
    <w:rsid w:val="009F3071"/>
    <w:rsid w:val="009F308C"/>
    <w:rsid w:val="009F3219"/>
    <w:rsid w:val="009F3313"/>
    <w:rsid w:val="009F3420"/>
    <w:rsid w:val="009F3554"/>
    <w:rsid w:val="009F3640"/>
    <w:rsid w:val="009F37EB"/>
    <w:rsid w:val="009F3933"/>
    <w:rsid w:val="009F3AF1"/>
    <w:rsid w:val="009F3F03"/>
    <w:rsid w:val="009F3F60"/>
    <w:rsid w:val="009F3FF2"/>
    <w:rsid w:val="009F424B"/>
    <w:rsid w:val="009F43B9"/>
    <w:rsid w:val="009F43BB"/>
    <w:rsid w:val="009F4841"/>
    <w:rsid w:val="009F49E1"/>
    <w:rsid w:val="009F4AD4"/>
    <w:rsid w:val="009F4B00"/>
    <w:rsid w:val="009F4B57"/>
    <w:rsid w:val="009F4D33"/>
    <w:rsid w:val="009F4D39"/>
    <w:rsid w:val="009F4D8D"/>
    <w:rsid w:val="009F4E6B"/>
    <w:rsid w:val="009F4FC2"/>
    <w:rsid w:val="009F523B"/>
    <w:rsid w:val="009F52E8"/>
    <w:rsid w:val="009F53C2"/>
    <w:rsid w:val="009F53DF"/>
    <w:rsid w:val="009F544E"/>
    <w:rsid w:val="009F55EC"/>
    <w:rsid w:val="009F5641"/>
    <w:rsid w:val="009F5692"/>
    <w:rsid w:val="009F56D2"/>
    <w:rsid w:val="009F56D5"/>
    <w:rsid w:val="009F57E8"/>
    <w:rsid w:val="009F590C"/>
    <w:rsid w:val="009F5A61"/>
    <w:rsid w:val="009F5D4C"/>
    <w:rsid w:val="009F5E9E"/>
    <w:rsid w:val="009F6030"/>
    <w:rsid w:val="009F6072"/>
    <w:rsid w:val="009F6268"/>
    <w:rsid w:val="009F63BE"/>
    <w:rsid w:val="009F648F"/>
    <w:rsid w:val="009F65D9"/>
    <w:rsid w:val="009F660C"/>
    <w:rsid w:val="009F6772"/>
    <w:rsid w:val="009F6843"/>
    <w:rsid w:val="009F6931"/>
    <w:rsid w:val="009F694D"/>
    <w:rsid w:val="009F6968"/>
    <w:rsid w:val="009F69D0"/>
    <w:rsid w:val="009F6EBC"/>
    <w:rsid w:val="009F6F14"/>
    <w:rsid w:val="009F6F30"/>
    <w:rsid w:val="009F7003"/>
    <w:rsid w:val="009F7154"/>
    <w:rsid w:val="009F715C"/>
    <w:rsid w:val="009F7180"/>
    <w:rsid w:val="009F723E"/>
    <w:rsid w:val="009F771E"/>
    <w:rsid w:val="009F7A46"/>
    <w:rsid w:val="009F7C5C"/>
    <w:rsid w:val="009F7C61"/>
    <w:rsid w:val="009F7E67"/>
    <w:rsid w:val="009F7F12"/>
    <w:rsid w:val="00A00056"/>
    <w:rsid w:val="00A002C0"/>
    <w:rsid w:val="00A003BD"/>
    <w:rsid w:val="00A005C7"/>
    <w:rsid w:val="00A00723"/>
    <w:rsid w:val="00A00996"/>
    <w:rsid w:val="00A00AA0"/>
    <w:rsid w:val="00A00B20"/>
    <w:rsid w:val="00A00BF0"/>
    <w:rsid w:val="00A010D1"/>
    <w:rsid w:val="00A01222"/>
    <w:rsid w:val="00A0124D"/>
    <w:rsid w:val="00A012DC"/>
    <w:rsid w:val="00A014FB"/>
    <w:rsid w:val="00A01551"/>
    <w:rsid w:val="00A0155C"/>
    <w:rsid w:val="00A015BF"/>
    <w:rsid w:val="00A01989"/>
    <w:rsid w:val="00A01AD9"/>
    <w:rsid w:val="00A01D60"/>
    <w:rsid w:val="00A01F0C"/>
    <w:rsid w:val="00A01FE0"/>
    <w:rsid w:val="00A02035"/>
    <w:rsid w:val="00A02195"/>
    <w:rsid w:val="00A02295"/>
    <w:rsid w:val="00A02341"/>
    <w:rsid w:val="00A02380"/>
    <w:rsid w:val="00A023D1"/>
    <w:rsid w:val="00A025E2"/>
    <w:rsid w:val="00A02652"/>
    <w:rsid w:val="00A02783"/>
    <w:rsid w:val="00A027E3"/>
    <w:rsid w:val="00A02887"/>
    <w:rsid w:val="00A02A35"/>
    <w:rsid w:val="00A02BAD"/>
    <w:rsid w:val="00A02C5F"/>
    <w:rsid w:val="00A02C8B"/>
    <w:rsid w:val="00A02C8C"/>
    <w:rsid w:val="00A03039"/>
    <w:rsid w:val="00A031AF"/>
    <w:rsid w:val="00A03298"/>
    <w:rsid w:val="00A033F3"/>
    <w:rsid w:val="00A03469"/>
    <w:rsid w:val="00A03724"/>
    <w:rsid w:val="00A0373C"/>
    <w:rsid w:val="00A03749"/>
    <w:rsid w:val="00A0375E"/>
    <w:rsid w:val="00A037A2"/>
    <w:rsid w:val="00A03804"/>
    <w:rsid w:val="00A0383E"/>
    <w:rsid w:val="00A039A4"/>
    <w:rsid w:val="00A039DB"/>
    <w:rsid w:val="00A03BEA"/>
    <w:rsid w:val="00A03C9B"/>
    <w:rsid w:val="00A03D08"/>
    <w:rsid w:val="00A03DF1"/>
    <w:rsid w:val="00A0406E"/>
    <w:rsid w:val="00A040E7"/>
    <w:rsid w:val="00A04154"/>
    <w:rsid w:val="00A042B5"/>
    <w:rsid w:val="00A046F7"/>
    <w:rsid w:val="00A04A65"/>
    <w:rsid w:val="00A04EA1"/>
    <w:rsid w:val="00A052AF"/>
    <w:rsid w:val="00A053DB"/>
    <w:rsid w:val="00A053DE"/>
    <w:rsid w:val="00A05405"/>
    <w:rsid w:val="00A0560E"/>
    <w:rsid w:val="00A05676"/>
    <w:rsid w:val="00A0568B"/>
    <w:rsid w:val="00A05907"/>
    <w:rsid w:val="00A05AFD"/>
    <w:rsid w:val="00A05C0E"/>
    <w:rsid w:val="00A05E0A"/>
    <w:rsid w:val="00A0603E"/>
    <w:rsid w:val="00A06337"/>
    <w:rsid w:val="00A06428"/>
    <w:rsid w:val="00A065DA"/>
    <w:rsid w:val="00A066F2"/>
    <w:rsid w:val="00A067F7"/>
    <w:rsid w:val="00A06CCC"/>
    <w:rsid w:val="00A06DEA"/>
    <w:rsid w:val="00A06E65"/>
    <w:rsid w:val="00A06EB2"/>
    <w:rsid w:val="00A06FB1"/>
    <w:rsid w:val="00A06FF1"/>
    <w:rsid w:val="00A0705F"/>
    <w:rsid w:val="00A0723D"/>
    <w:rsid w:val="00A074DA"/>
    <w:rsid w:val="00A07E34"/>
    <w:rsid w:val="00A07EC7"/>
    <w:rsid w:val="00A0F18C"/>
    <w:rsid w:val="00A10327"/>
    <w:rsid w:val="00A10361"/>
    <w:rsid w:val="00A10406"/>
    <w:rsid w:val="00A1048E"/>
    <w:rsid w:val="00A10494"/>
    <w:rsid w:val="00A104D5"/>
    <w:rsid w:val="00A105D2"/>
    <w:rsid w:val="00A1062A"/>
    <w:rsid w:val="00A107E7"/>
    <w:rsid w:val="00A1095B"/>
    <w:rsid w:val="00A10A52"/>
    <w:rsid w:val="00A10D6B"/>
    <w:rsid w:val="00A10DD0"/>
    <w:rsid w:val="00A10E2C"/>
    <w:rsid w:val="00A10E46"/>
    <w:rsid w:val="00A10EEF"/>
    <w:rsid w:val="00A10F09"/>
    <w:rsid w:val="00A10F28"/>
    <w:rsid w:val="00A10FD5"/>
    <w:rsid w:val="00A112AB"/>
    <w:rsid w:val="00A11307"/>
    <w:rsid w:val="00A11452"/>
    <w:rsid w:val="00A1152D"/>
    <w:rsid w:val="00A11673"/>
    <w:rsid w:val="00A1177B"/>
    <w:rsid w:val="00A117A1"/>
    <w:rsid w:val="00A11D0C"/>
    <w:rsid w:val="00A11D36"/>
    <w:rsid w:val="00A11DB0"/>
    <w:rsid w:val="00A11E3E"/>
    <w:rsid w:val="00A12022"/>
    <w:rsid w:val="00A12152"/>
    <w:rsid w:val="00A12241"/>
    <w:rsid w:val="00A12257"/>
    <w:rsid w:val="00A1235D"/>
    <w:rsid w:val="00A123CD"/>
    <w:rsid w:val="00A127FD"/>
    <w:rsid w:val="00A12949"/>
    <w:rsid w:val="00A12958"/>
    <w:rsid w:val="00A12A7C"/>
    <w:rsid w:val="00A12B4C"/>
    <w:rsid w:val="00A12B50"/>
    <w:rsid w:val="00A12C57"/>
    <w:rsid w:val="00A12CCD"/>
    <w:rsid w:val="00A12E1E"/>
    <w:rsid w:val="00A12F31"/>
    <w:rsid w:val="00A12FA7"/>
    <w:rsid w:val="00A13110"/>
    <w:rsid w:val="00A13294"/>
    <w:rsid w:val="00A13311"/>
    <w:rsid w:val="00A13341"/>
    <w:rsid w:val="00A134DF"/>
    <w:rsid w:val="00A1352D"/>
    <w:rsid w:val="00A13633"/>
    <w:rsid w:val="00A136D6"/>
    <w:rsid w:val="00A13885"/>
    <w:rsid w:val="00A1397C"/>
    <w:rsid w:val="00A13AC8"/>
    <w:rsid w:val="00A13AF3"/>
    <w:rsid w:val="00A13BF3"/>
    <w:rsid w:val="00A13C0B"/>
    <w:rsid w:val="00A13D55"/>
    <w:rsid w:val="00A13FAE"/>
    <w:rsid w:val="00A1409D"/>
    <w:rsid w:val="00A140D3"/>
    <w:rsid w:val="00A14145"/>
    <w:rsid w:val="00A14236"/>
    <w:rsid w:val="00A1423E"/>
    <w:rsid w:val="00A142EA"/>
    <w:rsid w:val="00A143ED"/>
    <w:rsid w:val="00A14469"/>
    <w:rsid w:val="00A1457A"/>
    <w:rsid w:val="00A146EC"/>
    <w:rsid w:val="00A14701"/>
    <w:rsid w:val="00A147AB"/>
    <w:rsid w:val="00A147C4"/>
    <w:rsid w:val="00A147F1"/>
    <w:rsid w:val="00A14802"/>
    <w:rsid w:val="00A148E6"/>
    <w:rsid w:val="00A148F6"/>
    <w:rsid w:val="00A14A01"/>
    <w:rsid w:val="00A14ADB"/>
    <w:rsid w:val="00A14ADE"/>
    <w:rsid w:val="00A14B74"/>
    <w:rsid w:val="00A14C36"/>
    <w:rsid w:val="00A14CBC"/>
    <w:rsid w:val="00A152B7"/>
    <w:rsid w:val="00A15465"/>
    <w:rsid w:val="00A15759"/>
    <w:rsid w:val="00A1582F"/>
    <w:rsid w:val="00A15F90"/>
    <w:rsid w:val="00A160C0"/>
    <w:rsid w:val="00A161AB"/>
    <w:rsid w:val="00A16361"/>
    <w:rsid w:val="00A16382"/>
    <w:rsid w:val="00A16470"/>
    <w:rsid w:val="00A164F7"/>
    <w:rsid w:val="00A16578"/>
    <w:rsid w:val="00A16DC3"/>
    <w:rsid w:val="00A1706A"/>
    <w:rsid w:val="00A171AA"/>
    <w:rsid w:val="00A17261"/>
    <w:rsid w:val="00A173A2"/>
    <w:rsid w:val="00A17401"/>
    <w:rsid w:val="00A1745E"/>
    <w:rsid w:val="00A1748B"/>
    <w:rsid w:val="00A1753C"/>
    <w:rsid w:val="00A17741"/>
    <w:rsid w:val="00A17898"/>
    <w:rsid w:val="00A17DAC"/>
    <w:rsid w:val="00A17E43"/>
    <w:rsid w:val="00A17F30"/>
    <w:rsid w:val="00A17F68"/>
    <w:rsid w:val="00A17F82"/>
    <w:rsid w:val="00A20176"/>
    <w:rsid w:val="00A2036F"/>
    <w:rsid w:val="00A203DE"/>
    <w:rsid w:val="00A20435"/>
    <w:rsid w:val="00A20523"/>
    <w:rsid w:val="00A2068B"/>
    <w:rsid w:val="00A2081D"/>
    <w:rsid w:val="00A208B2"/>
    <w:rsid w:val="00A20AEB"/>
    <w:rsid w:val="00A20D5A"/>
    <w:rsid w:val="00A20DF7"/>
    <w:rsid w:val="00A211DE"/>
    <w:rsid w:val="00A21213"/>
    <w:rsid w:val="00A212DA"/>
    <w:rsid w:val="00A212F0"/>
    <w:rsid w:val="00A21331"/>
    <w:rsid w:val="00A21388"/>
    <w:rsid w:val="00A2143F"/>
    <w:rsid w:val="00A2146E"/>
    <w:rsid w:val="00A215E8"/>
    <w:rsid w:val="00A21CBA"/>
    <w:rsid w:val="00A2234E"/>
    <w:rsid w:val="00A22414"/>
    <w:rsid w:val="00A22528"/>
    <w:rsid w:val="00A2252A"/>
    <w:rsid w:val="00A225A8"/>
    <w:rsid w:val="00A226F5"/>
    <w:rsid w:val="00A22730"/>
    <w:rsid w:val="00A22791"/>
    <w:rsid w:val="00A227E0"/>
    <w:rsid w:val="00A228CB"/>
    <w:rsid w:val="00A22AAE"/>
    <w:rsid w:val="00A22BE8"/>
    <w:rsid w:val="00A22C45"/>
    <w:rsid w:val="00A22D66"/>
    <w:rsid w:val="00A230AC"/>
    <w:rsid w:val="00A2314E"/>
    <w:rsid w:val="00A2315D"/>
    <w:rsid w:val="00A2330D"/>
    <w:rsid w:val="00A23562"/>
    <w:rsid w:val="00A235B5"/>
    <w:rsid w:val="00A23AA2"/>
    <w:rsid w:val="00A23AAF"/>
    <w:rsid w:val="00A23BF0"/>
    <w:rsid w:val="00A23C3A"/>
    <w:rsid w:val="00A23F43"/>
    <w:rsid w:val="00A2416E"/>
    <w:rsid w:val="00A24290"/>
    <w:rsid w:val="00A24506"/>
    <w:rsid w:val="00A24588"/>
    <w:rsid w:val="00A24603"/>
    <w:rsid w:val="00A246EA"/>
    <w:rsid w:val="00A2497D"/>
    <w:rsid w:val="00A24B1E"/>
    <w:rsid w:val="00A24D92"/>
    <w:rsid w:val="00A24DA8"/>
    <w:rsid w:val="00A24DBF"/>
    <w:rsid w:val="00A24E2F"/>
    <w:rsid w:val="00A24EA1"/>
    <w:rsid w:val="00A24FD8"/>
    <w:rsid w:val="00A25044"/>
    <w:rsid w:val="00A2546B"/>
    <w:rsid w:val="00A256D2"/>
    <w:rsid w:val="00A25734"/>
    <w:rsid w:val="00A257BE"/>
    <w:rsid w:val="00A2580A"/>
    <w:rsid w:val="00A25888"/>
    <w:rsid w:val="00A25AD6"/>
    <w:rsid w:val="00A25B26"/>
    <w:rsid w:val="00A25D75"/>
    <w:rsid w:val="00A25E66"/>
    <w:rsid w:val="00A25E9A"/>
    <w:rsid w:val="00A25F3A"/>
    <w:rsid w:val="00A260B4"/>
    <w:rsid w:val="00A260FD"/>
    <w:rsid w:val="00A26402"/>
    <w:rsid w:val="00A2665D"/>
    <w:rsid w:val="00A26668"/>
    <w:rsid w:val="00A266FE"/>
    <w:rsid w:val="00A26A94"/>
    <w:rsid w:val="00A26CFD"/>
    <w:rsid w:val="00A26D0C"/>
    <w:rsid w:val="00A26DEA"/>
    <w:rsid w:val="00A26F32"/>
    <w:rsid w:val="00A27265"/>
    <w:rsid w:val="00A27528"/>
    <w:rsid w:val="00A275B8"/>
    <w:rsid w:val="00A275EB"/>
    <w:rsid w:val="00A27791"/>
    <w:rsid w:val="00A27833"/>
    <w:rsid w:val="00A27980"/>
    <w:rsid w:val="00A27ABE"/>
    <w:rsid w:val="00A27B45"/>
    <w:rsid w:val="00A27CE4"/>
    <w:rsid w:val="00A27E49"/>
    <w:rsid w:val="00A27EEE"/>
    <w:rsid w:val="00A27EFE"/>
    <w:rsid w:val="00A27F5E"/>
    <w:rsid w:val="00A3019C"/>
    <w:rsid w:val="00A3029C"/>
    <w:rsid w:val="00A302A1"/>
    <w:rsid w:val="00A302EF"/>
    <w:rsid w:val="00A30499"/>
    <w:rsid w:val="00A305C3"/>
    <w:rsid w:val="00A3062A"/>
    <w:rsid w:val="00A30654"/>
    <w:rsid w:val="00A306EC"/>
    <w:rsid w:val="00A30746"/>
    <w:rsid w:val="00A309B0"/>
    <w:rsid w:val="00A30D21"/>
    <w:rsid w:val="00A30E0F"/>
    <w:rsid w:val="00A30E28"/>
    <w:rsid w:val="00A30F64"/>
    <w:rsid w:val="00A312E1"/>
    <w:rsid w:val="00A313D1"/>
    <w:rsid w:val="00A3151D"/>
    <w:rsid w:val="00A316B7"/>
    <w:rsid w:val="00A316BE"/>
    <w:rsid w:val="00A316FF"/>
    <w:rsid w:val="00A317BE"/>
    <w:rsid w:val="00A31802"/>
    <w:rsid w:val="00A31A3F"/>
    <w:rsid w:val="00A31C1F"/>
    <w:rsid w:val="00A31D9A"/>
    <w:rsid w:val="00A31F83"/>
    <w:rsid w:val="00A320C2"/>
    <w:rsid w:val="00A3230E"/>
    <w:rsid w:val="00A32407"/>
    <w:rsid w:val="00A3244F"/>
    <w:rsid w:val="00A32595"/>
    <w:rsid w:val="00A325E1"/>
    <w:rsid w:val="00A325E2"/>
    <w:rsid w:val="00A327F2"/>
    <w:rsid w:val="00A3289D"/>
    <w:rsid w:val="00A328A6"/>
    <w:rsid w:val="00A328FF"/>
    <w:rsid w:val="00A32D26"/>
    <w:rsid w:val="00A32E59"/>
    <w:rsid w:val="00A32E7D"/>
    <w:rsid w:val="00A33363"/>
    <w:rsid w:val="00A3344B"/>
    <w:rsid w:val="00A33569"/>
    <w:rsid w:val="00A336A3"/>
    <w:rsid w:val="00A33887"/>
    <w:rsid w:val="00A338F8"/>
    <w:rsid w:val="00A33C02"/>
    <w:rsid w:val="00A33C32"/>
    <w:rsid w:val="00A33CC8"/>
    <w:rsid w:val="00A33D7C"/>
    <w:rsid w:val="00A33F61"/>
    <w:rsid w:val="00A33FA5"/>
    <w:rsid w:val="00A34020"/>
    <w:rsid w:val="00A3404B"/>
    <w:rsid w:val="00A3421A"/>
    <w:rsid w:val="00A346A0"/>
    <w:rsid w:val="00A346BC"/>
    <w:rsid w:val="00A34921"/>
    <w:rsid w:val="00A34B23"/>
    <w:rsid w:val="00A34B58"/>
    <w:rsid w:val="00A34ED3"/>
    <w:rsid w:val="00A34FA0"/>
    <w:rsid w:val="00A35098"/>
    <w:rsid w:val="00A35172"/>
    <w:rsid w:val="00A352BE"/>
    <w:rsid w:val="00A352E6"/>
    <w:rsid w:val="00A3557E"/>
    <w:rsid w:val="00A355F9"/>
    <w:rsid w:val="00A357D8"/>
    <w:rsid w:val="00A359D7"/>
    <w:rsid w:val="00A35B1E"/>
    <w:rsid w:val="00A35BBC"/>
    <w:rsid w:val="00A35C66"/>
    <w:rsid w:val="00A36231"/>
    <w:rsid w:val="00A362F8"/>
    <w:rsid w:val="00A36326"/>
    <w:rsid w:val="00A3632D"/>
    <w:rsid w:val="00A3639E"/>
    <w:rsid w:val="00A364C3"/>
    <w:rsid w:val="00A365E7"/>
    <w:rsid w:val="00A369EE"/>
    <w:rsid w:val="00A36C9C"/>
    <w:rsid w:val="00A36EEF"/>
    <w:rsid w:val="00A36F1E"/>
    <w:rsid w:val="00A36FE0"/>
    <w:rsid w:val="00A370D8"/>
    <w:rsid w:val="00A370F9"/>
    <w:rsid w:val="00A372B3"/>
    <w:rsid w:val="00A37653"/>
    <w:rsid w:val="00A37655"/>
    <w:rsid w:val="00A376DD"/>
    <w:rsid w:val="00A37916"/>
    <w:rsid w:val="00A37935"/>
    <w:rsid w:val="00A37986"/>
    <w:rsid w:val="00A37B25"/>
    <w:rsid w:val="00A37B30"/>
    <w:rsid w:val="00A37B85"/>
    <w:rsid w:val="00A37DC5"/>
    <w:rsid w:val="00A37DC6"/>
    <w:rsid w:val="00A4015E"/>
    <w:rsid w:val="00A40312"/>
    <w:rsid w:val="00A403EB"/>
    <w:rsid w:val="00A405CB"/>
    <w:rsid w:val="00A406D6"/>
    <w:rsid w:val="00A407E1"/>
    <w:rsid w:val="00A408DD"/>
    <w:rsid w:val="00A409E0"/>
    <w:rsid w:val="00A40A2C"/>
    <w:rsid w:val="00A40A8C"/>
    <w:rsid w:val="00A40C0A"/>
    <w:rsid w:val="00A40C2B"/>
    <w:rsid w:val="00A40C52"/>
    <w:rsid w:val="00A41048"/>
    <w:rsid w:val="00A41094"/>
    <w:rsid w:val="00A4111F"/>
    <w:rsid w:val="00A4115F"/>
    <w:rsid w:val="00A41209"/>
    <w:rsid w:val="00A412A4"/>
    <w:rsid w:val="00A412CD"/>
    <w:rsid w:val="00A41355"/>
    <w:rsid w:val="00A4141C"/>
    <w:rsid w:val="00A414D1"/>
    <w:rsid w:val="00A416F1"/>
    <w:rsid w:val="00A418DF"/>
    <w:rsid w:val="00A418E7"/>
    <w:rsid w:val="00A419F5"/>
    <w:rsid w:val="00A41AC4"/>
    <w:rsid w:val="00A41BB5"/>
    <w:rsid w:val="00A41CEC"/>
    <w:rsid w:val="00A41DD2"/>
    <w:rsid w:val="00A420BB"/>
    <w:rsid w:val="00A4223B"/>
    <w:rsid w:val="00A42259"/>
    <w:rsid w:val="00A423E9"/>
    <w:rsid w:val="00A426DC"/>
    <w:rsid w:val="00A42A1E"/>
    <w:rsid w:val="00A42A6D"/>
    <w:rsid w:val="00A42BFB"/>
    <w:rsid w:val="00A42C60"/>
    <w:rsid w:val="00A42D34"/>
    <w:rsid w:val="00A433F4"/>
    <w:rsid w:val="00A434C8"/>
    <w:rsid w:val="00A43509"/>
    <w:rsid w:val="00A43531"/>
    <w:rsid w:val="00A436E7"/>
    <w:rsid w:val="00A437B6"/>
    <w:rsid w:val="00A43887"/>
    <w:rsid w:val="00A4392B"/>
    <w:rsid w:val="00A43B92"/>
    <w:rsid w:val="00A43F4C"/>
    <w:rsid w:val="00A43FC2"/>
    <w:rsid w:val="00A43FDB"/>
    <w:rsid w:val="00A44123"/>
    <w:rsid w:val="00A441E3"/>
    <w:rsid w:val="00A442C9"/>
    <w:rsid w:val="00A44326"/>
    <w:rsid w:val="00A443F6"/>
    <w:rsid w:val="00A444EB"/>
    <w:rsid w:val="00A445C5"/>
    <w:rsid w:val="00A44643"/>
    <w:rsid w:val="00A44697"/>
    <w:rsid w:val="00A446C7"/>
    <w:rsid w:val="00A44787"/>
    <w:rsid w:val="00A44823"/>
    <w:rsid w:val="00A44C12"/>
    <w:rsid w:val="00A44F87"/>
    <w:rsid w:val="00A4506A"/>
    <w:rsid w:val="00A45176"/>
    <w:rsid w:val="00A45186"/>
    <w:rsid w:val="00A4519C"/>
    <w:rsid w:val="00A45235"/>
    <w:rsid w:val="00A45241"/>
    <w:rsid w:val="00A4526E"/>
    <w:rsid w:val="00A4531A"/>
    <w:rsid w:val="00A45448"/>
    <w:rsid w:val="00A4551F"/>
    <w:rsid w:val="00A4570B"/>
    <w:rsid w:val="00A45768"/>
    <w:rsid w:val="00A45833"/>
    <w:rsid w:val="00A45A33"/>
    <w:rsid w:val="00A45CA1"/>
    <w:rsid w:val="00A45CE3"/>
    <w:rsid w:val="00A45CE4"/>
    <w:rsid w:val="00A45DC7"/>
    <w:rsid w:val="00A45F53"/>
    <w:rsid w:val="00A45FEF"/>
    <w:rsid w:val="00A462AC"/>
    <w:rsid w:val="00A46527"/>
    <w:rsid w:val="00A46579"/>
    <w:rsid w:val="00A46588"/>
    <w:rsid w:val="00A468CB"/>
    <w:rsid w:val="00A46B84"/>
    <w:rsid w:val="00A46D21"/>
    <w:rsid w:val="00A4707E"/>
    <w:rsid w:val="00A47186"/>
    <w:rsid w:val="00A4726A"/>
    <w:rsid w:val="00A473A0"/>
    <w:rsid w:val="00A4740F"/>
    <w:rsid w:val="00A47593"/>
    <w:rsid w:val="00A475BF"/>
    <w:rsid w:val="00A4767A"/>
    <w:rsid w:val="00A47A09"/>
    <w:rsid w:val="00A47A35"/>
    <w:rsid w:val="00A47B25"/>
    <w:rsid w:val="00A47BCC"/>
    <w:rsid w:val="00A47D57"/>
    <w:rsid w:val="00A47D86"/>
    <w:rsid w:val="00A50008"/>
    <w:rsid w:val="00A5007A"/>
    <w:rsid w:val="00A500BA"/>
    <w:rsid w:val="00A501A1"/>
    <w:rsid w:val="00A501E4"/>
    <w:rsid w:val="00A5056A"/>
    <w:rsid w:val="00A506FD"/>
    <w:rsid w:val="00A50790"/>
    <w:rsid w:val="00A50826"/>
    <w:rsid w:val="00A508E9"/>
    <w:rsid w:val="00A50AF4"/>
    <w:rsid w:val="00A50AFD"/>
    <w:rsid w:val="00A50CA3"/>
    <w:rsid w:val="00A510A1"/>
    <w:rsid w:val="00A510CF"/>
    <w:rsid w:val="00A511B7"/>
    <w:rsid w:val="00A511FB"/>
    <w:rsid w:val="00A51742"/>
    <w:rsid w:val="00A518A4"/>
    <w:rsid w:val="00A5194C"/>
    <w:rsid w:val="00A51C1D"/>
    <w:rsid w:val="00A51C34"/>
    <w:rsid w:val="00A51C6A"/>
    <w:rsid w:val="00A51F9C"/>
    <w:rsid w:val="00A520BF"/>
    <w:rsid w:val="00A52156"/>
    <w:rsid w:val="00A521E9"/>
    <w:rsid w:val="00A52203"/>
    <w:rsid w:val="00A5244E"/>
    <w:rsid w:val="00A5275F"/>
    <w:rsid w:val="00A528B8"/>
    <w:rsid w:val="00A529A3"/>
    <w:rsid w:val="00A52C9F"/>
    <w:rsid w:val="00A53233"/>
    <w:rsid w:val="00A532A3"/>
    <w:rsid w:val="00A532B8"/>
    <w:rsid w:val="00A53315"/>
    <w:rsid w:val="00A533F2"/>
    <w:rsid w:val="00A536D1"/>
    <w:rsid w:val="00A5370E"/>
    <w:rsid w:val="00A53B76"/>
    <w:rsid w:val="00A53B88"/>
    <w:rsid w:val="00A53D2A"/>
    <w:rsid w:val="00A53D2C"/>
    <w:rsid w:val="00A53E80"/>
    <w:rsid w:val="00A53F3C"/>
    <w:rsid w:val="00A54050"/>
    <w:rsid w:val="00A54126"/>
    <w:rsid w:val="00A5416C"/>
    <w:rsid w:val="00A54189"/>
    <w:rsid w:val="00A54251"/>
    <w:rsid w:val="00A542B9"/>
    <w:rsid w:val="00A54382"/>
    <w:rsid w:val="00A54650"/>
    <w:rsid w:val="00A5478B"/>
    <w:rsid w:val="00A54835"/>
    <w:rsid w:val="00A54B82"/>
    <w:rsid w:val="00A54E79"/>
    <w:rsid w:val="00A54E7D"/>
    <w:rsid w:val="00A54F6D"/>
    <w:rsid w:val="00A5500F"/>
    <w:rsid w:val="00A55090"/>
    <w:rsid w:val="00A554D7"/>
    <w:rsid w:val="00A555EB"/>
    <w:rsid w:val="00A55681"/>
    <w:rsid w:val="00A5577B"/>
    <w:rsid w:val="00A559B6"/>
    <w:rsid w:val="00A55AAF"/>
    <w:rsid w:val="00A55B0B"/>
    <w:rsid w:val="00A55C99"/>
    <w:rsid w:val="00A55C9A"/>
    <w:rsid w:val="00A55CB6"/>
    <w:rsid w:val="00A55D98"/>
    <w:rsid w:val="00A55E48"/>
    <w:rsid w:val="00A55E8D"/>
    <w:rsid w:val="00A55FDD"/>
    <w:rsid w:val="00A55FF0"/>
    <w:rsid w:val="00A5618E"/>
    <w:rsid w:val="00A561F8"/>
    <w:rsid w:val="00A56245"/>
    <w:rsid w:val="00A56265"/>
    <w:rsid w:val="00A56444"/>
    <w:rsid w:val="00A56479"/>
    <w:rsid w:val="00A565A1"/>
    <w:rsid w:val="00A56689"/>
    <w:rsid w:val="00A5676E"/>
    <w:rsid w:val="00A567F7"/>
    <w:rsid w:val="00A5680C"/>
    <w:rsid w:val="00A56A29"/>
    <w:rsid w:val="00A56AFA"/>
    <w:rsid w:val="00A56C77"/>
    <w:rsid w:val="00A56C81"/>
    <w:rsid w:val="00A56D53"/>
    <w:rsid w:val="00A56DE4"/>
    <w:rsid w:val="00A56F0E"/>
    <w:rsid w:val="00A56F77"/>
    <w:rsid w:val="00A570FF"/>
    <w:rsid w:val="00A57288"/>
    <w:rsid w:val="00A57290"/>
    <w:rsid w:val="00A572B4"/>
    <w:rsid w:val="00A5737F"/>
    <w:rsid w:val="00A577E7"/>
    <w:rsid w:val="00A5780B"/>
    <w:rsid w:val="00A578DD"/>
    <w:rsid w:val="00A57BBE"/>
    <w:rsid w:val="00A57E38"/>
    <w:rsid w:val="00A57E4A"/>
    <w:rsid w:val="00A57FE4"/>
    <w:rsid w:val="00A601BE"/>
    <w:rsid w:val="00A6021D"/>
    <w:rsid w:val="00A602E3"/>
    <w:rsid w:val="00A6033F"/>
    <w:rsid w:val="00A604A8"/>
    <w:rsid w:val="00A60506"/>
    <w:rsid w:val="00A606D4"/>
    <w:rsid w:val="00A6086E"/>
    <w:rsid w:val="00A60987"/>
    <w:rsid w:val="00A60A91"/>
    <w:rsid w:val="00A60A93"/>
    <w:rsid w:val="00A60AAE"/>
    <w:rsid w:val="00A60AD3"/>
    <w:rsid w:val="00A60B18"/>
    <w:rsid w:val="00A60B6F"/>
    <w:rsid w:val="00A60BB0"/>
    <w:rsid w:val="00A612A2"/>
    <w:rsid w:val="00A612BE"/>
    <w:rsid w:val="00A612D3"/>
    <w:rsid w:val="00A612F9"/>
    <w:rsid w:val="00A61345"/>
    <w:rsid w:val="00A613FC"/>
    <w:rsid w:val="00A61515"/>
    <w:rsid w:val="00A6156F"/>
    <w:rsid w:val="00A6179E"/>
    <w:rsid w:val="00A61900"/>
    <w:rsid w:val="00A619EF"/>
    <w:rsid w:val="00A61A52"/>
    <w:rsid w:val="00A61A7D"/>
    <w:rsid w:val="00A61C49"/>
    <w:rsid w:val="00A61C5F"/>
    <w:rsid w:val="00A61CAB"/>
    <w:rsid w:val="00A61D3B"/>
    <w:rsid w:val="00A61DCE"/>
    <w:rsid w:val="00A62335"/>
    <w:rsid w:val="00A62506"/>
    <w:rsid w:val="00A626A2"/>
    <w:rsid w:val="00A62753"/>
    <w:rsid w:val="00A627C0"/>
    <w:rsid w:val="00A6293E"/>
    <w:rsid w:val="00A629B5"/>
    <w:rsid w:val="00A63270"/>
    <w:rsid w:val="00A63476"/>
    <w:rsid w:val="00A63500"/>
    <w:rsid w:val="00A6356F"/>
    <w:rsid w:val="00A635D0"/>
    <w:rsid w:val="00A637E1"/>
    <w:rsid w:val="00A638AC"/>
    <w:rsid w:val="00A63985"/>
    <w:rsid w:val="00A63A76"/>
    <w:rsid w:val="00A63A9C"/>
    <w:rsid w:val="00A63CCD"/>
    <w:rsid w:val="00A64069"/>
    <w:rsid w:val="00A6406E"/>
    <w:rsid w:val="00A640A0"/>
    <w:rsid w:val="00A642EE"/>
    <w:rsid w:val="00A64316"/>
    <w:rsid w:val="00A644DF"/>
    <w:rsid w:val="00A64945"/>
    <w:rsid w:val="00A64A6E"/>
    <w:rsid w:val="00A64C40"/>
    <w:rsid w:val="00A64D5A"/>
    <w:rsid w:val="00A64FE6"/>
    <w:rsid w:val="00A6502D"/>
    <w:rsid w:val="00A65280"/>
    <w:rsid w:val="00A652F0"/>
    <w:rsid w:val="00A65320"/>
    <w:rsid w:val="00A654BF"/>
    <w:rsid w:val="00A655AB"/>
    <w:rsid w:val="00A65756"/>
    <w:rsid w:val="00A657A1"/>
    <w:rsid w:val="00A65926"/>
    <w:rsid w:val="00A6595F"/>
    <w:rsid w:val="00A659DD"/>
    <w:rsid w:val="00A65A82"/>
    <w:rsid w:val="00A65B0A"/>
    <w:rsid w:val="00A65D84"/>
    <w:rsid w:val="00A65EE6"/>
    <w:rsid w:val="00A65F2F"/>
    <w:rsid w:val="00A66676"/>
    <w:rsid w:val="00A66677"/>
    <w:rsid w:val="00A667C7"/>
    <w:rsid w:val="00A66849"/>
    <w:rsid w:val="00A66931"/>
    <w:rsid w:val="00A66B9C"/>
    <w:rsid w:val="00A66C28"/>
    <w:rsid w:val="00A66CEF"/>
    <w:rsid w:val="00A66E67"/>
    <w:rsid w:val="00A66E7A"/>
    <w:rsid w:val="00A66E90"/>
    <w:rsid w:val="00A670F6"/>
    <w:rsid w:val="00A674B2"/>
    <w:rsid w:val="00A67839"/>
    <w:rsid w:val="00A67866"/>
    <w:rsid w:val="00A67A67"/>
    <w:rsid w:val="00A67B61"/>
    <w:rsid w:val="00A67BFF"/>
    <w:rsid w:val="00A67CAC"/>
    <w:rsid w:val="00A67E73"/>
    <w:rsid w:val="00A67EDA"/>
    <w:rsid w:val="00A67F20"/>
    <w:rsid w:val="00A70011"/>
    <w:rsid w:val="00A701F4"/>
    <w:rsid w:val="00A70391"/>
    <w:rsid w:val="00A707BB"/>
    <w:rsid w:val="00A708EB"/>
    <w:rsid w:val="00A70952"/>
    <w:rsid w:val="00A709FA"/>
    <w:rsid w:val="00A709FC"/>
    <w:rsid w:val="00A70A7E"/>
    <w:rsid w:val="00A70B2F"/>
    <w:rsid w:val="00A70D37"/>
    <w:rsid w:val="00A70E41"/>
    <w:rsid w:val="00A70E64"/>
    <w:rsid w:val="00A70EC3"/>
    <w:rsid w:val="00A70ED5"/>
    <w:rsid w:val="00A70F37"/>
    <w:rsid w:val="00A70F7D"/>
    <w:rsid w:val="00A70FDF"/>
    <w:rsid w:val="00A711B0"/>
    <w:rsid w:val="00A7144D"/>
    <w:rsid w:val="00A71528"/>
    <w:rsid w:val="00A715C1"/>
    <w:rsid w:val="00A71782"/>
    <w:rsid w:val="00A717BE"/>
    <w:rsid w:val="00A7187E"/>
    <w:rsid w:val="00A71A39"/>
    <w:rsid w:val="00A71A69"/>
    <w:rsid w:val="00A71AF6"/>
    <w:rsid w:val="00A71BA0"/>
    <w:rsid w:val="00A71C23"/>
    <w:rsid w:val="00A71C26"/>
    <w:rsid w:val="00A720FF"/>
    <w:rsid w:val="00A72110"/>
    <w:rsid w:val="00A72191"/>
    <w:rsid w:val="00A721CD"/>
    <w:rsid w:val="00A724F2"/>
    <w:rsid w:val="00A725F4"/>
    <w:rsid w:val="00A72700"/>
    <w:rsid w:val="00A7272D"/>
    <w:rsid w:val="00A72754"/>
    <w:rsid w:val="00A7275E"/>
    <w:rsid w:val="00A727D9"/>
    <w:rsid w:val="00A7297B"/>
    <w:rsid w:val="00A72A19"/>
    <w:rsid w:val="00A72A1D"/>
    <w:rsid w:val="00A72A63"/>
    <w:rsid w:val="00A72BD6"/>
    <w:rsid w:val="00A72C03"/>
    <w:rsid w:val="00A72F29"/>
    <w:rsid w:val="00A72FD9"/>
    <w:rsid w:val="00A73162"/>
    <w:rsid w:val="00A73542"/>
    <w:rsid w:val="00A7356B"/>
    <w:rsid w:val="00A73759"/>
    <w:rsid w:val="00A73787"/>
    <w:rsid w:val="00A737BA"/>
    <w:rsid w:val="00A73862"/>
    <w:rsid w:val="00A738D0"/>
    <w:rsid w:val="00A738F0"/>
    <w:rsid w:val="00A73962"/>
    <w:rsid w:val="00A73BFB"/>
    <w:rsid w:val="00A73C99"/>
    <w:rsid w:val="00A73E75"/>
    <w:rsid w:val="00A73EEB"/>
    <w:rsid w:val="00A73F28"/>
    <w:rsid w:val="00A73FEA"/>
    <w:rsid w:val="00A73FF4"/>
    <w:rsid w:val="00A740BA"/>
    <w:rsid w:val="00A742B2"/>
    <w:rsid w:val="00A7448A"/>
    <w:rsid w:val="00A7448B"/>
    <w:rsid w:val="00A7475D"/>
    <w:rsid w:val="00A74A04"/>
    <w:rsid w:val="00A74A8C"/>
    <w:rsid w:val="00A74BA6"/>
    <w:rsid w:val="00A74CCD"/>
    <w:rsid w:val="00A74DDD"/>
    <w:rsid w:val="00A74F08"/>
    <w:rsid w:val="00A74F09"/>
    <w:rsid w:val="00A74F6D"/>
    <w:rsid w:val="00A75066"/>
    <w:rsid w:val="00A7544D"/>
    <w:rsid w:val="00A755B1"/>
    <w:rsid w:val="00A75675"/>
    <w:rsid w:val="00A75B83"/>
    <w:rsid w:val="00A75C1E"/>
    <w:rsid w:val="00A75CEE"/>
    <w:rsid w:val="00A75E68"/>
    <w:rsid w:val="00A75EA1"/>
    <w:rsid w:val="00A760FC"/>
    <w:rsid w:val="00A761E8"/>
    <w:rsid w:val="00A76472"/>
    <w:rsid w:val="00A7648E"/>
    <w:rsid w:val="00A765B7"/>
    <w:rsid w:val="00A766E6"/>
    <w:rsid w:val="00A767D2"/>
    <w:rsid w:val="00A7691B"/>
    <w:rsid w:val="00A76A30"/>
    <w:rsid w:val="00A76BF6"/>
    <w:rsid w:val="00A76DE5"/>
    <w:rsid w:val="00A76E88"/>
    <w:rsid w:val="00A76FD7"/>
    <w:rsid w:val="00A7712A"/>
    <w:rsid w:val="00A771DB"/>
    <w:rsid w:val="00A772FF"/>
    <w:rsid w:val="00A77347"/>
    <w:rsid w:val="00A77372"/>
    <w:rsid w:val="00A77458"/>
    <w:rsid w:val="00A7760D"/>
    <w:rsid w:val="00A7760F"/>
    <w:rsid w:val="00A777C9"/>
    <w:rsid w:val="00A778F7"/>
    <w:rsid w:val="00A779BA"/>
    <w:rsid w:val="00A77B0F"/>
    <w:rsid w:val="00A77BAF"/>
    <w:rsid w:val="00A77C49"/>
    <w:rsid w:val="00A77D54"/>
    <w:rsid w:val="00A77ED5"/>
    <w:rsid w:val="00A8017B"/>
    <w:rsid w:val="00A8021C"/>
    <w:rsid w:val="00A803A1"/>
    <w:rsid w:val="00A804D9"/>
    <w:rsid w:val="00A804DB"/>
    <w:rsid w:val="00A80869"/>
    <w:rsid w:val="00A80918"/>
    <w:rsid w:val="00A809CE"/>
    <w:rsid w:val="00A809D9"/>
    <w:rsid w:val="00A80B18"/>
    <w:rsid w:val="00A80B77"/>
    <w:rsid w:val="00A80BA7"/>
    <w:rsid w:val="00A80F84"/>
    <w:rsid w:val="00A812BC"/>
    <w:rsid w:val="00A812D6"/>
    <w:rsid w:val="00A8130A"/>
    <w:rsid w:val="00A81563"/>
    <w:rsid w:val="00A81638"/>
    <w:rsid w:val="00A817F2"/>
    <w:rsid w:val="00A8185B"/>
    <w:rsid w:val="00A81A23"/>
    <w:rsid w:val="00A81B3E"/>
    <w:rsid w:val="00A81B47"/>
    <w:rsid w:val="00A81B91"/>
    <w:rsid w:val="00A81CD3"/>
    <w:rsid w:val="00A81DC7"/>
    <w:rsid w:val="00A81E0F"/>
    <w:rsid w:val="00A82019"/>
    <w:rsid w:val="00A8213B"/>
    <w:rsid w:val="00A82165"/>
    <w:rsid w:val="00A822D5"/>
    <w:rsid w:val="00A826B6"/>
    <w:rsid w:val="00A82784"/>
    <w:rsid w:val="00A827A5"/>
    <w:rsid w:val="00A828CE"/>
    <w:rsid w:val="00A829B5"/>
    <w:rsid w:val="00A82B4A"/>
    <w:rsid w:val="00A82B54"/>
    <w:rsid w:val="00A82BFB"/>
    <w:rsid w:val="00A82D40"/>
    <w:rsid w:val="00A834BC"/>
    <w:rsid w:val="00A838B3"/>
    <w:rsid w:val="00A83AB9"/>
    <w:rsid w:val="00A83AC5"/>
    <w:rsid w:val="00A83CF2"/>
    <w:rsid w:val="00A83E7D"/>
    <w:rsid w:val="00A83F88"/>
    <w:rsid w:val="00A8422F"/>
    <w:rsid w:val="00A8449B"/>
    <w:rsid w:val="00A84564"/>
    <w:rsid w:val="00A84651"/>
    <w:rsid w:val="00A84903"/>
    <w:rsid w:val="00A84B1C"/>
    <w:rsid w:val="00A84B23"/>
    <w:rsid w:val="00A84DE0"/>
    <w:rsid w:val="00A84E74"/>
    <w:rsid w:val="00A85167"/>
    <w:rsid w:val="00A851AC"/>
    <w:rsid w:val="00A852C1"/>
    <w:rsid w:val="00A85524"/>
    <w:rsid w:val="00A8573B"/>
    <w:rsid w:val="00A857F5"/>
    <w:rsid w:val="00A85A7E"/>
    <w:rsid w:val="00A85CDF"/>
    <w:rsid w:val="00A85D19"/>
    <w:rsid w:val="00A85D7B"/>
    <w:rsid w:val="00A85DD5"/>
    <w:rsid w:val="00A85FF1"/>
    <w:rsid w:val="00A86000"/>
    <w:rsid w:val="00A8629F"/>
    <w:rsid w:val="00A86304"/>
    <w:rsid w:val="00A8655C"/>
    <w:rsid w:val="00A868C9"/>
    <w:rsid w:val="00A86CE2"/>
    <w:rsid w:val="00A86CED"/>
    <w:rsid w:val="00A86DFA"/>
    <w:rsid w:val="00A86F01"/>
    <w:rsid w:val="00A86F9E"/>
    <w:rsid w:val="00A86FA0"/>
    <w:rsid w:val="00A87031"/>
    <w:rsid w:val="00A87089"/>
    <w:rsid w:val="00A87209"/>
    <w:rsid w:val="00A87245"/>
    <w:rsid w:val="00A873ED"/>
    <w:rsid w:val="00A8798F"/>
    <w:rsid w:val="00A879D2"/>
    <w:rsid w:val="00A87C48"/>
    <w:rsid w:val="00A87DEE"/>
    <w:rsid w:val="00A87FAE"/>
    <w:rsid w:val="00A90071"/>
    <w:rsid w:val="00A9026A"/>
    <w:rsid w:val="00A9028B"/>
    <w:rsid w:val="00A903C4"/>
    <w:rsid w:val="00A9085B"/>
    <w:rsid w:val="00A90A56"/>
    <w:rsid w:val="00A90BDA"/>
    <w:rsid w:val="00A90DBE"/>
    <w:rsid w:val="00A90DC1"/>
    <w:rsid w:val="00A90DE4"/>
    <w:rsid w:val="00A90EEA"/>
    <w:rsid w:val="00A90F2F"/>
    <w:rsid w:val="00A90F84"/>
    <w:rsid w:val="00A91279"/>
    <w:rsid w:val="00A917CD"/>
    <w:rsid w:val="00A91B30"/>
    <w:rsid w:val="00A91CF9"/>
    <w:rsid w:val="00A91D7F"/>
    <w:rsid w:val="00A91DAE"/>
    <w:rsid w:val="00A920C1"/>
    <w:rsid w:val="00A920F2"/>
    <w:rsid w:val="00A9211D"/>
    <w:rsid w:val="00A921C7"/>
    <w:rsid w:val="00A92204"/>
    <w:rsid w:val="00A92346"/>
    <w:rsid w:val="00A9239E"/>
    <w:rsid w:val="00A92465"/>
    <w:rsid w:val="00A92506"/>
    <w:rsid w:val="00A92524"/>
    <w:rsid w:val="00A927ED"/>
    <w:rsid w:val="00A92915"/>
    <w:rsid w:val="00A92A45"/>
    <w:rsid w:val="00A92C3A"/>
    <w:rsid w:val="00A92D96"/>
    <w:rsid w:val="00A92ED4"/>
    <w:rsid w:val="00A92EF6"/>
    <w:rsid w:val="00A92F92"/>
    <w:rsid w:val="00A93142"/>
    <w:rsid w:val="00A934B6"/>
    <w:rsid w:val="00A934E9"/>
    <w:rsid w:val="00A93552"/>
    <w:rsid w:val="00A935D1"/>
    <w:rsid w:val="00A937F2"/>
    <w:rsid w:val="00A93854"/>
    <w:rsid w:val="00A938D6"/>
    <w:rsid w:val="00A93B0D"/>
    <w:rsid w:val="00A93BBD"/>
    <w:rsid w:val="00A93CD4"/>
    <w:rsid w:val="00A93DAE"/>
    <w:rsid w:val="00A93E3F"/>
    <w:rsid w:val="00A93EF0"/>
    <w:rsid w:val="00A93FA8"/>
    <w:rsid w:val="00A941B8"/>
    <w:rsid w:val="00A94670"/>
    <w:rsid w:val="00A948A3"/>
    <w:rsid w:val="00A94B43"/>
    <w:rsid w:val="00A94C27"/>
    <w:rsid w:val="00A94E97"/>
    <w:rsid w:val="00A94F51"/>
    <w:rsid w:val="00A9500F"/>
    <w:rsid w:val="00A95029"/>
    <w:rsid w:val="00A9515D"/>
    <w:rsid w:val="00A952FD"/>
    <w:rsid w:val="00A95327"/>
    <w:rsid w:val="00A953DF"/>
    <w:rsid w:val="00A9543E"/>
    <w:rsid w:val="00A9543F"/>
    <w:rsid w:val="00A958E9"/>
    <w:rsid w:val="00A95957"/>
    <w:rsid w:val="00A95A2C"/>
    <w:rsid w:val="00A95A66"/>
    <w:rsid w:val="00A95B49"/>
    <w:rsid w:val="00A95D06"/>
    <w:rsid w:val="00A95D8B"/>
    <w:rsid w:val="00A95DA6"/>
    <w:rsid w:val="00A95DE8"/>
    <w:rsid w:val="00A95E68"/>
    <w:rsid w:val="00A95FAA"/>
    <w:rsid w:val="00A95FD3"/>
    <w:rsid w:val="00A95FD6"/>
    <w:rsid w:val="00A9601F"/>
    <w:rsid w:val="00A9640D"/>
    <w:rsid w:val="00A964CD"/>
    <w:rsid w:val="00A96520"/>
    <w:rsid w:val="00A966E9"/>
    <w:rsid w:val="00A96746"/>
    <w:rsid w:val="00A96892"/>
    <w:rsid w:val="00A969F0"/>
    <w:rsid w:val="00A96AA4"/>
    <w:rsid w:val="00A96B6E"/>
    <w:rsid w:val="00A96C56"/>
    <w:rsid w:val="00A96E07"/>
    <w:rsid w:val="00A96E98"/>
    <w:rsid w:val="00A96ED8"/>
    <w:rsid w:val="00A97008"/>
    <w:rsid w:val="00A97039"/>
    <w:rsid w:val="00A970F5"/>
    <w:rsid w:val="00A970FE"/>
    <w:rsid w:val="00A9727E"/>
    <w:rsid w:val="00A973F1"/>
    <w:rsid w:val="00A97402"/>
    <w:rsid w:val="00A97724"/>
    <w:rsid w:val="00A978DA"/>
    <w:rsid w:val="00A979D6"/>
    <w:rsid w:val="00A979EA"/>
    <w:rsid w:val="00A97A45"/>
    <w:rsid w:val="00A97AB5"/>
    <w:rsid w:val="00A97B14"/>
    <w:rsid w:val="00A97B4F"/>
    <w:rsid w:val="00A97ED0"/>
    <w:rsid w:val="00A97F63"/>
    <w:rsid w:val="00AA0200"/>
    <w:rsid w:val="00AA031D"/>
    <w:rsid w:val="00AA044F"/>
    <w:rsid w:val="00AA04BB"/>
    <w:rsid w:val="00AA06CD"/>
    <w:rsid w:val="00AA0779"/>
    <w:rsid w:val="00AA08BB"/>
    <w:rsid w:val="00AA08D1"/>
    <w:rsid w:val="00AA092A"/>
    <w:rsid w:val="00AA094E"/>
    <w:rsid w:val="00AA095D"/>
    <w:rsid w:val="00AA0CB5"/>
    <w:rsid w:val="00AA0EC5"/>
    <w:rsid w:val="00AA115B"/>
    <w:rsid w:val="00AA12A1"/>
    <w:rsid w:val="00AA12E2"/>
    <w:rsid w:val="00AA1972"/>
    <w:rsid w:val="00AA19CF"/>
    <w:rsid w:val="00AA1B3F"/>
    <w:rsid w:val="00AA1CD2"/>
    <w:rsid w:val="00AA1EB6"/>
    <w:rsid w:val="00AA2051"/>
    <w:rsid w:val="00AA20D9"/>
    <w:rsid w:val="00AA2147"/>
    <w:rsid w:val="00AA234C"/>
    <w:rsid w:val="00AA23DB"/>
    <w:rsid w:val="00AA2563"/>
    <w:rsid w:val="00AA298F"/>
    <w:rsid w:val="00AA3067"/>
    <w:rsid w:val="00AA30D4"/>
    <w:rsid w:val="00AA30D7"/>
    <w:rsid w:val="00AA30E9"/>
    <w:rsid w:val="00AA317C"/>
    <w:rsid w:val="00AA35A3"/>
    <w:rsid w:val="00AA37C6"/>
    <w:rsid w:val="00AA37EE"/>
    <w:rsid w:val="00AA388A"/>
    <w:rsid w:val="00AA3977"/>
    <w:rsid w:val="00AA3A36"/>
    <w:rsid w:val="00AA3E82"/>
    <w:rsid w:val="00AA3F02"/>
    <w:rsid w:val="00AA3F8C"/>
    <w:rsid w:val="00AA3FA6"/>
    <w:rsid w:val="00AA400D"/>
    <w:rsid w:val="00AA403B"/>
    <w:rsid w:val="00AA4217"/>
    <w:rsid w:val="00AA4224"/>
    <w:rsid w:val="00AA42C3"/>
    <w:rsid w:val="00AA4481"/>
    <w:rsid w:val="00AA44B8"/>
    <w:rsid w:val="00AA46CE"/>
    <w:rsid w:val="00AA48DC"/>
    <w:rsid w:val="00AA499B"/>
    <w:rsid w:val="00AA4B03"/>
    <w:rsid w:val="00AA4C92"/>
    <w:rsid w:val="00AA4CCC"/>
    <w:rsid w:val="00AA4DBA"/>
    <w:rsid w:val="00AA4F1D"/>
    <w:rsid w:val="00AA5162"/>
    <w:rsid w:val="00AA520D"/>
    <w:rsid w:val="00AA552D"/>
    <w:rsid w:val="00AA575B"/>
    <w:rsid w:val="00AA57BF"/>
    <w:rsid w:val="00AA585F"/>
    <w:rsid w:val="00AA5AED"/>
    <w:rsid w:val="00AA5D55"/>
    <w:rsid w:val="00AA5D77"/>
    <w:rsid w:val="00AA5DAF"/>
    <w:rsid w:val="00AA5EF9"/>
    <w:rsid w:val="00AA6112"/>
    <w:rsid w:val="00AA6267"/>
    <w:rsid w:val="00AA62F1"/>
    <w:rsid w:val="00AA659F"/>
    <w:rsid w:val="00AA68DE"/>
    <w:rsid w:val="00AA6B11"/>
    <w:rsid w:val="00AA6BA1"/>
    <w:rsid w:val="00AA6CA5"/>
    <w:rsid w:val="00AA6D82"/>
    <w:rsid w:val="00AA6DA5"/>
    <w:rsid w:val="00AA70C4"/>
    <w:rsid w:val="00AA7139"/>
    <w:rsid w:val="00AA7151"/>
    <w:rsid w:val="00AA727F"/>
    <w:rsid w:val="00AA728B"/>
    <w:rsid w:val="00AA739E"/>
    <w:rsid w:val="00AA7484"/>
    <w:rsid w:val="00AA7597"/>
    <w:rsid w:val="00AA75CD"/>
    <w:rsid w:val="00AA77B1"/>
    <w:rsid w:val="00AA78F8"/>
    <w:rsid w:val="00AA7961"/>
    <w:rsid w:val="00AA7B66"/>
    <w:rsid w:val="00AA7BF5"/>
    <w:rsid w:val="00AA7E53"/>
    <w:rsid w:val="00AA7E86"/>
    <w:rsid w:val="00AB013B"/>
    <w:rsid w:val="00AB02CF"/>
    <w:rsid w:val="00AB02EF"/>
    <w:rsid w:val="00AB0326"/>
    <w:rsid w:val="00AB0499"/>
    <w:rsid w:val="00AB04C6"/>
    <w:rsid w:val="00AB0835"/>
    <w:rsid w:val="00AB08B6"/>
    <w:rsid w:val="00AB0A8B"/>
    <w:rsid w:val="00AB0B55"/>
    <w:rsid w:val="00AB0C17"/>
    <w:rsid w:val="00AB0C37"/>
    <w:rsid w:val="00AB0CA5"/>
    <w:rsid w:val="00AB0DB3"/>
    <w:rsid w:val="00AB125C"/>
    <w:rsid w:val="00AB133E"/>
    <w:rsid w:val="00AB1411"/>
    <w:rsid w:val="00AB15C3"/>
    <w:rsid w:val="00AB16D4"/>
    <w:rsid w:val="00AB16D5"/>
    <w:rsid w:val="00AB179D"/>
    <w:rsid w:val="00AB1954"/>
    <w:rsid w:val="00AB1B49"/>
    <w:rsid w:val="00AB1B6E"/>
    <w:rsid w:val="00AB1C4B"/>
    <w:rsid w:val="00AB1C68"/>
    <w:rsid w:val="00AB1F9F"/>
    <w:rsid w:val="00AB1FB6"/>
    <w:rsid w:val="00AB2074"/>
    <w:rsid w:val="00AB2154"/>
    <w:rsid w:val="00AB2170"/>
    <w:rsid w:val="00AB2226"/>
    <w:rsid w:val="00AB223F"/>
    <w:rsid w:val="00AB239D"/>
    <w:rsid w:val="00AB2488"/>
    <w:rsid w:val="00AB24AD"/>
    <w:rsid w:val="00AB24DD"/>
    <w:rsid w:val="00AB2568"/>
    <w:rsid w:val="00AB25E2"/>
    <w:rsid w:val="00AB273C"/>
    <w:rsid w:val="00AB2810"/>
    <w:rsid w:val="00AB2852"/>
    <w:rsid w:val="00AB2EA6"/>
    <w:rsid w:val="00AB32A4"/>
    <w:rsid w:val="00AB3424"/>
    <w:rsid w:val="00AB360F"/>
    <w:rsid w:val="00AB3660"/>
    <w:rsid w:val="00AB36E5"/>
    <w:rsid w:val="00AB3804"/>
    <w:rsid w:val="00AB38FA"/>
    <w:rsid w:val="00AB399D"/>
    <w:rsid w:val="00AB3C53"/>
    <w:rsid w:val="00AB3C68"/>
    <w:rsid w:val="00AB3F1F"/>
    <w:rsid w:val="00AB3FBA"/>
    <w:rsid w:val="00AB4053"/>
    <w:rsid w:val="00AB40B6"/>
    <w:rsid w:val="00AB41A4"/>
    <w:rsid w:val="00AB42AC"/>
    <w:rsid w:val="00AB42BE"/>
    <w:rsid w:val="00AB44B0"/>
    <w:rsid w:val="00AB4839"/>
    <w:rsid w:val="00AB4A82"/>
    <w:rsid w:val="00AB4B34"/>
    <w:rsid w:val="00AB4B86"/>
    <w:rsid w:val="00AB4C25"/>
    <w:rsid w:val="00AB4C37"/>
    <w:rsid w:val="00AB4CCC"/>
    <w:rsid w:val="00AB4F4B"/>
    <w:rsid w:val="00AB507E"/>
    <w:rsid w:val="00AB5354"/>
    <w:rsid w:val="00AB547E"/>
    <w:rsid w:val="00AB54F0"/>
    <w:rsid w:val="00AB561C"/>
    <w:rsid w:val="00AB564F"/>
    <w:rsid w:val="00AB577D"/>
    <w:rsid w:val="00AB5788"/>
    <w:rsid w:val="00AB578A"/>
    <w:rsid w:val="00AB57FC"/>
    <w:rsid w:val="00AB581E"/>
    <w:rsid w:val="00AB58E8"/>
    <w:rsid w:val="00AB5A30"/>
    <w:rsid w:val="00AB5ACA"/>
    <w:rsid w:val="00AB5BE2"/>
    <w:rsid w:val="00AB5FCF"/>
    <w:rsid w:val="00AB6103"/>
    <w:rsid w:val="00AB6418"/>
    <w:rsid w:val="00AB6439"/>
    <w:rsid w:val="00AB65A0"/>
    <w:rsid w:val="00AB6701"/>
    <w:rsid w:val="00AB6802"/>
    <w:rsid w:val="00AB68C2"/>
    <w:rsid w:val="00AB6A75"/>
    <w:rsid w:val="00AB6B77"/>
    <w:rsid w:val="00AB6C93"/>
    <w:rsid w:val="00AB6C95"/>
    <w:rsid w:val="00AB6E54"/>
    <w:rsid w:val="00AB735F"/>
    <w:rsid w:val="00AB7516"/>
    <w:rsid w:val="00AB7746"/>
    <w:rsid w:val="00AB77FB"/>
    <w:rsid w:val="00AB794A"/>
    <w:rsid w:val="00AB7C76"/>
    <w:rsid w:val="00AB7C8F"/>
    <w:rsid w:val="00AB7CDA"/>
    <w:rsid w:val="00AB7CEF"/>
    <w:rsid w:val="00AB7DBB"/>
    <w:rsid w:val="00AB7E23"/>
    <w:rsid w:val="00AB7E49"/>
    <w:rsid w:val="00AB7F6C"/>
    <w:rsid w:val="00AB7F8A"/>
    <w:rsid w:val="00AC003C"/>
    <w:rsid w:val="00AC00F9"/>
    <w:rsid w:val="00AC0164"/>
    <w:rsid w:val="00AC03F9"/>
    <w:rsid w:val="00AC0530"/>
    <w:rsid w:val="00AC0547"/>
    <w:rsid w:val="00AC05FB"/>
    <w:rsid w:val="00AC08A4"/>
    <w:rsid w:val="00AC0952"/>
    <w:rsid w:val="00AC0C51"/>
    <w:rsid w:val="00AC0E4E"/>
    <w:rsid w:val="00AC0F17"/>
    <w:rsid w:val="00AC10B6"/>
    <w:rsid w:val="00AC10C2"/>
    <w:rsid w:val="00AC1246"/>
    <w:rsid w:val="00AC1358"/>
    <w:rsid w:val="00AC13FB"/>
    <w:rsid w:val="00AC149D"/>
    <w:rsid w:val="00AC1871"/>
    <w:rsid w:val="00AC1917"/>
    <w:rsid w:val="00AC1AA8"/>
    <w:rsid w:val="00AC1B83"/>
    <w:rsid w:val="00AC1DF7"/>
    <w:rsid w:val="00AC1E65"/>
    <w:rsid w:val="00AC1FB5"/>
    <w:rsid w:val="00AC1FBA"/>
    <w:rsid w:val="00AC218A"/>
    <w:rsid w:val="00AC2192"/>
    <w:rsid w:val="00AC2206"/>
    <w:rsid w:val="00AC2261"/>
    <w:rsid w:val="00AC22E4"/>
    <w:rsid w:val="00AC25C5"/>
    <w:rsid w:val="00AC26FB"/>
    <w:rsid w:val="00AC28D5"/>
    <w:rsid w:val="00AC2932"/>
    <w:rsid w:val="00AC2A67"/>
    <w:rsid w:val="00AC2A91"/>
    <w:rsid w:val="00AC2AD8"/>
    <w:rsid w:val="00AC2CBB"/>
    <w:rsid w:val="00AC2CD5"/>
    <w:rsid w:val="00AC2DB0"/>
    <w:rsid w:val="00AC2F59"/>
    <w:rsid w:val="00AC2FB4"/>
    <w:rsid w:val="00AC3060"/>
    <w:rsid w:val="00AC35FD"/>
    <w:rsid w:val="00AC3617"/>
    <w:rsid w:val="00AC3852"/>
    <w:rsid w:val="00AC39BA"/>
    <w:rsid w:val="00AC3A6D"/>
    <w:rsid w:val="00AC3A9F"/>
    <w:rsid w:val="00AC3B09"/>
    <w:rsid w:val="00AC3C2C"/>
    <w:rsid w:val="00AC3C73"/>
    <w:rsid w:val="00AC3F65"/>
    <w:rsid w:val="00AC3F68"/>
    <w:rsid w:val="00AC3FAD"/>
    <w:rsid w:val="00AC3FB4"/>
    <w:rsid w:val="00AC40C7"/>
    <w:rsid w:val="00AC42FE"/>
    <w:rsid w:val="00AC4330"/>
    <w:rsid w:val="00AC4386"/>
    <w:rsid w:val="00AC438A"/>
    <w:rsid w:val="00AC43D7"/>
    <w:rsid w:val="00AC44BC"/>
    <w:rsid w:val="00AC4514"/>
    <w:rsid w:val="00AC4761"/>
    <w:rsid w:val="00AC4785"/>
    <w:rsid w:val="00AC48ED"/>
    <w:rsid w:val="00AC49FD"/>
    <w:rsid w:val="00AC4A5D"/>
    <w:rsid w:val="00AC4B0D"/>
    <w:rsid w:val="00AC4DDB"/>
    <w:rsid w:val="00AC5053"/>
    <w:rsid w:val="00AC50F3"/>
    <w:rsid w:val="00AC50F7"/>
    <w:rsid w:val="00AC5193"/>
    <w:rsid w:val="00AC544E"/>
    <w:rsid w:val="00AC58E3"/>
    <w:rsid w:val="00AC5A3F"/>
    <w:rsid w:val="00AC5C72"/>
    <w:rsid w:val="00AC5D3B"/>
    <w:rsid w:val="00AC5D8F"/>
    <w:rsid w:val="00AC5DBD"/>
    <w:rsid w:val="00AC5ED5"/>
    <w:rsid w:val="00AC6051"/>
    <w:rsid w:val="00AC6072"/>
    <w:rsid w:val="00AC6310"/>
    <w:rsid w:val="00AC636D"/>
    <w:rsid w:val="00AC65F1"/>
    <w:rsid w:val="00AC65F5"/>
    <w:rsid w:val="00AC68DF"/>
    <w:rsid w:val="00AC6B81"/>
    <w:rsid w:val="00AC6BE3"/>
    <w:rsid w:val="00AC6D3F"/>
    <w:rsid w:val="00AC6D71"/>
    <w:rsid w:val="00AC6DA6"/>
    <w:rsid w:val="00AC6F8B"/>
    <w:rsid w:val="00AC6FEF"/>
    <w:rsid w:val="00AC7074"/>
    <w:rsid w:val="00AC707E"/>
    <w:rsid w:val="00AC73DC"/>
    <w:rsid w:val="00AC7508"/>
    <w:rsid w:val="00AC759C"/>
    <w:rsid w:val="00AC766D"/>
    <w:rsid w:val="00AC7886"/>
    <w:rsid w:val="00AC7965"/>
    <w:rsid w:val="00AC79B3"/>
    <w:rsid w:val="00AC7A0D"/>
    <w:rsid w:val="00AC7AF6"/>
    <w:rsid w:val="00AC7B5F"/>
    <w:rsid w:val="00AC7C7D"/>
    <w:rsid w:val="00AC7FDF"/>
    <w:rsid w:val="00AD01BF"/>
    <w:rsid w:val="00AD01F4"/>
    <w:rsid w:val="00AD0387"/>
    <w:rsid w:val="00AD03D1"/>
    <w:rsid w:val="00AD044A"/>
    <w:rsid w:val="00AD04AE"/>
    <w:rsid w:val="00AD0787"/>
    <w:rsid w:val="00AD07EF"/>
    <w:rsid w:val="00AD07FE"/>
    <w:rsid w:val="00AD08D5"/>
    <w:rsid w:val="00AD08F9"/>
    <w:rsid w:val="00AD092F"/>
    <w:rsid w:val="00AD0B4B"/>
    <w:rsid w:val="00AD0BF9"/>
    <w:rsid w:val="00AD0D91"/>
    <w:rsid w:val="00AD0DD7"/>
    <w:rsid w:val="00AD102B"/>
    <w:rsid w:val="00AD105E"/>
    <w:rsid w:val="00AD10BC"/>
    <w:rsid w:val="00AD1246"/>
    <w:rsid w:val="00AD1272"/>
    <w:rsid w:val="00AD1394"/>
    <w:rsid w:val="00AD163A"/>
    <w:rsid w:val="00AD17E3"/>
    <w:rsid w:val="00AD1878"/>
    <w:rsid w:val="00AD1929"/>
    <w:rsid w:val="00AD1AD9"/>
    <w:rsid w:val="00AD1E48"/>
    <w:rsid w:val="00AD2031"/>
    <w:rsid w:val="00AD2218"/>
    <w:rsid w:val="00AD237E"/>
    <w:rsid w:val="00AD24EB"/>
    <w:rsid w:val="00AD262A"/>
    <w:rsid w:val="00AD28BD"/>
    <w:rsid w:val="00AD28E2"/>
    <w:rsid w:val="00AD293A"/>
    <w:rsid w:val="00AD2B5C"/>
    <w:rsid w:val="00AD2E4E"/>
    <w:rsid w:val="00AD2E72"/>
    <w:rsid w:val="00AD3206"/>
    <w:rsid w:val="00AD3460"/>
    <w:rsid w:val="00AD36C1"/>
    <w:rsid w:val="00AD370D"/>
    <w:rsid w:val="00AD3738"/>
    <w:rsid w:val="00AD37AB"/>
    <w:rsid w:val="00AD38D4"/>
    <w:rsid w:val="00AD3925"/>
    <w:rsid w:val="00AD3C06"/>
    <w:rsid w:val="00AD3C56"/>
    <w:rsid w:val="00AD3D58"/>
    <w:rsid w:val="00AD3DE1"/>
    <w:rsid w:val="00AD3DF6"/>
    <w:rsid w:val="00AD4027"/>
    <w:rsid w:val="00AD40BD"/>
    <w:rsid w:val="00AD4165"/>
    <w:rsid w:val="00AD42B2"/>
    <w:rsid w:val="00AD4316"/>
    <w:rsid w:val="00AD43AC"/>
    <w:rsid w:val="00AD43CF"/>
    <w:rsid w:val="00AD448A"/>
    <w:rsid w:val="00AD4645"/>
    <w:rsid w:val="00AD47B9"/>
    <w:rsid w:val="00AD47CC"/>
    <w:rsid w:val="00AD4838"/>
    <w:rsid w:val="00AD4A7E"/>
    <w:rsid w:val="00AD4C30"/>
    <w:rsid w:val="00AD4CC5"/>
    <w:rsid w:val="00AD501D"/>
    <w:rsid w:val="00AD518E"/>
    <w:rsid w:val="00AD51D1"/>
    <w:rsid w:val="00AD5249"/>
    <w:rsid w:val="00AD5263"/>
    <w:rsid w:val="00AD5265"/>
    <w:rsid w:val="00AD52FF"/>
    <w:rsid w:val="00AD55D8"/>
    <w:rsid w:val="00AD55E6"/>
    <w:rsid w:val="00AD5AC4"/>
    <w:rsid w:val="00AD5B6D"/>
    <w:rsid w:val="00AD5BB9"/>
    <w:rsid w:val="00AD5BE2"/>
    <w:rsid w:val="00AD5ED5"/>
    <w:rsid w:val="00AD5EFD"/>
    <w:rsid w:val="00AD5FC6"/>
    <w:rsid w:val="00AD605D"/>
    <w:rsid w:val="00AD608E"/>
    <w:rsid w:val="00AD6505"/>
    <w:rsid w:val="00AD6536"/>
    <w:rsid w:val="00AD699F"/>
    <w:rsid w:val="00AD69BE"/>
    <w:rsid w:val="00AD6FE4"/>
    <w:rsid w:val="00AD70C7"/>
    <w:rsid w:val="00AD7501"/>
    <w:rsid w:val="00AD7725"/>
    <w:rsid w:val="00AD77C8"/>
    <w:rsid w:val="00AD7B2D"/>
    <w:rsid w:val="00AD7C3F"/>
    <w:rsid w:val="00AD7C82"/>
    <w:rsid w:val="00AD7EEC"/>
    <w:rsid w:val="00AE0518"/>
    <w:rsid w:val="00AE0619"/>
    <w:rsid w:val="00AE0A88"/>
    <w:rsid w:val="00AE0B3C"/>
    <w:rsid w:val="00AE0B72"/>
    <w:rsid w:val="00AE0E01"/>
    <w:rsid w:val="00AE0E2B"/>
    <w:rsid w:val="00AE0F5C"/>
    <w:rsid w:val="00AE0FDB"/>
    <w:rsid w:val="00AE1206"/>
    <w:rsid w:val="00AE12D9"/>
    <w:rsid w:val="00AE12DA"/>
    <w:rsid w:val="00AE1302"/>
    <w:rsid w:val="00AE15D1"/>
    <w:rsid w:val="00AE16FA"/>
    <w:rsid w:val="00AE1A8B"/>
    <w:rsid w:val="00AE1CED"/>
    <w:rsid w:val="00AE1DD9"/>
    <w:rsid w:val="00AE1EAF"/>
    <w:rsid w:val="00AE1F06"/>
    <w:rsid w:val="00AE1F79"/>
    <w:rsid w:val="00AE1F9E"/>
    <w:rsid w:val="00AE1FD6"/>
    <w:rsid w:val="00AE20E0"/>
    <w:rsid w:val="00AE2103"/>
    <w:rsid w:val="00AE216E"/>
    <w:rsid w:val="00AE231D"/>
    <w:rsid w:val="00AE2596"/>
    <w:rsid w:val="00AE2622"/>
    <w:rsid w:val="00AE2682"/>
    <w:rsid w:val="00AE26BC"/>
    <w:rsid w:val="00AE27A9"/>
    <w:rsid w:val="00AE281F"/>
    <w:rsid w:val="00AE2887"/>
    <w:rsid w:val="00AE2985"/>
    <w:rsid w:val="00AE2B3B"/>
    <w:rsid w:val="00AE2C35"/>
    <w:rsid w:val="00AE2C4A"/>
    <w:rsid w:val="00AE2C88"/>
    <w:rsid w:val="00AE2D56"/>
    <w:rsid w:val="00AE2E45"/>
    <w:rsid w:val="00AE2FD2"/>
    <w:rsid w:val="00AE3044"/>
    <w:rsid w:val="00AE3067"/>
    <w:rsid w:val="00AE3068"/>
    <w:rsid w:val="00AE3529"/>
    <w:rsid w:val="00AE3566"/>
    <w:rsid w:val="00AE356F"/>
    <w:rsid w:val="00AE3AFA"/>
    <w:rsid w:val="00AE3B51"/>
    <w:rsid w:val="00AE3BF0"/>
    <w:rsid w:val="00AE3D36"/>
    <w:rsid w:val="00AE4095"/>
    <w:rsid w:val="00AE411B"/>
    <w:rsid w:val="00AE42FA"/>
    <w:rsid w:val="00AE4330"/>
    <w:rsid w:val="00AE445B"/>
    <w:rsid w:val="00AE4482"/>
    <w:rsid w:val="00AE449B"/>
    <w:rsid w:val="00AE4508"/>
    <w:rsid w:val="00AE451E"/>
    <w:rsid w:val="00AE4582"/>
    <w:rsid w:val="00AE4668"/>
    <w:rsid w:val="00AE4707"/>
    <w:rsid w:val="00AE4743"/>
    <w:rsid w:val="00AE476E"/>
    <w:rsid w:val="00AE486C"/>
    <w:rsid w:val="00AE497E"/>
    <w:rsid w:val="00AE4A83"/>
    <w:rsid w:val="00AE4B54"/>
    <w:rsid w:val="00AE4D64"/>
    <w:rsid w:val="00AE4F31"/>
    <w:rsid w:val="00AE515A"/>
    <w:rsid w:val="00AE5238"/>
    <w:rsid w:val="00AE527A"/>
    <w:rsid w:val="00AE528E"/>
    <w:rsid w:val="00AE5383"/>
    <w:rsid w:val="00AE53B2"/>
    <w:rsid w:val="00AE53F6"/>
    <w:rsid w:val="00AE5485"/>
    <w:rsid w:val="00AE558C"/>
    <w:rsid w:val="00AE564B"/>
    <w:rsid w:val="00AE5697"/>
    <w:rsid w:val="00AE57F1"/>
    <w:rsid w:val="00AE58D4"/>
    <w:rsid w:val="00AE5956"/>
    <w:rsid w:val="00AE59C5"/>
    <w:rsid w:val="00AE5B66"/>
    <w:rsid w:val="00AE5CEF"/>
    <w:rsid w:val="00AE5CF9"/>
    <w:rsid w:val="00AE5E73"/>
    <w:rsid w:val="00AE5F3A"/>
    <w:rsid w:val="00AE5F45"/>
    <w:rsid w:val="00AE616A"/>
    <w:rsid w:val="00AE61B1"/>
    <w:rsid w:val="00AE63B7"/>
    <w:rsid w:val="00AE6624"/>
    <w:rsid w:val="00AE6BC5"/>
    <w:rsid w:val="00AE6E2B"/>
    <w:rsid w:val="00AE6F71"/>
    <w:rsid w:val="00AE6FA0"/>
    <w:rsid w:val="00AE70EC"/>
    <w:rsid w:val="00AE72B2"/>
    <w:rsid w:val="00AE72D4"/>
    <w:rsid w:val="00AE7344"/>
    <w:rsid w:val="00AE73A2"/>
    <w:rsid w:val="00AE769C"/>
    <w:rsid w:val="00AE79CC"/>
    <w:rsid w:val="00AE79E5"/>
    <w:rsid w:val="00AE7AB1"/>
    <w:rsid w:val="00AE7BA8"/>
    <w:rsid w:val="00AE7E67"/>
    <w:rsid w:val="00AF0119"/>
    <w:rsid w:val="00AF02F3"/>
    <w:rsid w:val="00AF0415"/>
    <w:rsid w:val="00AF0416"/>
    <w:rsid w:val="00AF0442"/>
    <w:rsid w:val="00AF0480"/>
    <w:rsid w:val="00AF09F0"/>
    <w:rsid w:val="00AF0A7C"/>
    <w:rsid w:val="00AF0B33"/>
    <w:rsid w:val="00AF0D77"/>
    <w:rsid w:val="00AF0F65"/>
    <w:rsid w:val="00AF1038"/>
    <w:rsid w:val="00AF1279"/>
    <w:rsid w:val="00AF141D"/>
    <w:rsid w:val="00AF154A"/>
    <w:rsid w:val="00AF1A3B"/>
    <w:rsid w:val="00AF1CB6"/>
    <w:rsid w:val="00AF1CB7"/>
    <w:rsid w:val="00AF1CEA"/>
    <w:rsid w:val="00AF1D59"/>
    <w:rsid w:val="00AF1DA6"/>
    <w:rsid w:val="00AF1DA8"/>
    <w:rsid w:val="00AF21A1"/>
    <w:rsid w:val="00AF21C0"/>
    <w:rsid w:val="00AF232D"/>
    <w:rsid w:val="00AF24CC"/>
    <w:rsid w:val="00AF255C"/>
    <w:rsid w:val="00AF2675"/>
    <w:rsid w:val="00AF28B8"/>
    <w:rsid w:val="00AF28E7"/>
    <w:rsid w:val="00AF2A8A"/>
    <w:rsid w:val="00AF2CA7"/>
    <w:rsid w:val="00AF2DC5"/>
    <w:rsid w:val="00AF2E71"/>
    <w:rsid w:val="00AF2ECB"/>
    <w:rsid w:val="00AF3193"/>
    <w:rsid w:val="00AF35AA"/>
    <w:rsid w:val="00AF39C7"/>
    <w:rsid w:val="00AF3A0B"/>
    <w:rsid w:val="00AF3A7E"/>
    <w:rsid w:val="00AF3AE4"/>
    <w:rsid w:val="00AF3C43"/>
    <w:rsid w:val="00AF3C4F"/>
    <w:rsid w:val="00AF3C75"/>
    <w:rsid w:val="00AF3ED8"/>
    <w:rsid w:val="00AF3FC4"/>
    <w:rsid w:val="00AF4135"/>
    <w:rsid w:val="00AF41B5"/>
    <w:rsid w:val="00AF42B3"/>
    <w:rsid w:val="00AF4322"/>
    <w:rsid w:val="00AF4514"/>
    <w:rsid w:val="00AF455B"/>
    <w:rsid w:val="00AF45C5"/>
    <w:rsid w:val="00AF46D6"/>
    <w:rsid w:val="00AF480E"/>
    <w:rsid w:val="00AF48F4"/>
    <w:rsid w:val="00AF4A70"/>
    <w:rsid w:val="00AF4B15"/>
    <w:rsid w:val="00AF518B"/>
    <w:rsid w:val="00AF5233"/>
    <w:rsid w:val="00AF5283"/>
    <w:rsid w:val="00AF52B7"/>
    <w:rsid w:val="00AF53AB"/>
    <w:rsid w:val="00AF53FB"/>
    <w:rsid w:val="00AF5602"/>
    <w:rsid w:val="00AF5701"/>
    <w:rsid w:val="00AF5792"/>
    <w:rsid w:val="00AF58A9"/>
    <w:rsid w:val="00AF5962"/>
    <w:rsid w:val="00AF59FD"/>
    <w:rsid w:val="00AF5CD1"/>
    <w:rsid w:val="00AF5CE8"/>
    <w:rsid w:val="00AF5CF6"/>
    <w:rsid w:val="00AF5E18"/>
    <w:rsid w:val="00AF5EE5"/>
    <w:rsid w:val="00AF5EEB"/>
    <w:rsid w:val="00AF5EFA"/>
    <w:rsid w:val="00AF5F21"/>
    <w:rsid w:val="00AF6107"/>
    <w:rsid w:val="00AF6242"/>
    <w:rsid w:val="00AF62B4"/>
    <w:rsid w:val="00AF642F"/>
    <w:rsid w:val="00AF6463"/>
    <w:rsid w:val="00AF6479"/>
    <w:rsid w:val="00AF652E"/>
    <w:rsid w:val="00AF6747"/>
    <w:rsid w:val="00AF68CB"/>
    <w:rsid w:val="00AF68D5"/>
    <w:rsid w:val="00AF6AD0"/>
    <w:rsid w:val="00AF6B26"/>
    <w:rsid w:val="00AF6E3F"/>
    <w:rsid w:val="00AF7132"/>
    <w:rsid w:val="00AF71E8"/>
    <w:rsid w:val="00AF71FC"/>
    <w:rsid w:val="00AF730C"/>
    <w:rsid w:val="00AF7861"/>
    <w:rsid w:val="00AF7BB0"/>
    <w:rsid w:val="00AF7D10"/>
    <w:rsid w:val="00AF7D2A"/>
    <w:rsid w:val="00AF7DD5"/>
    <w:rsid w:val="00AF7F35"/>
    <w:rsid w:val="00B0036C"/>
    <w:rsid w:val="00B00411"/>
    <w:rsid w:val="00B0051F"/>
    <w:rsid w:val="00B0071B"/>
    <w:rsid w:val="00B00834"/>
    <w:rsid w:val="00B00B2C"/>
    <w:rsid w:val="00B00B2E"/>
    <w:rsid w:val="00B00DE8"/>
    <w:rsid w:val="00B00DF4"/>
    <w:rsid w:val="00B00F61"/>
    <w:rsid w:val="00B00F8A"/>
    <w:rsid w:val="00B01119"/>
    <w:rsid w:val="00B0114D"/>
    <w:rsid w:val="00B01262"/>
    <w:rsid w:val="00B0132B"/>
    <w:rsid w:val="00B0134B"/>
    <w:rsid w:val="00B01642"/>
    <w:rsid w:val="00B017A1"/>
    <w:rsid w:val="00B017F2"/>
    <w:rsid w:val="00B019A3"/>
    <w:rsid w:val="00B01C8D"/>
    <w:rsid w:val="00B01DC1"/>
    <w:rsid w:val="00B01F6E"/>
    <w:rsid w:val="00B01F83"/>
    <w:rsid w:val="00B02070"/>
    <w:rsid w:val="00B021CF"/>
    <w:rsid w:val="00B022E2"/>
    <w:rsid w:val="00B02452"/>
    <w:rsid w:val="00B02516"/>
    <w:rsid w:val="00B026B8"/>
    <w:rsid w:val="00B028FF"/>
    <w:rsid w:val="00B02A50"/>
    <w:rsid w:val="00B02B81"/>
    <w:rsid w:val="00B02C47"/>
    <w:rsid w:val="00B02D94"/>
    <w:rsid w:val="00B02E79"/>
    <w:rsid w:val="00B02F23"/>
    <w:rsid w:val="00B03014"/>
    <w:rsid w:val="00B032B0"/>
    <w:rsid w:val="00B03950"/>
    <w:rsid w:val="00B0397A"/>
    <w:rsid w:val="00B03AAD"/>
    <w:rsid w:val="00B03CA4"/>
    <w:rsid w:val="00B03CE9"/>
    <w:rsid w:val="00B03D45"/>
    <w:rsid w:val="00B03DAE"/>
    <w:rsid w:val="00B03E04"/>
    <w:rsid w:val="00B03ECF"/>
    <w:rsid w:val="00B03EE3"/>
    <w:rsid w:val="00B03FE2"/>
    <w:rsid w:val="00B03FF5"/>
    <w:rsid w:val="00B0400E"/>
    <w:rsid w:val="00B0420F"/>
    <w:rsid w:val="00B0424A"/>
    <w:rsid w:val="00B04260"/>
    <w:rsid w:val="00B0439D"/>
    <w:rsid w:val="00B044DB"/>
    <w:rsid w:val="00B04560"/>
    <w:rsid w:val="00B046A0"/>
    <w:rsid w:val="00B0473A"/>
    <w:rsid w:val="00B047CF"/>
    <w:rsid w:val="00B04894"/>
    <w:rsid w:val="00B04899"/>
    <w:rsid w:val="00B048CA"/>
    <w:rsid w:val="00B04AB4"/>
    <w:rsid w:val="00B04AD5"/>
    <w:rsid w:val="00B04B32"/>
    <w:rsid w:val="00B04B90"/>
    <w:rsid w:val="00B04D18"/>
    <w:rsid w:val="00B04F7D"/>
    <w:rsid w:val="00B05079"/>
    <w:rsid w:val="00B05118"/>
    <w:rsid w:val="00B05157"/>
    <w:rsid w:val="00B051D3"/>
    <w:rsid w:val="00B056CF"/>
    <w:rsid w:val="00B05753"/>
    <w:rsid w:val="00B0577C"/>
    <w:rsid w:val="00B057A7"/>
    <w:rsid w:val="00B05857"/>
    <w:rsid w:val="00B058C4"/>
    <w:rsid w:val="00B05DD8"/>
    <w:rsid w:val="00B05EEE"/>
    <w:rsid w:val="00B05FA0"/>
    <w:rsid w:val="00B062E9"/>
    <w:rsid w:val="00B06301"/>
    <w:rsid w:val="00B063A0"/>
    <w:rsid w:val="00B063B0"/>
    <w:rsid w:val="00B063BC"/>
    <w:rsid w:val="00B0641D"/>
    <w:rsid w:val="00B06574"/>
    <w:rsid w:val="00B06575"/>
    <w:rsid w:val="00B0669A"/>
    <w:rsid w:val="00B06771"/>
    <w:rsid w:val="00B06780"/>
    <w:rsid w:val="00B06816"/>
    <w:rsid w:val="00B068EA"/>
    <w:rsid w:val="00B06CB3"/>
    <w:rsid w:val="00B06DF2"/>
    <w:rsid w:val="00B06E63"/>
    <w:rsid w:val="00B0708C"/>
    <w:rsid w:val="00B07229"/>
    <w:rsid w:val="00B073AF"/>
    <w:rsid w:val="00B07564"/>
    <w:rsid w:val="00B076CB"/>
    <w:rsid w:val="00B07A04"/>
    <w:rsid w:val="00B07B33"/>
    <w:rsid w:val="00B07B81"/>
    <w:rsid w:val="00B07C32"/>
    <w:rsid w:val="00B07C8D"/>
    <w:rsid w:val="00B07D62"/>
    <w:rsid w:val="00B10104"/>
    <w:rsid w:val="00B1012E"/>
    <w:rsid w:val="00B10363"/>
    <w:rsid w:val="00B10490"/>
    <w:rsid w:val="00B107B3"/>
    <w:rsid w:val="00B10B8B"/>
    <w:rsid w:val="00B10D33"/>
    <w:rsid w:val="00B10D68"/>
    <w:rsid w:val="00B10EA3"/>
    <w:rsid w:val="00B11036"/>
    <w:rsid w:val="00B1109C"/>
    <w:rsid w:val="00B1138F"/>
    <w:rsid w:val="00B1143E"/>
    <w:rsid w:val="00B11542"/>
    <w:rsid w:val="00B11600"/>
    <w:rsid w:val="00B11657"/>
    <w:rsid w:val="00B1168F"/>
    <w:rsid w:val="00B1183C"/>
    <w:rsid w:val="00B118AD"/>
    <w:rsid w:val="00B118E2"/>
    <w:rsid w:val="00B11A71"/>
    <w:rsid w:val="00B11B01"/>
    <w:rsid w:val="00B11D0E"/>
    <w:rsid w:val="00B11D3E"/>
    <w:rsid w:val="00B11FD5"/>
    <w:rsid w:val="00B12036"/>
    <w:rsid w:val="00B12240"/>
    <w:rsid w:val="00B122E1"/>
    <w:rsid w:val="00B12557"/>
    <w:rsid w:val="00B128D0"/>
    <w:rsid w:val="00B12B4E"/>
    <w:rsid w:val="00B12BBF"/>
    <w:rsid w:val="00B12C04"/>
    <w:rsid w:val="00B12D3A"/>
    <w:rsid w:val="00B12D8A"/>
    <w:rsid w:val="00B12E21"/>
    <w:rsid w:val="00B12F94"/>
    <w:rsid w:val="00B12F9F"/>
    <w:rsid w:val="00B12FC0"/>
    <w:rsid w:val="00B13019"/>
    <w:rsid w:val="00B13050"/>
    <w:rsid w:val="00B13052"/>
    <w:rsid w:val="00B13217"/>
    <w:rsid w:val="00B132A3"/>
    <w:rsid w:val="00B132FC"/>
    <w:rsid w:val="00B135A9"/>
    <w:rsid w:val="00B135D4"/>
    <w:rsid w:val="00B1361D"/>
    <w:rsid w:val="00B136FF"/>
    <w:rsid w:val="00B13889"/>
    <w:rsid w:val="00B13926"/>
    <w:rsid w:val="00B139C7"/>
    <w:rsid w:val="00B139CE"/>
    <w:rsid w:val="00B13A93"/>
    <w:rsid w:val="00B13AEE"/>
    <w:rsid w:val="00B13B27"/>
    <w:rsid w:val="00B13BB6"/>
    <w:rsid w:val="00B13E1E"/>
    <w:rsid w:val="00B13EA2"/>
    <w:rsid w:val="00B1417F"/>
    <w:rsid w:val="00B14236"/>
    <w:rsid w:val="00B1440D"/>
    <w:rsid w:val="00B1455B"/>
    <w:rsid w:val="00B14560"/>
    <w:rsid w:val="00B148EC"/>
    <w:rsid w:val="00B14950"/>
    <w:rsid w:val="00B14AC4"/>
    <w:rsid w:val="00B14B7D"/>
    <w:rsid w:val="00B14D9A"/>
    <w:rsid w:val="00B15000"/>
    <w:rsid w:val="00B15044"/>
    <w:rsid w:val="00B1505E"/>
    <w:rsid w:val="00B1518D"/>
    <w:rsid w:val="00B1525E"/>
    <w:rsid w:val="00B15406"/>
    <w:rsid w:val="00B15483"/>
    <w:rsid w:val="00B1555A"/>
    <w:rsid w:val="00B15590"/>
    <w:rsid w:val="00B1564D"/>
    <w:rsid w:val="00B15780"/>
    <w:rsid w:val="00B158D3"/>
    <w:rsid w:val="00B15D15"/>
    <w:rsid w:val="00B15E76"/>
    <w:rsid w:val="00B15E7E"/>
    <w:rsid w:val="00B15EC3"/>
    <w:rsid w:val="00B15F99"/>
    <w:rsid w:val="00B16227"/>
    <w:rsid w:val="00B16517"/>
    <w:rsid w:val="00B1660C"/>
    <w:rsid w:val="00B166AE"/>
    <w:rsid w:val="00B16844"/>
    <w:rsid w:val="00B168C8"/>
    <w:rsid w:val="00B168DC"/>
    <w:rsid w:val="00B16948"/>
    <w:rsid w:val="00B16A0F"/>
    <w:rsid w:val="00B16BD2"/>
    <w:rsid w:val="00B16C1D"/>
    <w:rsid w:val="00B16D46"/>
    <w:rsid w:val="00B16D96"/>
    <w:rsid w:val="00B16E81"/>
    <w:rsid w:val="00B1736E"/>
    <w:rsid w:val="00B17375"/>
    <w:rsid w:val="00B17391"/>
    <w:rsid w:val="00B17470"/>
    <w:rsid w:val="00B1772F"/>
    <w:rsid w:val="00B177F1"/>
    <w:rsid w:val="00B17B17"/>
    <w:rsid w:val="00B17BDE"/>
    <w:rsid w:val="00B17D7F"/>
    <w:rsid w:val="00B200CF"/>
    <w:rsid w:val="00B20216"/>
    <w:rsid w:val="00B202D9"/>
    <w:rsid w:val="00B20375"/>
    <w:rsid w:val="00B20671"/>
    <w:rsid w:val="00B20674"/>
    <w:rsid w:val="00B207BC"/>
    <w:rsid w:val="00B20811"/>
    <w:rsid w:val="00B20AD8"/>
    <w:rsid w:val="00B20B43"/>
    <w:rsid w:val="00B20B5A"/>
    <w:rsid w:val="00B20C9F"/>
    <w:rsid w:val="00B20E46"/>
    <w:rsid w:val="00B20F73"/>
    <w:rsid w:val="00B20FE3"/>
    <w:rsid w:val="00B21053"/>
    <w:rsid w:val="00B21057"/>
    <w:rsid w:val="00B210AA"/>
    <w:rsid w:val="00B21339"/>
    <w:rsid w:val="00B21398"/>
    <w:rsid w:val="00B214E7"/>
    <w:rsid w:val="00B21526"/>
    <w:rsid w:val="00B21570"/>
    <w:rsid w:val="00B2163F"/>
    <w:rsid w:val="00B2167E"/>
    <w:rsid w:val="00B219E5"/>
    <w:rsid w:val="00B21B17"/>
    <w:rsid w:val="00B21D10"/>
    <w:rsid w:val="00B21FDC"/>
    <w:rsid w:val="00B21FE6"/>
    <w:rsid w:val="00B220D6"/>
    <w:rsid w:val="00B22112"/>
    <w:rsid w:val="00B22296"/>
    <w:rsid w:val="00B2240C"/>
    <w:rsid w:val="00B2241E"/>
    <w:rsid w:val="00B224AA"/>
    <w:rsid w:val="00B225E5"/>
    <w:rsid w:val="00B2262E"/>
    <w:rsid w:val="00B22674"/>
    <w:rsid w:val="00B2283E"/>
    <w:rsid w:val="00B22971"/>
    <w:rsid w:val="00B22B56"/>
    <w:rsid w:val="00B22D6D"/>
    <w:rsid w:val="00B22E23"/>
    <w:rsid w:val="00B22ED4"/>
    <w:rsid w:val="00B22FC7"/>
    <w:rsid w:val="00B23195"/>
    <w:rsid w:val="00B232FC"/>
    <w:rsid w:val="00B236C3"/>
    <w:rsid w:val="00B237FB"/>
    <w:rsid w:val="00B23935"/>
    <w:rsid w:val="00B23A13"/>
    <w:rsid w:val="00B23B5E"/>
    <w:rsid w:val="00B23B71"/>
    <w:rsid w:val="00B23C3E"/>
    <w:rsid w:val="00B240DD"/>
    <w:rsid w:val="00B24175"/>
    <w:rsid w:val="00B24209"/>
    <w:rsid w:val="00B2425E"/>
    <w:rsid w:val="00B2444F"/>
    <w:rsid w:val="00B24501"/>
    <w:rsid w:val="00B24840"/>
    <w:rsid w:val="00B2489B"/>
    <w:rsid w:val="00B24971"/>
    <w:rsid w:val="00B24AB4"/>
    <w:rsid w:val="00B24B1D"/>
    <w:rsid w:val="00B24C23"/>
    <w:rsid w:val="00B24F72"/>
    <w:rsid w:val="00B2505A"/>
    <w:rsid w:val="00B250AB"/>
    <w:rsid w:val="00B2510F"/>
    <w:rsid w:val="00B2516E"/>
    <w:rsid w:val="00B2526A"/>
    <w:rsid w:val="00B254E2"/>
    <w:rsid w:val="00B25591"/>
    <w:rsid w:val="00B255D3"/>
    <w:rsid w:val="00B2572C"/>
    <w:rsid w:val="00B25834"/>
    <w:rsid w:val="00B258B3"/>
    <w:rsid w:val="00B258D4"/>
    <w:rsid w:val="00B258F7"/>
    <w:rsid w:val="00B25907"/>
    <w:rsid w:val="00B259DA"/>
    <w:rsid w:val="00B25AF5"/>
    <w:rsid w:val="00B25D7A"/>
    <w:rsid w:val="00B25E6F"/>
    <w:rsid w:val="00B26014"/>
    <w:rsid w:val="00B263ED"/>
    <w:rsid w:val="00B26476"/>
    <w:rsid w:val="00B265B5"/>
    <w:rsid w:val="00B26A5F"/>
    <w:rsid w:val="00B26C25"/>
    <w:rsid w:val="00B26C33"/>
    <w:rsid w:val="00B26C45"/>
    <w:rsid w:val="00B26C68"/>
    <w:rsid w:val="00B26D03"/>
    <w:rsid w:val="00B26D33"/>
    <w:rsid w:val="00B27259"/>
    <w:rsid w:val="00B272C1"/>
    <w:rsid w:val="00B275A3"/>
    <w:rsid w:val="00B277E0"/>
    <w:rsid w:val="00B279E8"/>
    <w:rsid w:val="00B279EC"/>
    <w:rsid w:val="00B279F7"/>
    <w:rsid w:val="00B279FC"/>
    <w:rsid w:val="00B27AF5"/>
    <w:rsid w:val="00B27D41"/>
    <w:rsid w:val="00B27D77"/>
    <w:rsid w:val="00B3002F"/>
    <w:rsid w:val="00B30089"/>
    <w:rsid w:val="00B30275"/>
    <w:rsid w:val="00B30306"/>
    <w:rsid w:val="00B3032E"/>
    <w:rsid w:val="00B30385"/>
    <w:rsid w:val="00B303B2"/>
    <w:rsid w:val="00B3040A"/>
    <w:rsid w:val="00B305AB"/>
    <w:rsid w:val="00B30615"/>
    <w:rsid w:val="00B3070B"/>
    <w:rsid w:val="00B309D3"/>
    <w:rsid w:val="00B30BC8"/>
    <w:rsid w:val="00B30C2D"/>
    <w:rsid w:val="00B30C33"/>
    <w:rsid w:val="00B30CB5"/>
    <w:rsid w:val="00B30DD2"/>
    <w:rsid w:val="00B30E0C"/>
    <w:rsid w:val="00B30E50"/>
    <w:rsid w:val="00B30FA2"/>
    <w:rsid w:val="00B30FA4"/>
    <w:rsid w:val="00B31391"/>
    <w:rsid w:val="00B31395"/>
    <w:rsid w:val="00B314A8"/>
    <w:rsid w:val="00B316DF"/>
    <w:rsid w:val="00B3187C"/>
    <w:rsid w:val="00B31A68"/>
    <w:rsid w:val="00B31B59"/>
    <w:rsid w:val="00B31CCC"/>
    <w:rsid w:val="00B31E63"/>
    <w:rsid w:val="00B31EBC"/>
    <w:rsid w:val="00B31FC1"/>
    <w:rsid w:val="00B3229F"/>
    <w:rsid w:val="00B32A5A"/>
    <w:rsid w:val="00B32A6A"/>
    <w:rsid w:val="00B32AE2"/>
    <w:rsid w:val="00B32F29"/>
    <w:rsid w:val="00B32FAD"/>
    <w:rsid w:val="00B33125"/>
    <w:rsid w:val="00B33310"/>
    <w:rsid w:val="00B334E5"/>
    <w:rsid w:val="00B335A5"/>
    <w:rsid w:val="00B33641"/>
    <w:rsid w:val="00B3369E"/>
    <w:rsid w:val="00B336C0"/>
    <w:rsid w:val="00B33788"/>
    <w:rsid w:val="00B337FB"/>
    <w:rsid w:val="00B3380A"/>
    <w:rsid w:val="00B33A23"/>
    <w:rsid w:val="00B33A95"/>
    <w:rsid w:val="00B33C16"/>
    <w:rsid w:val="00B33CCD"/>
    <w:rsid w:val="00B34079"/>
    <w:rsid w:val="00B342C4"/>
    <w:rsid w:val="00B34323"/>
    <w:rsid w:val="00B344FB"/>
    <w:rsid w:val="00B346A1"/>
    <w:rsid w:val="00B346C5"/>
    <w:rsid w:val="00B34775"/>
    <w:rsid w:val="00B347E5"/>
    <w:rsid w:val="00B34886"/>
    <w:rsid w:val="00B3493A"/>
    <w:rsid w:val="00B34946"/>
    <w:rsid w:val="00B3494A"/>
    <w:rsid w:val="00B34A2D"/>
    <w:rsid w:val="00B34F5D"/>
    <w:rsid w:val="00B34FF7"/>
    <w:rsid w:val="00B3507A"/>
    <w:rsid w:val="00B3524F"/>
    <w:rsid w:val="00B352AE"/>
    <w:rsid w:val="00B353A5"/>
    <w:rsid w:val="00B3545B"/>
    <w:rsid w:val="00B35469"/>
    <w:rsid w:val="00B35491"/>
    <w:rsid w:val="00B354B4"/>
    <w:rsid w:val="00B35514"/>
    <w:rsid w:val="00B3557F"/>
    <w:rsid w:val="00B3571F"/>
    <w:rsid w:val="00B35A6E"/>
    <w:rsid w:val="00B35E7B"/>
    <w:rsid w:val="00B35F9D"/>
    <w:rsid w:val="00B360D5"/>
    <w:rsid w:val="00B360F0"/>
    <w:rsid w:val="00B36125"/>
    <w:rsid w:val="00B361F8"/>
    <w:rsid w:val="00B361F9"/>
    <w:rsid w:val="00B362CC"/>
    <w:rsid w:val="00B362DA"/>
    <w:rsid w:val="00B3633A"/>
    <w:rsid w:val="00B3637A"/>
    <w:rsid w:val="00B3680D"/>
    <w:rsid w:val="00B3687E"/>
    <w:rsid w:val="00B36ABF"/>
    <w:rsid w:val="00B36B99"/>
    <w:rsid w:val="00B36C53"/>
    <w:rsid w:val="00B36CB9"/>
    <w:rsid w:val="00B36DD0"/>
    <w:rsid w:val="00B36DF8"/>
    <w:rsid w:val="00B36E2B"/>
    <w:rsid w:val="00B36FB7"/>
    <w:rsid w:val="00B371F6"/>
    <w:rsid w:val="00B37349"/>
    <w:rsid w:val="00B374C7"/>
    <w:rsid w:val="00B375C7"/>
    <w:rsid w:val="00B379B5"/>
    <w:rsid w:val="00B37A40"/>
    <w:rsid w:val="00B37ADE"/>
    <w:rsid w:val="00B37AFE"/>
    <w:rsid w:val="00B37DF6"/>
    <w:rsid w:val="00B37E71"/>
    <w:rsid w:val="00B400D4"/>
    <w:rsid w:val="00B401C6"/>
    <w:rsid w:val="00B4050E"/>
    <w:rsid w:val="00B40599"/>
    <w:rsid w:val="00B405D8"/>
    <w:rsid w:val="00B406AD"/>
    <w:rsid w:val="00B4080E"/>
    <w:rsid w:val="00B40BD2"/>
    <w:rsid w:val="00B40E86"/>
    <w:rsid w:val="00B41090"/>
    <w:rsid w:val="00B411BD"/>
    <w:rsid w:val="00B412BA"/>
    <w:rsid w:val="00B415C5"/>
    <w:rsid w:val="00B41619"/>
    <w:rsid w:val="00B416D1"/>
    <w:rsid w:val="00B4173D"/>
    <w:rsid w:val="00B41758"/>
    <w:rsid w:val="00B41C04"/>
    <w:rsid w:val="00B41C65"/>
    <w:rsid w:val="00B42261"/>
    <w:rsid w:val="00B422C8"/>
    <w:rsid w:val="00B42321"/>
    <w:rsid w:val="00B42640"/>
    <w:rsid w:val="00B426F4"/>
    <w:rsid w:val="00B427E4"/>
    <w:rsid w:val="00B429DE"/>
    <w:rsid w:val="00B42A82"/>
    <w:rsid w:val="00B42C7D"/>
    <w:rsid w:val="00B42CDE"/>
    <w:rsid w:val="00B42E95"/>
    <w:rsid w:val="00B42F4A"/>
    <w:rsid w:val="00B42F61"/>
    <w:rsid w:val="00B42FB5"/>
    <w:rsid w:val="00B4309F"/>
    <w:rsid w:val="00B431C5"/>
    <w:rsid w:val="00B43223"/>
    <w:rsid w:val="00B4328C"/>
    <w:rsid w:val="00B43306"/>
    <w:rsid w:val="00B4338B"/>
    <w:rsid w:val="00B434AA"/>
    <w:rsid w:val="00B435A5"/>
    <w:rsid w:val="00B435E6"/>
    <w:rsid w:val="00B43738"/>
    <w:rsid w:val="00B439AD"/>
    <w:rsid w:val="00B43ABF"/>
    <w:rsid w:val="00B43B9A"/>
    <w:rsid w:val="00B43BF2"/>
    <w:rsid w:val="00B43C39"/>
    <w:rsid w:val="00B43C8B"/>
    <w:rsid w:val="00B43CB3"/>
    <w:rsid w:val="00B43E57"/>
    <w:rsid w:val="00B44232"/>
    <w:rsid w:val="00B442EE"/>
    <w:rsid w:val="00B44498"/>
    <w:rsid w:val="00B445BA"/>
    <w:rsid w:val="00B445EC"/>
    <w:rsid w:val="00B4460A"/>
    <w:rsid w:val="00B446B5"/>
    <w:rsid w:val="00B446B9"/>
    <w:rsid w:val="00B4487C"/>
    <w:rsid w:val="00B44B4B"/>
    <w:rsid w:val="00B45112"/>
    <w:rsid w:val="00B451EA"/>
    <w:rsid w:val="00B45256"/>
    <w:rsid w:val="00B4537E"/>
    <w:rsid w:val="00B45392"/>
    <w:rsid w:val="00B453CA"/>
    <w:rsid w:val="00B454C0"/>
    <w:rsid w:val="00B4558E"/>
    <w:rsid w:val="00B455B5"/>
    <w:rsid w:val="00B4562A"/>
    <w:rsid w:val="00B45874"/>
    <w:rsid w:val="00B45876"/>
    <w:rsid w:val="00B4595D"/>
    <w:rsid w:val="00B459DB"/>
    <w:rsid w:val="00B45A61"/>
    <w:rsid w:val="00B45C08"/>
    <w:rsid w:val="00B45E6A"/>
    <w:rsid w:val="00B45F47"/>
    <w:rsid w:val="00B45FBF"/>
    <w:rsid w:val="00B4606C"/>
    <w:rsid w:val="00B46138"/>
    <w:rsid w:val="00B461BE"/>
    <w:rsid w:val="00B464B9"/>
    <w:rsid w:val="00B464C4"/>
    <w:rsid w:val="00B4655B"/>
    <w:rsid w:val="00B46781"/>
    <w:rsid w:val="00B46B34"/>
    <w:rsid w:val="00B46D04"/>
    <w:rsid w:val="00B46E14"/>
    <w:rsid w:val="00B46E15"/>
    <w:rsid w:val="00B46F11"/>
    <w:rsid w:val="00B46F69"/>
    <w:rsid w:val="00B47040"/>
    <w:rsid w:val="00B470B4"/>
    <w:rsid w:val="00B47301"/>
    <w:rsid w:val="00B4734A"/>
    <w:rsid w:val="00B4745B"/>
    <w:rsid w:val="00B47534"/>
    <w:rsid w:val="00B4757A"/>
    <w:rsid w:val="00B476AA"/>
    <w:rsid w:val="00B47905"/>
    <w:rsid w:val="00B47B12"/>
    <w:rsid w:val="00B47B8B"/>
    <w:rsid w:val="00B47BAA"/>
    <w:rsid w:val="00B47C34"/>
    <w:rsid w:val="00B47C3B"/>
    <w:rsid w:val="00B47CCB"/>
    <w:rsid w:val="00B47F7D"/>
    <w:rsid w:val="00B50066"/>
    <w:rsid w:val="00B5039A"/>
    <w:rsid w:val="00B505AF"/>
    <w:rsid w:val="00B505C6"/>
    <w:rsid w:val="00B50752"/>
    <w:rsid w:val="00B50846"/>
    <w:rsid w:val="00B50853"/>
    <w:rsid w:val="00B50863"/>
    <w:rsid w:val="00B50929"/>
    <w:rsid w:val="00B5092B"/>
    <w:rsid w:val="00B50946"/>
    <w:rsid w:val="00B50B47"/>
    <w:rsid w:val="00B50C74"/>
    <w:rsid w:val="00B50C75"/>
    <w:rsid w:val="00B51292"/>
    <w:rsid w:val="00B512AB"/>
    <w:rsid w:val="00B5142E"/>
    <w:rsid w:val="00B51480"/>
    <w:rsid w:val="00B5149D"/>
    <w:rsid w:val="00B514AC"/>
    <w:rsid w:val="00B514F8"/>
    <w:rsid w:val="00B515C2"/>
    <w:rsid w:val="00B519FD"/>
    <w:rsid w:val="00B51A08"/>
    <w:rsid w:val="00B51A3E"/>
    <w:rsid w:val="00B51C15"/>
    <w:rsid w:val="00B51CE4"/>
    <w:rsid w:val="00B51F39"/>
    <w:rsid w:val="00B51F4A"/>
    <w:rsid w:val="00B51F4B"/>
    <w:rsid w:val="00B52045"/>
    <w:rsid w:val="00B5208F"/>
    <w:rsid w:val="00B520BC"/>
    <w:rsid w:val="00B52396"/>
    <w:rsid w:val="00B52471"/>
    <w:rsid w:val="00B525A3"/>
    <w:rsid w:val="00B5287A"/>
    <w:rsid w:val="00B52891"/>
    <w:rsid w:val="00B528EB"/>
    <w:rsid w:val="00B5299C"/>
    <w:rsid w:val="00B529AD"/>
    <w:rsid w:val="00B52D31"/>
    <w:rsid w:val="00B52E52"/>
    <w:rsid w:val="00B53140"/>
    <w:rsid w:val="00B53253"/>
    <w:rsid w:val="00B532BC"/>
    <w:rsid w:val="00B53358"/>
    <w:rsid w:val="00B534FB"/>
    <w:rsid w:val="00B535C6"/>
    <w:rsid w:val="00B535D5"/>
    <w:rsid w:val="00B536EE"/>
    <w:rsid w:val="00B53771"/>
    <w:rsid w:val="00B537EB"/>
    <w:rsid w:val="00B53824"/>
    <w:rsid w:val="00B539CC"/>
    <w:rsid w:val="00B53AE2"/>
    <w:rsid w:val="00B53B90"/>
    <w:rsid w:val="00B53C40"/>
    <w:rsid w:val="00B53C45"/>
    <w:rsid w:val="00B53FAD"/>
    <w:rsid w:val="00B540DF"/>
    <w:rsid w:val="00B540E5"/>
    <w:rsid w:val="00B5422C"/>
    <w:rsid w:val="00B542B8"/>
    <w:rsid w:val="00B54459"/>
    <w:rsid w:val="00B544D8"/>
    <w:rsid w:val="00B54511"/>
    <w:rsid w:val="00B5463D"/>
    <w:rsid w:val="00B546F4"/>
    <w:rsid w:val="00B54AAC"/>
    <w:rsid w:val="00B54BC4"/>
    <w:rsid w:val="00B54C16"/>
    <w:rsid w:val="00B54DB1"/>
    <w:rsid w:val="00B54DCF"/>
    <w:rsid w:val="00B54E58"/>
    <w:rsid w:val="00B54EC9"/>
    <w:rsid w:val="00B550AE"/>
    <w:rsid w:val="00B55157"/>
    <w:rsid w:val="00B551A4"/>
    <w:rsid w:val="00B55809"/>
    <w:rsid w:val="00B55827"/>
    <w:rsid w:val="00B55832"/>
    <w:rsid w:val="00B55C57"/>
    <w:rsid w:val="00B55CA1"/>
    <w:rsid w:val="00B55D05"/>
    <w:rsid w:val="00B55DC5"/>
    <w:rsid w:val="00B55E08"/>
    <w:rsid w:val="00B55E62"/>
    <w:rsid w:val="00B55FAB"/>
    <w:rsid w:val="00B56160"/>
    <w:rsid w:val="00B56184"/>
    <w:rsid w:val="00B56232"/>
    <w:rsid w:val="00B5650E"/>
    <w:rsid w:val="00B56617"/>
    <w:rsid w:val="00B566F4"/>
    <w:rsid w:val="00B56762"/>
    <w:rsid w:val="00B56AAB"/>
    <w:rsid w:val="00B56B94"/>
    <w:rsid w:val="00B56EA7"/>
    <w:rsid w:val="00B56FD9"/>
    <w:rsid w:val="00B571BF"/>
    <w:rsid w:val="00B571DE"/>
    <w:rsid w:val="00B5725E"/>
    <w:rsid w:val="00B5742F"/>
    <w:rsid w:val="00B57450"/>
    <w:rsid w:val="00B574DD"/>
    <w:rsid w:val="00B5754F"/>
    <w:rsid w:val="00B5763E"/>
    <w:rsid w:val="00B576C5"/>
    <w:rsid w:val="00B578E7"/>
    <w:rsid w:val="00B57944"/>
    <w:rsid w:val="00B57C35"/>
    <w:rsid w:val="00B57C7C"/>
    <w:rsid w:val="00B57EA6"/>
    <w:rsid w:val="00B57ECE"/>
    <w:rsid w:val="00B57FC5"/>
    <w:rsid w:val="00B60113"/>
    <w:rsid w:val="00B60268"/>
    <w:rsid w:val="00B603BA"/>
    <w:rsid w:val="00B603BF"/>
    <w:rsid w:val="00B606B3"/>
    <w:rsid w:val="00B607CB"/>
    <w:rsid w:val="00B60A7E"/>
    <w:rsid w:val="00B60F96"/>
    <w:rsid w:val="00B610E6"/>
    <w:rsid w:val="00B61103"/>
    <w:rsid w:val="00B61294"/>
    <w:rsid w:val="00B612DD"/>
    <w:rsid w:val="00B6134B"/>
    <w:rsid w:val="00B61358"/>
    <w:rsid w:val="00B6144E"/>
    <w:rsid w:val="00B61473"/>
    <w:rsid w:val="00B61653"/>
    <w:rsid w:val="00B61895"/>
    <w:rsid w:val="00B6193B"/>
    <w:rsid w:val="00B6198C"/>
    <w:rsid w:val="00B61A6A"/>
    <w:rsid w:val="00B61C9C"/>
    <w:rsid w:val="00B62008"/>
    <w:rsid w:val="00B620B6"/>
    <w:rsid w:val="00B621D9"/>
    <w:rsid w:val="00B62246"/>
    <w:rsid w:val="00B62369"/>
    <w:rsid w:val="00B623E7"/>
    <w:rsid w:val="00B628CF"/>
    <w:rsid w:val="00B6297F"/>
    <w:rsid w:val="00B629C8"/>
    <w:rsid w:val="00B62A44"/>
    <w:rsid w:val="00B62B08"/>
    <w:rsid w:val="00B62F23"/>
    <w:rsid w:val="00B63041"/>
    <w:rsid w:val="00B63154"/>
    <w:rsid w:val="00B63282"/>
    <w:rsid w:val="00B63438"/>
    <w:rsid w:val="00B637C0"/>
    <w:rsid w:val="00B637D8"/>
    <w:rsid w:val="00B63A43"/>
    <w:rsid w:val="00B63B19"/>
    <w:rsid w:val="00B63BE0"/>
    <w:rsid w:val="00B63D24"/>
    <w:rsid w:val="00B63E42"/>
    <w:rsid w:val="00B63E4E"/>
    <w:rsid w:val="00B63F1D"/>
    <w:rsid w:val="00B6409F"/>
    <w:rsid w:val="00B64229"/>
    <w:rsid w:val="00B642EF"/>
    <w:rsid w:val="00B642F9"/>
    <w:rsid w:val="00B64417"/>
    <w:rsid w:val="00B64446"/>
    <w:rsid w:val="00B6457A"/>
    <w:rsid w:val="00B645B4"/>
    <w:rsid w:val="00B6463D"/>
    <w:rsid w:val="00B646DC"/>
    <w:rsid w:val="00B647BF"/>
    <w:rsid w:val="00B64806"/>
    <w:rsid w:val="00B648F3"/>
    <w:rsid w:val="00B648F4"/>
    <w:rsid w:val="00B649B9"/>
    <w:rsid w:val="00B649F8"/>
    <w:rsid w:val="00B64A27"/>
    <w:rsid w:val="00B64B45"/>
    <w:rsid w:val="00B64C13"/>
    <w:rsid w:val="00B64CD3"/>
    <w:rsid w:val="00B64D25"/>
    <w:rsid w:val="00B64D44"/>
    <w:rsid w:val="00B64FBC"/>
    <w:rsid w:val="00B65105"/>
    <w:rsid w:val="00B651EB"/>
    <w:rsid w:val="00B651F1"/>
    <w:rsid w:val="00B651FC"/>
    <w:rsid w:val="00B6539A"/>
    <w:rsid w:val="00B653C9"/>
    <w:rsid w:val="00B654B2"/>
    <w:rsid w:val="00B654EB"/>
    <w:rsid w:val="00B6585C"/>
    <w:rsid w:val="00B658E2"/>
    <w:rsid w:val="00B65922"/>
    <w:rsid w:val="00B65AB7"/>
    <w:rsid w:val="00B65F09"/>
    <w:rsid w:val="00B65F9B"/>
    <w:rsid w:val="00B661DD"/>
    <w:rsid w:val="00B66282"/>
    <w:rsid w:val="00B6628B"/>
    <w:rsid w:val="00B66308"/>
    <w:rsid w:val="00B663CD"/>
    <w:rsid w:val="00B663E5"/>
    <w:rsid w:val="00B6668A"/>
    <w:rsid w:val="00B667CB"/>
    <w:rsid w:val="00B667E2"/>
    <w:rsid w:val="00B668F4"/>
    <w:rsid w:val="00B669BE"/>
    <w:rsid w:val="00B66BC5"/>
    <w:rsid w:val="00B66C06"/>
    <w:rsid w:val="00B66F93"/>
    <w:rsid w:val="00B67292"/>
    <w:rsid w:val="00B672F7"/>
    <w:rsid w:val="00B67558"/>
    <w:rsid w:val="00B6756E"/>
    <w:rsid w:val="00B676A4"/>
    <w:rsid w:val="00B6776E"/>
    <w:rsid w:val="00B67849"/>
    <w:rsid w:val="00B678EB"/>
    <w:rsid w:val="00B67A53"/>
    <w:rsid w:val="00B67CB6"/>
    <w:rsid w:val="00B67D86"/>
    <w:rsid w:val="00B67E3B"/>
    <w:rsid w:val="00B67F70"/>
    <w:rsid w:val="00B700FE"/>
    <w:rsid w:val="00B70112"/>
    <w:rsid w:val="00B70296"/>
    <w:rsid w:val="00B703E8"/>
    <w:rsid w:val="00B703EF"/>
    <w:rsid w:val="00B70481"/>
    <w:rsid w:val="00B7051C"/>
    <w:rsid w:val="00B70729"/>
    <w:rsid w:val="00B707EA"/>
    <w:rsid w:val="00B70854"/>
    <w:rsid w:val="00B7088C"/>
    <w:rsid w:val="00B708C4"/>
    <w:rsid w:val="00B70931"/>
    <w:rsid w:val="00B70ABE"/>
    <w:rsid w:val="00B70B3F"/>
    <w:rsid w:val="00B70DD3"/>
    <w:rsid w:val="00B70E12"/>
    <w:rsid w:val="00B70F18"/>
    <w:rsid w:val="00B70F38"/>
    <w:rsid w:val="00B710B0"/>
    <w:rsid w:val="00B71110"/>
    <w:rsid w:val="00B7117A"/>
    <w:rsid w:val="00B71259"/>
    <w:rsid w:val="00B7127B"/>
    <w:rsid w:val="00B71322"/>
    <w:rsid w:val="00B7133A"/>
    <w:rsid w:val="00B71486"/>
    <w:rsid w:val="00B714DD"/>
    <w:rsid w:val="00B716DB"/>
    <w:rsid w:val="00B717A9"/>
    <w:rsid w:val="00B717F4"/>
    <w:rsid w:val="00B71914"/>
    <w:rsid w:val="00B719AE"/>
    <w:rsid w:val="00B719EB"/>
    <w:rsid w:val="00B71BA7"/>
    <w:rsid w:val="00B71EB0"/>
    <w:rsid w:val="00B72120"/>
    <w:rsid w:val="00B721CA"/>
    <w:rsid w:val="00B72222"/>
    <w:rsid w:val="00B722AA"/>
    <w:rsid w:val="00B722F8"/>
    <w:rsid w:val="00B722FC"/>
    <w:rsid w:val="00B723E6"/>
    <w:rsid w:val="00B7241C"/>
    <w:rsid w:val="00B7242A"/>
    <w:rsid w:val="00B72496"/>
    <w:rsid w:val="00B72959"/>
    <w:rsid w:val="00B72BA5"/>
    <w:rsid w:val="00B72BC7"/>
    <w:rsid w:val="00B72E09"/>
    <w:rsid w:val="00B72E3B"/>
    <w:rsid w:val="00B7320C"/>
    <w:rsid w:val="00B73449"/>
    <w:rsid w:val="00B7362D"/>
    <w:rsid w:val="00B73688"/>
    <w:rsid w:val="00B736DE"/>
    <w:rsid w:val="00B737EB"/>
    <w:rsid w:val="00B7380A"/>
    <w:rsid w:val="00B73899"/>
    <w:rsid w:val="00B73A55"/>
    <w:rsid w:val="00B73ABB"/>
    <w:rsid w:val="00B73C91"/>
    <w:rsid w:val="00B73C97"/>
    <w:rsid w:val="00B73CED"/>
    <w:rsid w:val="00B73E05"/>
    <w:rsid w:val="00B73FB7"/>
    <w:rsid w:val="00B74012"/>
    <w:rsid w:val="00B741EA"/>
    <w:rsid w:val="00B742BF"/>
    <w:rsid w:val="00B74397"/>
    <w:rsid w:val="00B7443E"/>
    <w:rsid w:val="00B74656"/>
    <w:rsid w:val="00B74718"/>
    <w:rsid w:val="00B74775"/>
    <w:rsid w:val="00B75072"/>
    <w:rsid w:val="00B75259"/>
    <w:rsid w:val="00B753C8"/>
    <w:rsid w:val="00B754DF"/>
    <w:rsid w:val="00B7550B"/>
    <w:rsid w:val="00B755FD"/>
    <w:rsid w:val="00B756B4"/>
    <w:rsid w:val="00B75786"/>
    <w:rsid w:val="00B75801"/>
    <w:rsid w:val="00B75A48"/>
    <w:rsid w:val="00B75C3E"/>
    <w:rsid w:val="00B75F61"/>
    <w:rsid w:val="00B761A4"/>
    <w:rsid w:val="00B763B1"/>
    <w:rsid w:val="00B7648A"/>
    <w:rsid w:val="00B764E4"/>
    <w:rsid w:val="00B76505"/>
    <w:rsid w:val="00B7658D"/>
    <w:rsid w:val="00B765CF"/>
    <w:rsid w:val="00B76705"/>
    <w:rsid w:val="00B76A72"/>
    <w:rsid w:val="00B76C60"/>
    <w:rsid w:val="00B76EAB"/>
    <w:rsid w:val="00B76FB6"/>
    <w:rsid w:val="00B7711D"/>
    <w:rsid w:val="00B771BA"/>
    <w:rsid w:val="00B772C6"/>
    <w:rsid w:val="00B77697"/>
    <w:rsid w:val="00B776C9"/>
    <w:rsid w:val="00B7771C"/>
    <w:rsid w:val="00B7776D"/>
    <w:rsid w:val="00B77941"/>
    <w:rsid w:val="00B77BB5"/>
    <w:rsid w:val="00B77CD3"/>
    <w:rsid w:val="00B77F03"/>
    <w:rsid w:val="00B80010"/>
    <w:rsid w:val="00B800DC"/>
    <w:rsid w:val="00B801E9"/>
    <w:rsid w:val="00B801FC"/>
    <w:rsid w:val="00B8022F"/>
    <w:rsid w:val="00B802FA"/>
    <w:rsid w:val="00B8036E"/>
    <w:rsid w:val="00B80465"/>
    <w:rsid w:val="00B8048C"/>
    <w:rsid w:val="00B805E4"/>
    <w:rsid w:val="00B8062D"/>
    <w:rsid w:val="00B80677"/>
    <w:rsid w:val="00B80705"/>
    <w:rsid w:val="00B8078E"/>
    <w:rsid w:val="00B80AA9"/>
    <w:rsid w:val="00B80C5D"/>
    <w:rsid w:val="00B80D71"/>
    <w:rsid w:val="00B80E52"/>
    <w:rsid w:val="00B8100F"/>
    <w:rsid w:val="00B81026"/>
    <w:rsid w:val="00B81039"/>
    <w:rsid w:val="00B81071"/>
    <w:rsid w:val="00B81170"/>
    <w:rsid w:val="00B8123C"/>
    <w:rsid w:val="00B81494"/>
    <w:rsid w:val="00B8149C"/>
    <w:rsid w:val="00B81555"/>
    <w:rsid w:val="00B81872"/>
    <w:rsid w:val="00B81AE4"/>
    <w:rsid w:val="00B81BBB"/>
    <w:rsid w:val="00B81D85"/>
    <w:rsid w:val="00B81EA2"/>
    <w:rsid w:val="00B81F17"/>
    <w:rsid w:val="00B81FF2"/>
    <w:rsid w:val="00B82243"/>
    <w:rsid w:val="00B822C5"/>
    <w:rsid w:val="00B822FC"/>
    <w:rsid w:val="00B8233C"/>
    <w:rsid w:val="00B824F7"/>
    <w:rsid w:val="00B825A3"/>
    <w:rsid w:val="00B82688"/>
    <w:rsid w:val="00B827D4"/>
    <w:rsid w:val="00B827E5"/>
    <w:rsid w:val="00B8284B"/>
    <w:rsid w:val="00B828EF"/>
    <w:rsid w:val="00B82952"/>
    <w:rsid w:val="00B82B20"/>
    <w:rsid w:val="00B82C35"/>
    <w:rsid w:val="00B82D3A"/>
    <w:rsid w:val="00B82D7D"/>
    <w:rsid w:val="00B82FD8"/>
    <w:rsid w:val="00B830C5"/>
    <w:rsid w:val="00B83105"/>
    <w:rsid w:val="00B831D2"/>
    <w:rsid w:val="00B83624"/>
    <w:rsid w:val="00B8367D"/>
    <w:rsid w:val="00B836FB"/>
    <w:rsid w:val="00B8377B"/>
    <w:rsid w:val="00B837CF"/>
    <w:rsid w:val="00B83808"/>
    <w:rsid w:val="00B838AB"/>
    <w:rsid w:val="00B83958"/>
    <w:rsid w:val="00B83C99"/>
    <w:rsid w:val="00B83CAE"/>
    <w:rsid w:val="00B83D26"/>
    <w:rsid w:val="00B83DD2"/>
    <w:rsid w:val="00B83FA8"/>
    <w:rsid w:val="00B84194"/>
    <w:rsid w:val="00B8421F"/>
    <w:rsid w:val="00B8443C"/>
    <w:rsid w:val="00B844A1"/>
    <w:rsid w:val="00B84577"/>
    <w:rsid w:val="00B8459B"/>
    <w:rsid w:val="00B846D4"/>
    <w:rsid w:val="00B847B5"/>
    <w:rsid w:val="00B84953"/>
    <w:rsid w:val="00B8497D"/>
    <w:rsid w:val="00B8511A"/>
    <w:rsid w:val="00B85143"/>
    <w:rsid w:val="00B851EB"/>
    <w:rsid w:val="00B853AB"/>
    <w:rsid w:val="00B853B7"/>
    <w:rsid w:val="00B8560B"/>
    <w:rsid w:val="00B856A2"/>
    <w:rsid w:val="00B857B5"/>
    <w:rsid w:val="00B858E4"/>
    <w:rsid w:val="00B858F3"/>
    <w:rsid w:val="00B85996"/>
    <w:rsid w:val="00B85A70"/>
    <w:rsid w:val="00B85AD1"/>
    <w:rsid w:val="00B85C9D"/>
    <w:rsid w:val="00B85CC6"/>
    <w:rsid w:val="00B85CCA"/>
    <w:rsid w:val="00B85CD4"/>
    <w:rsid w:val="00B85E4F"/>
    <w:rsid w:val="00B85F7A"/>
    <w:rsid w:val="00B86165"/>
    <w:rsid w:val="00B8617F"/>
    <w:rsid w:val="00B86270"/>
    <w:rsid w:val="00B8647B"/>
    <w:rsid w:val="00B86489"/>
    <w:rsid w:val="00B86574"/>
    <w:rsid w:val="00B8668E"/>
    <w:rsid w:val="00B8687C"/>
    <w:rsid w:val="00B868EF"/>
    <w:rsid w:val="00B86918"/>
    <w:rsid w:val="00B869FB"/>
    <w:rsid w:val="00B86E2B"/>
    <w:rsid w:val="00B86E61"/>
    <w:rsid w:val="00B86F06"/>
    <w:rsid w:val="00B8702F"/>
    <w:rsid w:val="00B870D8"/>
    <w:rsid w:val="00B87197"/>
    <w:rsid w:val="00B8750F"/>
    <w:rsid w:val="00B8756D"/>
    <w:rsid w:val="00B877A1"/>
    <w:rsid w:val="00B879A2"/>
    <w:rsid w:val="00B87A48"/>
    <w:rsid w:val="00B87D34"/>
    <w:rsid w:val="00B87DA0"/>
    <w:rsid w:val="00B87ECD"/>
    <w:rsid w:val="00B87EEE"/>
    <w:rsid w:val="00B9001E"/>
    <w:rsid w:val="00B90375"/>
    <w:rsid w:val="00B904C2"/>
    <w:rsid w:val="00B905D1"/>
    <w:rsid w:val="00B9072E"/>
    <w:rsid w:val="00B90870"/>
    <w:rsid w:val="00B908EF"/>
    <w:rsid w:val="00B90A0D"/>
    <w:rsid w:val="00B90BC9"/>
    <w:rsid w:val="00B90C69"/>
    <w:rsid w:val="00B90D62"/>
    <w:rsid w:val="00B90E36"/>
    <w:rsid w:val="00B90EED"/>
    <w:rsid w:val="00B91080"/>
    <w:rsid w:val="00B91306"/>
    <w:rsid w:val="00B913AD"/>
    <w:rsid w:val="00B913B2"/>
    <w:rsid w:val="00B91578"/>
    <w:rsid w:val="00B91741"/>
    <w:rsid w:val="00B9182A"/>
    <w:rsid w:val="00B9193C"/>
    <w:rsid w:val="00B91ADA"/>
    <w:rsid w:val="00B91C95"/>
    <w:rsid w:val="00B91D8B"/>
    <w:rsid w:val="00B91EED"/>
    <w:rsid w:val="00B91FA2"/>
    <w:rsid w:val="00B920A3"/>
    <w:rsid w:val="00B921ED"/>
    <w:rsid w:val="00B924B7"/>
    <w:rsid w:val="00B924E6"/>
    <w:rsid w:val="00B92514"/>
    <w:rsid w:val="00B9253F"/>
    <w:rsid w:val="00B9254C"/>
    <w:rsid w:val="00B925C0"/>
    <w:rsid w:val="00B9277C"/>
    <w:rsid w:val="00B927C7"/>
    <w:rsid w:val="00B9289D"/>
    <w:rsid w:val="00B92943"/>
    <w:rsid w:val="00B92A3C"/>
    <w:rsid w:val="00B92A6E"/>
    <w:rsid w:val="00B92B8A"/>
    <w:rsid w:val="00B92BD2"/>
    <w:rsid w:val="00B92C05"/>
    <w:rsid w:val="00B92C7F"/>
    <w:rsid w:val="00B92C8A"/>
    <w:rsid w:val="00B92CAF"/>
    <w:rsid w:val="00B92EFC"/>
    <w:rsid w:val="00B93059"/>
    <w:rsid w:val="00B935E3"/>
    <w:rsid w:val="00B936A1"/>
    <w:rsid w:val="00B93A54"/>
    <w:rsid w:val="00B93C0E"/>
    <w:rsid w:val="00B93D6A"/>
    <w:rsid w:val="00B93E41"/>
    <w:rsid w:val="00B93F2A"/>
    <w:rsid w:val="00B93FB1"/>
    <w:rsid w:val="00B93FEC"/>
    <w:rsid w:val="00B94025"/>
    <w:rsid w:val="00B9407C"/>
    <w:rsid w:val="00B9411A"/>
    <w:rsid w:val="00B9414D"/>
    <w:rsid w:val="00B9435C"/>
    <w:rsid w:val="00B943E7"/>
    <w:rsid w:val="00B9443E"/>
    <w:rsid w:val="00B94564"/>
    <w:rsid w:val="00B945ED"/>
    <w:rsid w:val="00B94DDC"/>
    <w:rsid w:val="00B94E12"/>
    <w:rsid w:val="00B94F40"/>
    <w:rsid w:val="00B95528"/>
    <w:rsid w:val="00B95580"/>
    <w:rsid w:val="00B95713"/>
    <w:rsid w:val="00B9577E"/>
    <w:rsid w:val="00B9578A"/>
    <w:rsid w:val="00B95798"/>
    <w:rsid w:val="00B95839"/>
    <w:rsid w:val="00B95890"/>
    <w:rsid w:val="00B95A6B"/>
    <w:rsid w:val="00B95A7B"/>
    <w:rsid w:val="00B95BBE"/>
    <w:rsid w:val="00B95BDC"/>
    <w:rsid w:val="00B96003"/>
    <w:rsid w:val="00B96210"/>
    <w:rsid w:val="00B962ED"/>
    <w:rsid w:val="00B962F2"/>
    <w:rsid w:val="00B9645D"/>
    <w:rsid w:val="00B96563"/>
    <w:rsid w:val="00B96566"/>
    <w:rsid w:val="00B9657E"/>
    <w:rsid w:val="00B96634"/>
    <w:rsid w:val="00B96745"/>
    <w:rsid w:val="00B969C8"/>
    <w:rsid w:val="00B96BF0"/>
    <w:rsid w:val="00B96E59"/>
    <w:rsid w:val="00B96EB0"/>
    <w:rsid w:val="00B96FF0"/>
    <w:rsid w:val="00B97031"/>
    <w:rsid w:val="00B97066"/>
    <w:rsid w:val="00B97109"/>
    <w:rsid w:val="00B97221"/>
    <w:rsid w:val="00B97240"/>
    <w:rsid w:val="00B9728C"/>
    <w:rsid w:val="00B972D7"/>
    <w:rsid w:val="00B97352"/>
    <w:rsid w:val="00B973B5"/>
    <w:rsid w:val="00B973BB"/>
    <w:rsid w:val="00B97762"/>
    <w:rsid w:val="00B9793A"/>
    <w:rsid w:val="00B9798E"/>
    <w:rsid w:val="00B979E9"/>
    <w:rsid w:val="00B97B79"/>
    <w:rsid w:val="00B97BEC"/>
    <w:rsid w:val="00B97C7E"/>
    <w:rsid w:val="00B97D06"/>
    <w:rsid w:val="00B97E4D"/>
    <w:rsid w:val="00B97F39"/>
    <w:rsid w:val="00BA011A"/>
    <w:rsid w:val="00BA0264"/>
    <w:rsid w:val="00BA02CF"/>
    <w:rsid w:val="00BA03B9"/>
    <w:rsid w:val="00BA04B0"/>
    <w:rsid w:val="00BA0899"/>
    <w:rsid w:val="00BA0B01"/>
    <w:rsid w:val="00BA0B1F"/>
    <w:rsid w:val="00BA0B6C"/>
    <w:rsid w:val="00BA0BA6"/>
    <w:rsid w:val="00BA0C85"/>
    <w:rsid w:val="00BA0D01"/>
    <w:rsid w:val="00BA0ECF"/>
    <w:rsid w:val="00BA11DC"/>
    <w:rsid w:val="00BA1252"/>
    <w:rsid w:val="00BA142B"/>
    <w:rsid w:val="00BA1433"/>
    <w:rsid w:val="00BA1684"/>
    <w:rsid w:val="00BA175D"/>
    <w:rsid w:val="00BA1773"/>
    <w:rsid w:val="00BA17AC"/>
    <w:rsid w:val="00BA18C1"/>
    <w:rsid w:val="00BA1A99"/>
    <w:rsid w:val="00BA1B33"/>
    <w:rsid w:val="00BA1C69"/>
    <w:rsid w:val="00BA1CA4"/>
    <w:rsid w:val="00BA1DB2"/>
    <w:rsid w:val="00BA1F0C"/>
    <w:rsid w:val="00BA1F77"/>
    <w:rsid w:val="00BA2366"/>
    <w:rsid w:val="00BA2390"/>
    <w:rsid w:val="00BA23E3"/>
    <w:rsid w:val="00BA241C"/>
    <w:rsid w:val="00BA262D"/>
    <w:rsid w:val="00BA283A"/>
    <w:rsid w:val="00BA283D"/>
    <w:rsid w:val="00BA2848"/>
    <w:rsid w:val="00BA2AB1"/>
    <w:rsid w:val="00BA2BF2"/>
    <w:rsid w:val="00BA2C0F"/>
    <w:rsid w:val="00BA2C8E"/>
    <w:rsid w:val="00BA2D48"/>
    <w:rsid w:val="00BA2E66"/>
    <w:rsid w:val="00BA2EDA"/>
    <w:rsid w:val="00BA3088"/>
    <w:rsid w:val="00BA3285"/>
    <w:rsid w:val="00BA33EC"/>
    <w:rsid w:val="00BA375D"/>
    <w:rsid w:val="00BA381B"/>
    <w:rsid w:val="00BA3871"/>
    <w:rsid w:val="00BA389B"/>
    <w:rsid w:val="00BA3CDA"/>
    <w:rsid w:val="00BA3F1C"/>
    <w:rsid w:val="00BA3F49"/>
    <w:rsid w:val="00BA4030"/>
    <w:rsid w:val="00BA405C"/>
    <w:rsid w:val="00BA41AC"/>
    <w:rsid w:val="00BA41EA"/>
    <w:rsid w:val="00BA4210"/>
    <w:rsid w:val="00BA4338"/>
    <w:rsid w:val="00BA43C7"/>
    <w:rsid w:val="00BA444A"/>
    <w:rsid w:val="00BA4597"/>
    <w:rsid w:val="00BA46BD"/>
    <w:rsid w:val="00BA46CD"/>
    <w:rsid w:val="00BA47C1"/>
    <w:rsid w:val="00BA49D0"/>
    <w:rsid w:val="00BA4BFE"/>
    <w:rsid w:val="00BA4C93"/>
    <w:rsid w:val="00BA4DD2"/>
    <w:rsid w:val="00BA4E91"/>
    <w:rsid w:val="00BA4F82"/>
    <w:rsid w:val="00BA50A0"/>
    <w:rsid w:val="00BA50CF"/>
    <w:rsid w:val="00BA5518"/>
    <w:rsid w:val="00BA551E"/>
    <w:rsid w:val="00BA5618"/>
    <w:rsid w:val="00BA5664"/>
    <w:rsid w:val="00BA5698"/>
    <w:rsid w:val="00BA58A3"/>
    <w:rsid w:val="00BA59F5"/>
    <w:rsid w:val="00BA5CEE"/>
    <w:rsid w:val="00BA5E98"/>
    <w:rsid w:val="00BA5FB4"/>
    <w:rsid w:val="00BA5FC9"/>
    <w:rsid w:val="00BA6062"/>
    <w:rsid w:val="00BA621F"/>
    <w:rsid w:val="00BA62AB"/>
    <w:rsid w:val="00BA63A3"/>
    <w:rsid w:val="00BA63EC"/>
    <w:rsid w:val="00BA642D"/>
    <w:rsid w:val="00BA6441"/>
    <w:rsid w:val="00BA667F"/>
    <w:rsid w:val="00BA675E"/>
    <w:rsid w:val="00BA68C9"/>
    <w:rsid w:val="00BA68EB"/>
    <w:rsid w:val="00BA6981"/>
    <w:rsid w:val="00BA69F8"/>
    <w:rsid w:val="00BA6A4D"/>
    <w:rsid w:val="00BA6F15"/>
    <w:rsid w:val="00BA6F89"/>
    <w:rsid w:val="00BA7012"/>
    <w:rsid w:val="00BA712F"/>
    <w:rsid w:val="00BA7130"/>
    <w:rsid w:val="00BA724B"/>
    <w:rsid w:val="00BA7429"/>
    <w:rsid w:val="00BA7607"/>
    <w:rsid w:val="00BA771A"/>
    <w:rsid w:val="00BA7A5F"/>
    <w:rsid w:val="00BA7D74"/>
    <w:rsid w:val="00BA7F42"/>
    <w:rsid w:val="00BA7FA4"/>
    <w:rsid w:val="00BB00D1"/>
    <w:rsid w:val="00BB00F5"/>
    <w:rsid w:val="00BB01E6"/>
    <w:rsid w:val="00BB035C"/>
    <w:rsid w:val="00BB042B"/>
    <w:rsid w:val="00BB0522"/>
    <w:rsid w:val="00BB05A6"/>
    <w:rsid w:val="00BB069E"/>
    <w:rsid w:val="00BB0BEC"/>
    <w:rsid w:val="00BB111F"/>
    <w:rsid w:val="00BB11A7"/>
    <w:rsid w:val="00BB11C5"/>
    <w:rsid w:val="00BB1411"/>
    <w:rsid w:val="00BB14ED"/>
    <w:rsid w:val="00BB16ED"/>
    <w:rsid w:val="00BB17B4"/>
    <w:rsid w:val="00BB1D80"/>
    <w:rsid w:val="00BB1DF4"/>
    <w:rsid w:val="00BB20D5"/>
    <w:rsid w:val="00BB215B"/>
    <w:rsid w:val="00BB22FB"/>
    <w:rsid w:val="00BB2377"/>
    <w:rsid w:val="00BB2653"/>
    <w:rsid w:val="00BB2974"/>
    <w:rsid w:val="00BB2ACB"/>
    <w:rsid w:val="00BB2B72"/>
    <w:rsid w:val="00BB2C4D"/>
    <w:rsid w:val="00BB2F2C"/>
    <w:rsid w:val="00BB30AE"/>
    <w:rsid w:val="00BB316F"/>
    <w:rsid w:val="00BB330D"/>
    <w:rsid w:val="00BB332A"/>
    <w:rsid w:val="00BB3471"/>
    <w:rsid w:val="00BB34FA"/>
    <w:rsid w:val="00BB38DC"/>
    <w:rsid w:val="00BB3903"/>
    <w:rsid w:val="00BB39F4"/>
    <w:rsid w:val="00BB3A87"/>
    <w:rsid w:val="00BB3A8E"/>
    <w:rsid w:val="00BB3B30"/>
    <w:rsid w:val="00BB3BA7"/>
    <w:rsid w:val="00BB3C99"/>
    <w:rsid w:val="00BB3CAB"/>
    <w:rsid w:val="00BB3D16"/>
    <w:rsid w:val="00BB3EE6"/>
    <w:rsid w:val="00BB456A"/>
    <w:rsid w:val="00BB4606"/>
    <w:rsid w:val="00BB46B6"/>
    <w:rsid w:val="00BB46C6"/>
    <w:rsid w:val="00BB482A"/>
    <w:rsid w:val="00BB48BE"/>
    <w:rsid w:val="00BB4AF0"/>
    <w:rsid w:val="00BB4E55"/>
    <w:rsid w:val="00BB519C"/>
    <w:rsid w:val="00BB569B"/>
    <w:rsid w:val="00BB5840"/>
    <w:rsid w:val="00BB59EE"/>
    <w:rsid w:val="00BB5C34"/>
    <w:rsid w:val="00BB5EC1"/>
    <w:rsid w:val="00BB6217"/>
    <w:rsid w:val="00BB62E4"/>
    <w:rsid w:val="00BB639A"/>
    <w:rsid w:val="00BB66FF"/>
    <w:rsid w:val="00BB6756"/>
    <w:rsid w:val="00BB688D"/>
    <w:rsid w:val="00BB692F"/>
    <w:rsid w:val="00BB6A44"/>
    <w:rsid w:val="00BB6A9E"/>
    <w:rsid w:val="00BB6EA5"/>
    <w:rsid w:val="00BB7000"/>
    <w:rsid w:val="00BB7034"/>
    <w:rsid w:val="00BB7044"/>
    <w:rsid w:val="00BB707C"/>
    <w:rsid w:val="00BB70D7"/>
    <w:rsid w:val="00BB71D2"/>
    <w:rsid w:val="00BB7741"/>
    <w:rsid w:val="00BB77DF"/>
    <w:rsid w:val="00BB7D9F"/>
    <w:rsid w:val="00BB7E19"/>
    <w:rsid w:val="00BC0066"/>
    <w:rsid w:val="00BC0159"/>
    <w:rsid w:val="00BC03AE"/>
    <w:rsid w:val="00BC0438"/>
    <w:rsid w:val="00BC05C5"/>
    <w:rsid w:val="00BC0671"/>
    <w:rsid w:val="00BC086C"/>
    <w:rsid w:val="00BC0A13"/>
    <w:rsid w:val="00BC0A4E"/>
    <w:rsid w:val="00BC0B04"/>
    <w:rsid w:val="00BC0B90"/>
    <w:rsid w:val="00BC0BC8"/>
    <w:rsid w:val="00BC0D75"/>
    <w:rsid w:val="00BC0D8E"/>
    <w:rsid w:val="00BC0E6F"/>
    <w:rsid w:val="00BC10EA"/>
    <w:rsid w:val="00BC1385"/>
    <w:rsid w:val="00BC15BE"/>
    <w:rsid w:val="00BC16A2"/>
    <w:rsid w:val="00BC1732"/>
    <w:rsid w:val="00BC17A8"/>
    <w:rsid w:val="00BC1BC4"/>
    <w:rsid w:val="00BC1CCC"/>
    <w:rsid w:val="00BC1D98"/>
    <w:rsid w:val="00BC20C1"/>
    <w:rsid w:val="00BC2280"/>
    <w:rsid w:val="00BC23AB"/>
    <w:rsid w:val="00BC245E"/>
    <w:rsid w:val="00BC24CF"/>
    <w:rsid w:val="00BC24D3"/>
    <w:rsid w:val="00BC2C1F"/>
    <w:rsid w:val="00BC2C8A"/>
    <w:rsid w:val="00BC2D69"/>
    <w:rsid w:val="00BC2D6E"/>
    <w:rsid w:val="00BC2DBD"/>
    <w:rsid w:val="00BC2F07"/>
    <w:rsid w:val="00BC2F6D"/>
    <w:rsid w:val="00BC3059"/>
    <w:rsid w:val="00BC30F1"/>
    <w:rsid w:val="00BC3476"/>
    <w:rsid w:val="00BC351A"/>
    <w:rsid w:val="00BC3641"/>
    <w:rsid w:val="00BC36F4"/>
    <w:rsid w:val="00BC3788"/>
    <w:rsid w:val="00BC39F6"/>
    <w:rsid w:val="00BC3A56"/>
    <w:rsid w:val="00BC3A79"/>
    <w:rsid w:val="00BC3B4A"/>
    <w:rsid w:val="00BC3C63"/>
    <w:rsid w:val="00BC3CA0"/>
    <w:rsid w:val="00BC3D48"/>
    <w:rsid w:val="00BC3D86"/>
    <w:rsid w:val="00BC3DE6"/>
    <w:rsid w:val="00BC3FB3"/>
    <w:rsid w:val="00BC410A"/>
    <w:rsid w:val="00BC4214"/>
    <w:rsid w:val="00BC423F"/>
    <w:rsid w:val="00BC4412"/>
    <w:rsid w:val="00BC460F"/>
    <w:rsid w:val="00BC46BD"/>
    <w:rsid w:val="00BC4735"/>
    <w:rsid w:val="00BC4803"/>
    <w:rsid w:val="00BC4868"/>
    <w:rsid w:val="00BC4A3F"/>
    <w:rsid w:val="00BC4AB0"/>
    <w:rsid w:val="00BC4B3D"/>
    <w:rsid w:val="00BC4B62"/>
    <w:rsid w:val="00BC4D35"/>
    <w:rsid w:val="00BC4E8A"/>
    <w:rsid w:val="00BC502C"/>
    <w:rsid w:val="00BC507D"/>
    <w:rsid w:val="00BC5183"/>
    <w:rsid w:val="00BC5314"/>
    <w:rsid w:val="00BC54BD"/>
    <w:rsid w:val="00BC5512"/>
    <w:rsid w:val="00BC57CF"/>
    <w:rsid w:val="00BC5981"/>
    <w:rsid w:val="00BC5A5A"/>
    <w:rsid w:val="00BC5A8D"/>
    <w:rsid w:val="00BC5B93"/>
    <w:rsid w:val="00BC5D0B"/>
    <w:rsid w:val="00BC5F00"/>
    <w:rsid w:val="00BC6099"/>
    <w:rsid w:val="00BC60DA"/>
    <w:rsid w:val="00BC6331"/>
    <w:rsid w:val="00BC639E"/>
    <w:rsid w:val="00BC63EC"/>
    <w:rsid w:val="00BC65F9"/>
    <w:rsid w:val="00BC662C"/>
    <w:rsid w:val="00BC663A"/>
    <w:rsid w:val="00BC68F9"/>
    <w:rsid w:val="00BC69E2"/>
    <w:rsid w:val="00BC6B0A"/>
    <w:rsid w:val="00BC6BBA"/>
    <w:rsid w:val="00BC6E07"/>
    <w:rsid w:val="00BC6EB3"/>
    <w:rsid w:val="00BC6FFE"/>
    <w:rsid w:val="00BC7025"/>
    <w:rsid w:val="00BC70B9"/>
    <w:rsid w:val="00BC70FA"/>
    <w:rsid w:val="00BC7511"/>
    <w:rsid w:val="00BC75C4"/>
    <w:rsid w:val="00BC799A"/>
    <w:rsid w:val="00BC79EB"/>
    <w:rsid w:val="00BC7D3C"/>
    <w:rsid w:val="00BC7DA7"/>
    <w:rsid w:val="00BC7E82"/>
    <w:rsid w:val="00BC7F05"/>
    <w:rsid w:val="00BD0082"/>
    <w:rsid w:val="00BD0187"/>
    <w:rsid w:val="00BD0372"/>
    <w:rsid w:val="00BD042E"/>
    <w:rsid w:val="00BD0681"/>
    <w:rsid w:val="00BD06EC"/>
    <w:rsid w:val="00BD0758"/>
    <w:rsid w:val="00BD0842"/>
    <w:rsid w:val="00BD096A"/>
    <w:rsid w:val="00BD0C9A"/>
    <w:rsid w:val="00BD0EDC"/>
    <w:rsid w:val="00BD0F6D"/>
    <w:rsid w:val="00BD1025"/>
    <w:rsid w:val="00BD10DC"/>
    <w:rsid w:val="00BD11D5"/>
    <w:rsid w:val="00BD12B3"/>
    <w:rsid w:val="00BD1390"/>
    <w:rsid w:val="00BD15D6"/>
    <w:rsid w:val="00BD1615"/>
    <w:rsid w:val="00BD16A2"/>
    <w:rsid w:val="00BD1771"/>
    <w:rsid w:val="00BD17D7"/>
    <w:rsid w:val="00BD1872"/>
    <w:rsid w:val="00BD1AA0"/>
    <w:rsid w:val="00BD1B39"/>
    <w:rsid w:val="00BD1B53"/>
    <w:rsid w:val="00BD1D57"/>
    <w:rsid w:val="00BD1E58"/>
    <w:rsid w:val="00BD1F4B"/>
    <w:rsid w:val="00BD1FCA"/>
    <w:rsid w:val="00BD2081"/>
    <w:rsid w:val="00BD20A2"/>
    <w:rsid w:val="00BD2616"/>
    <w:rsid w:val="00BD2668"/>
    <w:rsid w:val="00BD268F"/>
    <w:rsid w:val="00BD280F"/>
    <w:rsid w:val="00BD28D4"/>
    <w:rsid w:val="00BD2977"/>
    <w:rsid w:val="00BD2A83"/>
    <w:rsid w:val="00BD2D7C"/>
    <w:rsid w:val="00BD3063"/>
    <w:rsid w:val="00BD317F"/>
    <w:rsid w:val="00BD3193"/>
    <w:rsid w:val="00BD3572"/>
    <w:rsid w:val="00BD35A4"/>
    <w:rsid w:val="00BD36C1"/>
    <w:rsid w:val="00BD381C"/>
    <w:rsid w:val="00BD3B7C"/>
    <w:rsid w:val="00BD3C96"/>
    <w:rsid w:val="00BD3CA3"/>
    <w:rsid w:val="00BD3DAF"/>
    <w:rsid w:val="00BD3EDE"/>
    <w:rsid w:val="00BD3FFD"/>
    <w:rsid w:val="00BD402C"/>
    <w:rsid w:val="00BD4031"/>
    <w:rsid w:val="00BD4189"/>
    <w:rsid w:val="00BD41F6"/>
    <w:rsid w:val="00BD42ED"/>
    <w:rsid w:val="00BD4408"/>
    <w:rsid w:val="00BD4417"/>
    <w:rsid w:val="00BD45FB"/>
    <w:rsid w:val="00BD469E"/>
    <w:rsid w:val="00BD479D"/>
    <w:rsid w:val="00BD4995"/>
    <w:rsid w:val="00BD4BAA"/>
    <w:rsid w:val="00BD4DDC"/>
    <w:rsid w:val="00BD4E25"/>
    <w:rsid w:val="00BD4E53"/>
    <w:rsid w:val="00BD5085"/>
    <w:rsid w:val="00BD50B9"/>
    <w:rsid w:val="00BD5202"/>
    <w:rsid w:val="00BD522C"/>
    <w:rsid w:val="00BD542F"/>
    <w:rsid w:val="00BD56A6"/>
    <w:rsid w:val="00BD578F"/>
    <w:rsid w:val="00BD58F3"/>
    <w:rsid w:val="00BD596D"/>
    <w:rsid w:val="00BD59C8"/>
    <w:rsid w:val="00BD5AF1"/>
    <w:rsid w:val="00BD5BA3"/>
    <w:rsid w:val="00BD5C60"/>
    <w:rsid w:val="00BD5CB3"/>
    <w:rsid w:val="00BD5DC3"/>
    <w:rsid w:val="00BD5E01"/>
    <w:rsid w:val="00BD60A4"/>
    <w:rsid w:val="00BD623F"/>
    <w:rsid w:val="00BD6423"/>
    <w:rsid w:val="00BD64FA"/>
    <w:rsid w:val="00BD652E"/>
    <w:rsid w:val="00BD65FF"/>
    <w:rsid w:val="00BD67B1"/>
    <w:rsid w:val="00BD6DE8"/>
    <w:rsid w:val="00BD6EC9"/>
    <w:rsid w:val="00BD6EFA"/>
    <w:rsid w:val="00BD719E"/>
    <w:rsid w:val="00BD71F2"/>
    <w:rsid w:val="00BD7307"/>
    <w:rsid w:val="00BD7647"/>
    <w:rsid w:val="00BD7665"/>
    <w:rsid w:val="00BD76E4"/>
    <w:rsid w:val="00BD7D58"/>
    <w:rsid w:val="00BD7DBA"/>
    <w:rsid w:val="00BD7FCF"/>
    <w:rsid w:val="00BE00C6"/>
    <w:rsid w:val="00BE03BC"/>
    <w:rsid w:val="00BE0416"/>
    <w:rsid w:val="00BE0566"/>
    <w:rsid w:val="00BE0655"/>
    <w:rsid w:val="00BE0874"/>
    <w:rsid w:val="00BE098A"/>
    <w:rsid w:val="00BE09C6"/>
    <w:rsid w:val="00BE0D6F"/>
    <w:rsid w:val="00BE0DCF"/>
    <w:rsid w:val="00BE0DE5"/>
    <w:rsid w:val="00BE1159"/>
    <w:rsid w:val="00BE12A8"/>
    <w:rsid w:val="00BE145C"/>
    <w:rsid w:val="00BE1636"/>
    <w:rsid w:val="00BE18E9"/>
    <w:rsid w:val="00BE1900"/>
    <w:rsid w:val="00BE1A2E"/>
    <w:rsid w:val="00BE1A60"/>
    <w:rsid w:val="00BE1B6F"/>
    <w:rsid w:val="00BE1DC9"/>
    <w:rsid w:val="00BE1FAC"/>
    <w:rsid w:val="00BE20B2"/>
    <w:rsid w:val="00BE20BA"/>
    <w:rsid w:val="00BE2164"/>
    <w:rsid w:val="00BE2282"/>
    <w:rsid w:val="00BE22BB"/>
    <w:rsid w:val="00BE2436"/>
    <w:rsid w:val="00BE24C9"/>
    <w:rsid w:val="00BE2561"/>
    <w:rsid w:val="00BE26BA"/>
    <w:rsid w:val="00BE28D8"/>
    <w:rsid w:val="00BE28E5"/>
    <w:rsid w:val="00BE29C1"/>
    <w:rsid w:val="00BE2B79"/>
    <w:rsid w:val="00BE2DF6"/>
    <w:rsid w:val="00BE2ED1"/>
    <w:rsid w:val="00BE311C"/>
    <w:rsid w:val="00BE356B"/>
    <w:rsid w:val="00BE359D"/>
    <w:rsid w:val="00BE35CD"/>
    <w:rsid w:val="00BE365D"/>
    <w:rsid w:val="00BE383A"/>
    <w:rsid w:val="00BE3903"/>
    <w:rsid w:val="00BE3977"/>
    <w:rsid w:val="00BE39C1"/>
    <w:rsid w:val="00BE3B4B"/>
    <w:rsid w:val="00BE3C76"/>
    <w:rsid w:val="00BE3E03"/>
    <w:rsid w:val="00BE44C1"/>
    <w:rsid w:val="00BE44D5"/>
    <w:rsid w:val="00BE461E"/>
    <w:rsid w:val="00BE4845"/>
    <w:rsid w:val="00BE48EA"/>
    <w:rsid w:val="00BE4B03"/>
    <w:rsid w:val="00BE4B77"/>
    <w:rsid w:val="00BE4F6B"/>
    <w:rsid w:val="00BE50FC"/>
    <w:rsid w:val="00BE52DD"/>
    <w:rsid w:val="00BE534C"/>
    <w:rsid w:val="00BE558D"/>
    <w:rsid w:val="00BE5599"/>
    <w:rsid w:val="00BE5600"/>
    <w:rsid w:val="00BE57BF"/>
    <w:rsid w:val="00BE5B59"/>
    <w:rsid w:val="00BE5C69"/>
    <w:rsid w:val="00BE5DBA"/>
    <w:rsid w:val="00BE5E99"/>
    <w:rsid w:val="00BE5EBE"/>
    <w:rsid w:val="00BE5EC1"/>
    <w:rsid w:val="00BE5F64"/>
    <w:rsid w:val="00BE5FEE"/>
    <w:rsid w:val="00BE604A"/>
    <w:rsid w:val="00BE60FD"/>
    <w:rsid w:val="00BE6100"/>
    <w:rsid w:val="00BE61B6"/>
    <w:rsid w:val="00BE6201"/>
    <w:rsid w:val="00BE636C"/>
    <w:rsid w:val="00BE6383"/>
    <w:rsid w:val="00BE6398"/>
    <w:rsid w:val="00BE6413"/>
    <w:rsid w:val="00BE6574"/>
    <w:rsid w:val="00BE6864"/>
    <w:rsid w:val="00BE6875"/>
    <w:rsid w:val="00BE68DF"/>
    <w:rsid w:val="00BE69A1"/>
    <w:rsid w:val="00BE6AC8"/>
    <w:rsid w:val="00BE6B7F"/>
    <w:rsid w:val="00BE6C2C"/>
    <w:rsid w:val="00BE6E38"/>
    <w:rsid w:val="00BE7173"/>
    <w:rsid w:val="00BE7268"/>
    <w:rsid w:val="00BE731B"/>
    <w:rsid w:val="00BE732C"/>
    <w:rsid w:val="00BE7372"/>
    <w:rsid w:val="00BE743F"/>
    <w:rsid w:val="00BE76A5"/>
    <w:rsid w:val="00BE7878"/>
    <w:rsid w:val="00BE7B20"/>
    <w:rsid w:val="00BE7B39"/>
    <w:rsid w:val="00BE7D4B"/>
    <w:rsid w:val="00BF00D4"/>
    <w:rsid w:val="00BF01E2"/>
    <w:rsid w:val="00BF037E"/>
    <w:rsid w:val="00BF03C7"/>
    <w:rsid w:val="00BF042F"/>
    <w:rsid w:val="00BF04A2"/>
    <w:rsid w:val="00BF0577"/>
    <w:rsid w:val="00BF0668"/>
    <w:rsid w:val="00BF07A3"/>
    <w:rsid w:val="00BF0863"/>
    <w:rsid w:val="00BF089C"/>
    <w:rsid w:val="00BF0935"/>
    <w:rsid w:val="00BF0B5F"/>
    <w:rsid w:val="00BF0B9E"/>
    <w:rsid w:val="00BF0C31"/>
    <w:rsid w:val="00BF0ECE"/>
    <w:rsid w:val="00BF1161"/>
    <w:rsid w:val="00BF12A6"/>
    <w:rsid w:val="00BF12BF"/>
    <w:rsid w:val="00BF1368"/>
    <w:rsid w:val="00BF14E5"/>
    <w:rsid w:val="00BF1857"/>
    <w:rsid w:val="00BF186F"/>
    <w:rsid w:val="00BF197B"/>
    <w:rsid w:val="00BF1AB8"/>
    <w:rsid w:val="00BF1E27"/>
    <w:rsid w:val="00BF1EB9"/>
    <w:rsid w:val="00BF1EC2"/>
    <w:rsid w:val="00BF2006"/>
    <w:rsid w:val="00BF2302"/>
    <w:rsid w:val="00BF233A"/>
    <w:rsid w:val="00BF24AE"/>
    <w:rsid w:val="00BF2563"/>
    <w:rsid w:val="00BF25B9"/>
    <w:rsid w:val="00BF25F4"/>
    <w:rsid w:val="00BF2716"/>
    <w:rsid w:val="00BF2718"/>
    <w:rsid w:val="00BF2956"/>
    <w:rsid w:val="00BF2A79"/>
    <w:rsid w:val="00BF2C27"/>
    <w:rsid w:val="00BF2D67"/>
    <w:rsid w:val="00BF2F84"/>
    <w:rsid w:val="00BF31C5"/>
    <w:rsid w:val="00BF320B"/>
    <w:rsid w:val="00BF32ED"/>
    <w:rsid w:val="00BF32F0"/>
    <w:rsid w:val="00BF33D3"/>
    <w:rsid w:val="00BF35C2"/>
    <w:rsid w:val="00BF3687"/>
    <w:rsid w:val="00BF3750"/>
    <w:rsid w:val="00BF3783"/>
    <w:rsid w:val="00BF38C9"/>
    <w:rsid w:val="00BF38F6"/>
    <w:rsid w:val="00BF3C20"/>
    <w:rsid w:val="00BF3D6B"/>
    <w:rsid w:val="00BF3DA8"/>
    <w:rsid w:val="00BF3E96"/>
    <w:rsid w:val="00BF3EBE"/>
    <w:rsid w:val="00BF3FDA"/>
    <w:rsid w:val="00BF40A5"/>
    <w:rsid w:val="00BF40F7"/>
    <w:rsid w:val="00BF4318"/>
    <w:rsid w:val="00BF4426"/>
    <w:rsid w:val="00BF4519"/>
    <w:rsid w:val="00BF484E"/>
    <w:rsid w:val="00BF4876"/>
    <w:rsid w:val="00BF48A3"/>
    <w:rsid w:val="00BF48D8"/>
    <w:rsid w:val="00BF48F9"/>
    <w:rsid w:val="00BF497D"/>
    <w:rsid w:val="00BF4C29"/>
    <w:rsid w:val="00BF4CE5"/>
    <w:rsid w:val="00BF4D4D"/>
    <w:rsid w:val="00BF4DE6"/>
    <w:rsid w:val="00BF4F06"/>
    <w:rsid w:val="00BF4F91"/>
    <w:rsid w:val="00BF5060"/>
    <w:rsid w:val="00BF5103"/>
    <w:rsid w:val="00BF5183"/>
    <w:rsid w:val="00BF522F"/>
    <w:rsid w:val="00BF547C"/>
    <w:rsid w:val="00BF5635"/>
    <w:rsid w:val="00BF573F"/>
    <w:rsid w:val="00BF58AF"/>
    <w:rsid w:val="00BF592E"/>
    <w:rsid w:val="00BF5A8E"/>
    <w:rsid w:val="00BF5ACB"/>
    <w:rsid w:val="00BF5B9F"/>
    <w:rsid w:val="00BF5CCB"/>
    <w:rsid w:val="00BF5DAF"/>
    <w:rsid w:val="00BF6062"/>
    <w:rsid w:val="00BF608C"/>
    <w:rsid w:val="00BF60FD"/>
    <w:rsid w:val="00BF61D7"/>
    <w:rsid w:val="00BF6322"/>
    <w:rsid w:val="00BF6406"/>
    <w:rsid w:val="00BF665A"/>
    <w:rsid w:val="00BF6756"/>
    <w:rsid w:val="00BF67CE"/>
    <w:rsid w:val="00BF681C"/>
    <w:rsid w:val="00BF68BB"/>
    <w:rsid w:val="00BF6939"/>
    <w:rsid w:val="00BF6BAB"/>
    <w:rsid w:val="00BF6CA7"/>
    <w:rsid w:val="00BF6D72"/>
    <w:rsid w:val="00BF6DAE"/>
    <w:rsid w:val="00BF6E27"/>
    <w:rsid w:val="00BF6F2C"/>
    <w:rsid w:val="00BF7081"/>
    <w:rsid w:val="00BF70E6"/>
    <w:rsid w:val="00BF719E"/>
    <w:rsid w:val="00BF723B"/>
    <w:rsid w:val="00BF72FC"/>
    <w:rsid w:val="00BF77EB"/>
    <w:rsid w:val="00BF7990"/>
    <w:rsid w:val="00BF79B4"/>
    <w:rsid w:val="00BF79CF"/>
    <w:rsid w:val="00BF7AA8"/>
    <w:rsid w:val="00BF7B5F"/>
    <w:rsid w:val="00BF7D2C"/>
    <w:rsid w:val="00BF7F45"/>
    <w:rsid w:val="00C002FC"/>
    <w:rsid w:val="00C00342"/>
    <w:rsid w:val="00C00432"/>
    <w:rsid w:val="00C005CC"/>
    <w:rsid w:val="00C0077C"/>
    <w:rsid w:val="00C00935"/>
    <w:rsid w:val="00C00B8B"/>
    <w:rsid w:val="00C00BE5"/>
    <w:rsid w:val="00C00D84"/>
    <w:rsid w:val="00C00DFE"/>
    <w:rsid w:val="00C00E03"/>
    <w:rsid w:val="00C00E09"/>
    <w:rsid w:val="00C00F4A"/>
    <w:rsid w:val="00C01230"/>
    <w:rsid w:val="00C01361"/>
    <w:rsid w:val="00C01583"/>
    <w:rsid w:val="00C015FE"/>
    <w:rsid w:val="00C01874"/>
    <w:rsid w:val="00C018D3"/>
    <w:rsid w:val="00C01A00"/>
    <w:rsid w:val="00C01A86"/>
    <w:rsid w:val="00C01E15"/>
    <w:rsid w:val="00C01F52"/>
    <w:rsid w:val="00C01FA9"/>
    <w:rsid w:val="00C02316"/>
    <w:rsid w:val="00C024CB"/>
    <w:rsid w:val="00C02542"/>
    <w:rsid w:val="00C02655"/>
    <w:rsid w:val="00C0266C"/>
    <w:rsid w:val="00C0267C"/>
    <w:rsid w:val="00C026B1"/>
    <w:rsid w:val="00C0286B"/>
    <w:rsid w:val="00C02B84"/>
    <w:rsid w:val="00C02CC3"/>
    <w:rsid w:val="00C02EB0"/>
    <w:rsid w:val="00C03044"/>
    <w:rsid w:val="00C03276"/>
    <w:rsid w:val="00C0336D"/>
    <w:rsid w:val="00C03378"/>
    <w:rsid w:val="00C03586"/>
    <w:rsid w:val="00C03639"/>
    <w:rsid w:val="00C03710"/>
    <w:rsid w:val="00C0373B"/>
    <w:rsid w:val="00C038CE"/>
    <w:rsid w:val="00C03965"/>
    <w:rsid w:val="00C03A9A"/>
    <w:rsid w:val="00C03AB4"/>
    <w:rsid w:val="00C03CB4"/>
    <w:rsid w:val="00C03CF5"/>
    <w:rsid w:val="00C03F46"/>
    <w:rsid w:val="00C043AC"/>
    <w:rsid w:val="00C0447E"/>
    <w:rsid w:val="00C044A7"/>
    <w:rsid w:val="00C04575"/>
    <w:rsid w:val="00C046EA"/>
    <w:rsid w:val="00C04C33"/>
    <w:rsid w:val="00C04C8C"/>
    <w:rsid w:val="00C04DE9"/>
    <w:rsid w:val="00C04E80"/>
    <w:rsid w:val="00C04EC7"/>
    <w:rsid w:val="00C04F09"/>
    <w:rsid w:val="00C04F73"/>
    <w:rsid w:val="00C050DD"/>
    <w:rsid w:val="00C050EF"/>
    <w:rsid w:val="00C05113"/>
    <w:rsid w:val="00C05307"/>
    <w:rsid w:val="00C05649"/>
    <w:rsid w:val="00C0570F"/>
    <w:rsid w:val="00C05B95"/>
    <w:rsid w:val="00C05E60"/>
    <w:rsid w:val="00C06077"/>
    <w:rsid w:val="00C06288"/>
    <w:rsid w:val="00C064DC"/>
    <w:rsid w:val="00C065A8"/>
    <w:rsid w:val="00C066B9"/>
    <w:rsid w:val="00C067C6"/>
    <w:rsid w:val="00C067D4"/>
    <w:rsid w:val="00C06A43"/>
    <w:rsid w:val="00C06AB9"/>
    <w:rsid w:val="00C06D00"/>
    <w:rsid w:val="00C06F8A"/>
    <w:rsid w:val="00C072BB"/>
    <w:rsid w:val="00C073A5"/>
    <w:rsid w:val="00C074D8"/>
    <w:rsid w:val="00C077A6"/>
    <w:rsid w:val="00C077B3"/>
    <w:rsid w:val="00C078E7"/>
    <w:rsid w:val="00C07B42"/>
    <w:rsid w:val="00C07B7F"/>
    <w:rsid w:val="00C07DF0"/>
    <w:rsid w:val="00C1000E"/>
    <w:rsid w:val="00C1009E"/>
    <w:rsid w:val="00C101F7"/>
    <w:rsid w:val="00C102A9"/>
    <w:rsid w:val="00C1037F"/>
    <w:rsid w:val="00C10433"/>
    <w:rsid w:val="00C104FD"/>
    <w:rsid w:val="00C10542"/>
    <w:rsid w:val="00C10663"/>
    <w:rsid w:val="00C107E1"/>
    <w:rsid w:val="00C107F5"/>
    <w:rsid w:val="00C10991"/>
    <w:rsid w:val="00C10BBB"/>
    <w:rsid w:val="00C10DCC"/>
    <w:rsid w:val="00C10E09"/>
    <w:rsid w:val="00C10F02"/>
    <w:rsid w:val="00C10FA5"/>
    <w:rsid w:val="00C110CA"/>
    <w:rsid w:val="00C11206"/>
    <w:rsid w:val="00C1120C"/>
    <w:rsid w:val="00C112D2"/>
    <w:rsid w:val="00C112D5"/>
    <w:rsid w:val="00C11421"/>
    <w:rsid w:val="00C114CF"/>
    <w:rsid w:val="00C114D5"/>
    <w:rsid w:val="00C11516"/>
    <w:rsid w:val="00C11629"/>
    <w:rsid w:val="00C11794"/>
    <w:rsid w:val="00C11A07"/>
    <w:rsid w:val="00C11AEE"/>
    <w:rsid w:val="00C11D2C"/>
    <w:rsid w:val="00C11E60"/>
    <w:rsid w:val="00C11E72"/>
    <w:rsid w:val="00C11F85"/>
    <w:rsid w:val="00C1207E"/>
    <w:rsid w:val="00C120EB"/>
    <w:rsid w:val="00C121B5"/>
    <w:rsid w:val="00C121F8"/>
    <w:rsid w:val="00C12475"/>
    <w:rsid w:val="00C12590"/>
    <w:rsid w:val="00C127AC"/>
    <w:rsid w:val="00C127FC"/>
    <w:rsid w:val="00C12B45"/>
    <w:rsid w:val="00C12B50"/>
    <w:rsid w:val="00C12B5B"/>
    <w:rsid w:val="00C12C0C"/>
    <w:rsid w:val="00C12E30"/>
    <w:rsid w:val="00C12EE7"/>
    <w:rsid w:val="00C12F89"/>
    <w:rsid w:val="00C13045"/>
    <w:rsid w:val="00C132CA"/>
    <w:rsid w:val="00C1354B"/>
    <w:rsid w:val="00C135C5"/>
    <w:rsid w:val="00C1362B"/>
    <w:rsid w:val="00C13736"/>
    <w:rsid w:val="00C1392E"/>
    <w:rsid w:val="00C13A8B"/>
    <w:rsid w:val="00C13AC7"/>
    <w:rsid w:val="00C13C12"/>
    <w:rsid w:val="00C13C34"/>
    <w:rsid w:val="00C13D09"/>
    <w:rsid w:val="00C13DF3"/>
    <w:rsid w:val="00C13E66"/>
    <w:rsid w:val="00C142B3"/>
    <w:rsid w:val="00C14313"/>
    <w:rsid w:val="00C148C7"/>
    <w:rsid w:val="00C149B7"/>
    <w:rsid w:val="00C149BD"/>
    <w:rsid w:val="00C14A38"/>
    <w:rsid w:val="00C14AC9"/>
    <w:rsid w:val="00C14AD1"/>
    <w:rsid w:val="00C14BD4"/>
    <w:rsid w:val="00C14C86"/>
    <w:rsid w:val="00C14CFA"/>
    <w:rsid w:val="00C14DA7"/>
    <w:rsid w:val="00C14F1C"/>
    <w:rsid w:val="00C15131"/>
    <w:rsid w:val="00C151C3"/>
    <w:rsid w:val="00C1542A"/>
    <w:rsid w:val="00C1549A"/>
    <w:rsid w:val="00C1550A"/>
    <w:rsid w:val="00C1553E"/>
    <w:rsid w:val="00C155DE"/>
    <w:rsid w:val="00C15619"/>
    <w:rsid w:val="00C15715"/>
    <w:rsid w:val="00C1576D"/>
    <w:rsid w:val="00C15819"/>
    <w:rsid w:val="00C1582E"/>
    <w:rsid w:val="00C158A4"/>
    <w:rsid w:val="00C158BC"/>
    <w:rsid w:val="00C158F6"/>
    <w:rsid w:val="00C15A2B"/>
    <w:rsid w:val="00C15D9F"/>
    <w:rsid w:val="00C15DD2"/>
    <w:rsid w:val="00C16165"/>
    <w:rsid w:val="00C1618E"/>
    <w:rsid w:val="00C16442"/>
    <w:rsid w:val="00C16491"/>
    <w:rsid w:val="00C167B8"/>
    <w:rsid w:val="00C167FB"/>
    <w:rsid w:val="00C16815"/>
    <w:rsid w:val="00C1697B"/>
    <w:rsid w:val="00C16A61"/>
    <w:rsid w:val="00C16C84"/>
    <w:rsid w:val="00C16CCF"/>
    <w:rsid w:val="00C16D1C"/>
    <w:rsid w:val="00C16E2A"/>
    <w:rsid w:val="00C173AE"/>
    <w:rsid w:val="00C175E4"/>
    <w:rsid w:val="00C17660"/>
    <w:rsid w:val="00C176E5"/>
    <w:rsid w:val="00C1778B"/>
    <w:rsid w:val="00C178A5"/>
    <w:rsid w:val="00C17997"/>
    <w:rsid w:val="00C17A29"/>
    <w:rsid w:val="00C17BF6"/>
    <w:rsid w:val="00C17CB0"/>
    <w:rsid w:val="00C20191"/>
    <w:rsid w:val="00C20534"/>
    <w:rsid w:val="00C20661"/>
    <w:rsid w:val="00C206EE"/>
    <w:rsid w:val="00C207CD"/>
    <w:rsid w:val="00C208C0"/>
    <w:rsid w:val="00C20929"/>
    <w:rsid w:val="00C2094E"/>
    <w:rsid w:val="00C20969"/>
    <w:rsid w:val="00C20A13"/>
    <w:rsid w:val="00C20A89"/>
    <w:rsid w:val="00C20C53"/>
    <w:rsid w:val="00C20CCA"/>
    <w:rsid w:val="00C20CE4"/>
    <w:rsid w:val="00C20CF8"/>
    <w:rsid w:val="00C20D31"/>
    <w:rsid w:val="00C20D55"/>
    <w:rsid w:val="00C20DFD"/>
    <w:rsid w:val="00C20E7C"/>
    <w:rsid w:val="00C20EE4"/>
    <w:rsid w:val="00C20F26"/>
    <w:rsid w:val="00C21169"/>
    <w:rsid w:val="00C2124B"/>
    <w:rsid w:val="00C213AC"/>
    <w:rsid w:val="00C214B5"/>
    <w:rsid w:val="00C2150D"/>
    <w:rsid w:val="00C21550"/>
    <w:rsid w:val="00C215E4"/>
    <w:rsid w:val="00C2190B"/>
    <w:rsid w:val="00C21995"/>
    <w:rsid w:val="00C219AF"/>
    <w:rsid w:val="00C219E6"/>
    <w:rsid w:val="00C21E7C"/>
    <w:rsid w:val="00C21E8B"/>
    <w:rsid w:val="00C21FDD"/>
    <w:rsid w:val="00C21FFA"/>
    <w:rsid w:val="00C22100"/>
    <w:rsid w:val="00C22119"/>
    <w:rsid w:val="00C22149"/>
    <w:rsid w:val="00C221FB"/>
    <w:rsid w:val="00C2257C"/>
    <w:rsid w:val="00C225C5"/>
    <w:rsid w:val="00C2263E"/>
    <w:rsid w:val="00C22641"/>
    <w:rsid w:val="00C22660"/>
    <w:rsid w:val="00C226FE"/>
    <w:rsid w:val="00C22804"/>
    <w:rsid w:val="00C228B6"/>
    <w:rsid w:val="00C22A8C"/>
    <w:rsid w:val="00C22AF8"/>
    <w:rsid w:val="00C22C4D"/>
    <w:rsid w:val="00C22DB2"/>
    <w:rsid w:val="00C232B4"/>
    <w:rsid w:val="00C233C9"/>
    <w:rsid w:val="00C235D8"/>
    <w:rsid w:val="00C236A5"/>
    <w:rsid w:val="00C236EF"/>
    <w:rsid w:val="00C23886"/>
    <w:rsid w:val="00C23A93"/>
    <w:rsid w:val="00C23A9A"/>
    <w:rsid w:val="00C23B7B"/>
    <w:rsid w:val="00C23C9E"/>
    <w:rsid w:val="00C23E2F"/>
    <w:rsid w:val="00C23ECD"/>
    <w:rsid w:val="00C24018"/>
    <w:rsid w:val="00C240FB"/>
    <w:rsid w:val="00C24463"/>
    <w:rsid w:val="00C244C8"/>
    <w:rsid w:val="00C2468F"/>
    <w:rsid w:val="00C247DC"/>
    <w:rsid w:val="00C24887"/>
    <w:rsid w:val="00C248B7"/>
    <w:rsid w:val="00C24B3D"/>
    <w:rsid w:val="00C24B46"/>
    <w:rsid w:val="00C24BD0"/>
    <w:rsid w:val="00C24CB0"/>
    <w:rsid w:val="00C25302"/>
    <w:rsid w:val="00C254A8"/>
    <w:rsid w:val="00C255B2"/>
    <w:rsid w:val="00C25645"/>
    <w:rsid w:val="00C256F7"/>
    <w:rsid w:val="00C25947"/>
    <w:rsid w:val="00C25BDA"/>
    <w:rsid w:val="00C25DA7"/>
    <w:rsid w:val="00C25E37"/>
    <w:rsid w:val="00C25E90"/>
    <w:rsid w:val="00C26105"/>
    <w:rsid w:val="00C2610F"/>
    <w:rsid w:val="00C261BF"/>
    <w:rsid w:val="00C262A8"/>
    <w:rsid w:val="00C2643C"/>
    <w:rsid w:val="00C264A2"/>
    <w:rsid w:val="00C266FC"/>
    <w:rsid w:val="00C26850"/>
    <w:rsid w:val="00C2692F"/>
    <w:rsid w:val="00C2698A"/>
    <w:rsid w:val="00C26AFD"/>
    <w:rsid w:val="00C26B92"/>
    <w:rsid w:val="00C2709A"/>
    <w:rsid w:val="00C27367"/>
    <w:rsid w:val="00C274A5"/>
    <w:rsid w:val="00C27754"/>
    <w:rsid w:val="00C27779"/>
    <w:rsid w:val="00C27782"/>
    <w:rsid w:val="00C278FF"/>
    <w:rsid w:val="00C27B53"/>
    <w:rsid w:val="00C27C55"/>
    <w:rsid w:val="00C27CE0"/>
    <w:rsid w:val="00C27D11"/>
    <w:rsid w:val="00C27D1D"/>
    <w:rsid w:val="00C27E2E"/>
    <w:rsid w:val="00C301AF"/>
    <w:rsid w:val="00C3027D"/>
    <w:rsid w:val="00C302FC"/>
    <w:rsid w:val="00C307C2"/>
    <w:rsid w:val="00C308C7"/>
    <w:rsid w:val="00C30A7C"/>
    <w:rsid w:val="00C30B03"/>
    <w:rsid w:val="00C30B3D"/>
    <w:rsid w:val="00C30DA0"/>
    <w:rsid w:val="00C31084"/>
    <w:rsid w:val="00C31175"/>
    <w:rsid w:val="00C3134B"/>
    <w:rsid w:val="00C314BD"/>
    <w:rsid w:val="00C31615"/>
    <w:rsid w:val="00C31860"/>
    <w:rsid w:val="00C319C5"/>
    <w:rsid w:val="00C31CF9"/>
    <w:rsid w:val="00C31D60"/>
    <w:rsid w:val="00C31D68"/>
    <w:rsid w:val="00C32384"/>
    <w:rsid w:val="00C324D3"/>
    <w:rsid w:val="00C32591"/>
    <w:rsid w:val="00C32C74"/>
    <w:rsid w:val="00C32E2C"/>
    <w:rsid w:val="00C33104"/>
    <w:rsid w:val="00C33138"/>
    <w:rsid w:val="00C3318A"/>
    <w:rsid w:val="00C332AF"/>
    <w:rsid w:val="00C332D4"/>
    <w:rsid w:val="00C3334C"/>
    <w:rsid w:val="00C33356"/>
    <w:rsid w:val="00C334C2"/>
    <w:rsid w:val="00C334D3"/>
    <w:rsid w:val="00C3372C"/>
    <w:rsid w:val="00C337CF"/>
    <w:rsid w:val="00C337F3"/>
    <w:rsid w:val="00C338CD"/>
    <w:rsid w:val="00C33C84"/>
    <w:rsid w:val="00C33EBA"/>
    <w:rsid w:val="00C33F45"/>
    <w:rsid w:val="00C3409B"/>
    <w:rsid w:val="00C341A8"/>
    <w:rsid w:val="00C34218"/>
    <w:rsid w:val="00C34292"/>
    <w:rsid w:val="00C3469A"/>
    <w:rsid w:val="00C347F8"/>
    <w:rsid w:val="00C34AE7"/>
    <w:rsid w:val="00C34B30"/>
    <w:rsid w:val="00C34D1E"/>
    <w:rsid w:val="00C34F14"/>
    <w:rsid w:val="00C34FEF"/>
    <w:rsid w:val="00C3505E"/>
    <w:rsid w:val="00C35333"/>
    <w:rsid w:val="00C35509"/>
    <w:rsid w:val="00C3551C"/>
    <w:rsid w:val="00C355D9"/>
    <w:rsid w:val="00C3578D"/>
    <w:rsid w:val="00C3581D"/>
    <w:rsid w:val="00C3582D"/>
    <w:rsid w:val="00C3584F"/>
    <w:rsid w:val="00C35BB4"/>
    <w:rsid w:val="00C35BB5"/>
    <w:rsid w:val="00C35C7F"/>
    <w:rsid w:val="00C35D35"/>
    <w:rsid w:val="00C35E72"/>
    <w:rsid w:val="00C35FFF"/>
    <w:rsid w:val="00C3619D"/>
    <w:rsid w:val="00C362F5"/>
    <w:rsid w:val="00C3639D"/>
    <w:rsid w:val="00C36498"/>
    <w:rsid w:val="00C36800"/>
    <w:rsid w:val="00C3697D"/>
    <w:rsid w:val="00C369EF"/>
    <w:rsid w:val="00C36C12"/>
    <w:rsid w:val="00C36D97"/>
    <w:rsid w:val="00C36DBB"/>
    <w:rsid w:val="00C36E12"/>
    <w:rsid w:val="00C37148"/>
    <w:rsid w:val="00C371D2"/>
    <w:rsid w:val="00C372F0"/>
    <w:rsid w:val="00C3731F"/>
    <w:rsid w:val="00C37396"/>
    <w:rsid w:val="00C374D1"/>
    <w:rsid w:val="00C374E2"/>
    <w:rsid w:val="00C37710"/>
    <w:rsid w:val="00C37838"/>
    <w:rsid w:val="00C379E3"/>
    <w:rsid w:val="00C37A21"/>
    <w:rsid w:val="00C37A30"/>
    <w:rsid w:val="00C37B62"/>
    <w:rsid w:val="00C37C6D"/>
    <w:rsid w:val="00C37C9E"/>
    <w:rsid w:val="00C4009F"/>
    <w:rsid w:val="00C402BA"/>
    <w:rsid w:val="00C40606"/>
    <w:rsid w:val="00C40673"/>
    <w:rsid w:val="00C406C7"/>
    <w:rsid w:val="00C40832"/>
    <w:rsid w:val="00C408BE"/>
    <w:rsid w:val="00C4093C"/>
    <w:rsid w:val="00C40AAC"/>
    <w:rsid w:val="00C40C63"/>
    <w:rsid w:val="00C40D52"/>
    <w:rsid w:val="00C40D9F"/>
    <w:rsid w:val="00C40FBB"/>
    <w:rsid w:val="00C410D4"/>
    <w:rsid w:val="00C411E4"/>
    <w:rsid w:val="00C4134A"/>
    <w:rsid w:val="00C417B9"/>
    <w:rsid w:val="00C419CA"/>
    <w:rsid w:val="00C41C3D"/>
    <w:rsid w:val="00C41C4A"/>
    <w:rsid w:val="00C41C6C"/>
    <w:rsid w:val="00C41CAB"/>
    <w:rsid w:val="00C41E30"/>
    <w:rsid w:val="00C41E3E"/>
    <w:rsid w:val="00C41F13"/>
    <w:rsid w:val="00C41F95"/>
    <w:rsid w:val="00C41FB7"/>
    <w:rsid w:val="00C41FD2"/>
    <w:rsid w:val="00C420BF"/>
    <w:rsid w:val="00C420E3"/>
    <w:rsid w:val="00C422AA"/>
    <w:rsid w:val="00C422EA"/>
    <w:rsid w:val="00C42321"/>
    <w:rsid w:val="00C423B6"/>
    <w:rsid w:val="00C423D3"/>
    <w:rsid w:val="00C424B1"/>
    <w:rsid w:val="00C424E3"/>
    <w:rsid w:val="00C42665"/>
    <w:rsid w:val="00C42671"/>
    <w:rsid w:val="00C427BF"/>
    <w:rsid w:val="00C428BB"/>
    <w:rsid w:val="00C429F1"/>
    <w:rsid w:val="00C42B18"/>
    <w:rsid w:val="00C42CFC"/>
    <w:rsid w:val="00C42E64"/>
    <w:rsid w:val="00C42F1B"/>
    <w:rsid w:val="00C42F9B"/>
    <w:rsid w:val="00C43034"/>
    <w:rsid w:val="00C4315E"/>
    <w:rsid w:val="00C4335C"/>
    <w:rsid w:val="00C43364"/>
    <w:rsid w:val="00C4378E"/>
    <w:rsid w:val="00C437F8"/>
    <w:rsid w:val="00C43ACD"/>
    <w:rsid w:val="00C43DFB"/>
    <w:rsid w:val="00C44181"/>
    <w:rsid w:val="00C4434C"/>
    <w:rsid w:val="00C443BA"/>
    <w:rsid w:val="00C444E9"/>
    <w:rsid w:val="00C44504"/>
    <w:rsid w:val="00C4456B"/>
    <w:rsid w:val="00C446BC"/>
    <w:rsid w:val="00C44991"/>
    <w:rsid w:val="00C44A61"/>
    <w:rsid w:val="00C44AE3"/>
    <w:rsid w:val="00C44F5D"/>
    <w:rsid w:val="00C450A4"/>
    <w:rsid w:val="00C45192"/>
    <w:rsid w:val="00C4527E"/>
    <w:rsid w:val="00C452F6"/>
    <w:rsid w:val="00C4540D"/>
    <w:rsid w:val="00C45B89"/>
    <w:rsid w:val="00C45BEB"/>
    <w:rsid w:val="00C45CCE"/>
    <w:rsid w:val="00C45E8F"/>
    <w:rsid w:val="00C4601C"/>
    <w:rsid w:val="00C46365"/>
    <w:rsid w:val="00C463F1"/>
    <w:rsid w:val="00C46527"/>
    <w:rsid w:val="00C4672B"/>
    <w:rsid w:val="00C4675B"/>
    <w:rsid w:val="00C467AA"/>
    <w:rsid w:val="00C469B0"/>
    <w:rsid w:val="00C46AFC"/>
    <w:rsid w:val="00C46B08"/>
    <w:rsid w:val="00C46CB0"/>
    <w:rsid w:val="00C46D01"/>
    <w:rsid w:val="00C46FA3"/>
    <w:rsid w:val="00C47183"/>
    <w:rsid w:val="00C471D1"/>
    <w:rsid w:val="00C471F2"/>
    <w:rsid w:val="00C471FE"/>
    <w:rsid w:val="00C4729F"/>
    <w:rsid w:val="00C47734"/>
    <w:rsid w:val="00C478D4"/>
    <w:rsid w:val="00C47A32"/>
    <w:rsid w:val="00C47AC0"/>
    <w:rsid w:val="00C47D16"/>
    <w:rsid w:val="00C47F11"/>
    <w:rsid w:val="00C47F92"/>
    <w:rsid w:val="00C5007A"/>
    <w:rsid w:val="00C500D0"/>
    <w:rsid w:val="00C500FE"/>
    <w:rsid w:val="00C501A2"/>
    <w:rsid w:val="00C501EC"/>
    <w:rsid w:val="00C5028E"/>
    <w:rsid w:val="00C50317"/>
    <w:rsid w:val="00C504B0"/>
    <w:rsid w:val="00C50994"/>
    <w:rsid w:val="00C50BC6"/>
    <w:rsid w:val="00C50C1D"/>
    <w:rsid w:val="00C50C2B"/>
    <w:rsid w:val="00C50CE6"/>
    <w:rsid w:val="00C50DA4"/>
    <w:rsid w:val="00C50E54"/>
    <w:rsid w:val="00C50FF1"/>
    <w:rsid w:val="00C51011"/>
    <w:rsid w:val="00C51020"/>
    <w:rsid w:val="00C51096"/>
    <w:rsid w:val="00C510BC"/>
    <w:rsid w:val="00C51128"/>
    <w:rsid w:val="00C511D1"/>
    <w:rsid w:val="00C513C3"/>
    <w:rsid w:val="00C513C5"/>
    <w:rsid w:val="00C51401"/>
    <w:rsid w:val="00C51ABE"/>
    <w:rsid w:val="00C52027"/>
    <w:rsid w:val="00C520C5"/>
    <w:rsid w:val="00C5215D"/>
    <w:rsid w:val="00C521B1"/>
    <w:rsid w:val="00C524F6"/>
    <w:rsid w:val="00C52834"/>
    <w:rsid w:val="00C528C8"/>
    <w:rsid w:val="00C52922"/>
    <w:rsid w:val="00C529FB"/>
    <w:rsid w:val="00C52C07"/>
    <w:rsid w:val="00C52DAD"/>
    <w:rsid w:val="00C52F54"/>
    <w:rsid w:val="00C5304E"/>
    <w:rsid w:val="00C53050"/>
    <w:rsid w:val="00C53289"/>
    <w:rsid w:val="00C532BF"/>
    <w:rsid w:val="00C5333C"/>
    <w:rsid w:val="00C53442"/>
    <w:rsid w:val="00C539FF"/>
    <w:rsid w:val="00C53A1B"/>
    <w:rsid w:val="00C53CC6"/>
    <w:rsid w:val="00C53D57"/>
    <w:rsid w:val="00C53E06"/>
    <w:rsid w:val="00C53F0B"/>
    <w:rsid w:val="00C53FBC"/>
    <w:rsid w:val="00C5434D"/>
    <w:rsid w:val="00C54355"/>
    <w:rsid w:val="00C544EF"/>
    <w:rsid w:val="00C546D8"/>
    <w:rsid w:val="00C54790"/>
    <w:rsid w:val="00C54884"/>
    <w:rsid w:val="00C5489A"/>
    <w:rsid w:val="00C548E8"/>
    <w:rsid w:val="00C54999"/>
    <w:rsid w:val="00C54A8C"/>
    <w:rsid w:val="00C54AF9"/>
    <w:rsid w:val="00C54BEF"/>
    <w:rsid w:val="00C54C17"/>
    <w:rsid w:val="00C54D01"/>
    <w:rsid w:val="00C54D67"/>
    <w:rsid w:val="00C54E97"/>
    <w:rsid w:val="00C54F29"/>
    <w:rsid w:val="00C54F40"/>
    <w:rsid w:val="00C55119"/>
    <w:rsid w:val="00C5549C"/>
    <w:rsid w:val="00C55660"/>
    <w:rsid w:val="00C5579D"/>
    <w:rsid w:val="00C55B1A"/>
    <w:rsid w:val="00C55D9B"/>
    <w:rsid w:val="00C55E40"/>
    <w:rsid w:val="00C55EA2"/>
    <w:rsid w:val="00C560AC"/>
    <w:rsid w:val="00C561EF"/>
    <w:rsid w:val="00C563C2"/>
    <w:rsid w:val="00C565E8"/>
    <w:rsid w:val="00C56620"/>
    <w:rsid w:val="00C56641"/>
    <w:rsid w:val="00C5689A"/>
    <w:rsid w:val="00C569D1"/>
    <w:rsid w:val="00C56C01"/>
    <w:rsid w:val="00C56E3B"/>
    <w:rsid w:val="00C56F68"/>
    <w:rsid w:val="00C56FD8"/>
    <w:rsid w:val="00C572B0"/>
    <w:rsid w:val="00C572B6"/>
    <w:rsid w:val="00C57677"/>
    <w:rsid w:val="00C576A2"/>
    <w:rsid w:val="00C576CC"/>
    <w:rsid w:val="00C576D4"/>
    <w:rsid w:val="00C5781C"/>
    <w:rsid w:val="00C5784C"/>
    <w:rsid w:val="00C5788B"/>
    <w:rsid w:val="00C578EC"/>
    <w:rsid w:val="00C57A00"/>
    <w:rsid w:val="00C57BDA"/>
    <w:rsid w:val="00C57D2C"/>
    <w:rsid w:val="00C57DFD"/>
    <w:rsid w:val="00C57F2A"/>
    <w:rsid w:val="00C57FED"/>
    <w:rsid w:val="00C60036"/>
    <w:rsid w:val="00C602C4"/>
    <w:rsid w:val="00C60343"/>
    <w:rsid w:val="00C60691"/>
    <w:rsid w:val="00C607F4"/>
    <w:rsid w:val="00C60856"/>
    <w:rsid w:val="00C60886"/>
    <w:rsid w:val="00C60A3B"/>
    <w:rsid w:val="00C60BF3"/>
    <w:rsid w:val="00C60D0F"/>
    <w:rsid w:val="00C60D3C"/>
    <w:rsid w:val="00C60EDB"/>
    <w:rsid w:val="00C610A4"/>
    <w:rsid w:val="00C61166"/>
    <w:rsid w:val="00C611A2"/>
    <w:rsid w:val="00C61355"/>
    <w:rsid w:val="00C6151F"/>
    <w:rsid w:val="00C61560"/>
    <w:rsid w:val="00C615A5"/>
    <w:rsid w:val="00C616D5"/>
    <w:rsid w:val="00C617DE"/>
    <w:rsid w:val="00C6197C"/>
    <w:rsid w:val="00C61A0D"/>
    <w:rsid w:val="00C61ADD"/>
    <w:rsid w:val="00C61B48"/>
    <w:rsid w:val="00C61D36"/>
    <w:rsid w:val="00C61D7B"/>
    <w:rsid w:val="00C61D96"/>
    <w:rsid w:val="00C61E81"/>
    <w:rsid w:val="00C61EDD"/>
    <w:rsid w:val="00C61F65"/>
    <w:rsid w:val="00C620BD"/>
    <w:rsid w:val="00C62102"/>
    <w:rsid w:val="00C621DD"/>
    <w:rsid w:val="00C62507"/>
    <w:rsid w:val="00C62644"/>
    <w:rsid w:val="00C62778"/>
    <w:rsid w:val="00C62AC6"/>
    <w:rsid w:val="00C62B00"/>
    <w:rsid w:val="00C62C18"/>
    <w:rsid w:val="00C62CE6"/>
    <w:rsid w:val="00C62E9A"/>
    <w:rsid w:val="00C62F45"/>
    <w:rsid w:val="00C62FDB"/>
    <w:rsid w:val="00C63027"/>
    <w:rsid w:val="00C6320E"/>
    <w:rsid w:val="00C63483"/>
    <w:rsid w:val="00C63555"/>
    <w:rsid w:val="00C63801"/>
    <w:rsid w:val="00C6389E"/>
    <w:rsid w:val="00C638CE"/>
    <w:rsid w:val="00C63964"/>
    <w:rsid w:val="00C63B81"/>
    <w:rsid w:val="00C63CB2"/>
    <w:rsid w:val="00C63D63"/>
    <w:rsid w:val="00C63D82"/>
    <w:rsid w:val="00C63DE9"/>
    <w:rsid w:val="00C63E35"/>
    <w:rsid w:val="00C640E4"/>
    <w:rsid w:val="00C64171"/>
    <w:rsid w:val="00C64198"/>
    <w:rsid w:val="00C643C4"/>
    <w:rsid w:val="00C644C7"/>
    <w:rsid w:val="00C64606"/>
    <w:rsid w:val="00C646F1"/>
    <w:rsid w:val="00C647BC"/>
    <w:rsid w:val="00C648B5"/>
    <w:rsid w:val="00C64A8C"/>
    <w:rsid w:val="00C64BE1"/>
    <w:rsid w:val="00C64CCB"/>
    <w:rsid w:val="00C64D77"/>
    <w:rsid w:val="00C64D79"/>
    <w:rsid w:val="00C64EA8"/>
    <w:rsid w:val="00C64F53"/>
    <w:rsid w:val="00C655F2"/>
    <w:rsid w:val="00C656C6"/>
    <w:rsid w:val="00C65A23"/>
    <w:rsid w:val="00C65C06"/>
    <w:rsid w:val="00C65E4E"/>
    <w:rsid w:val="00C65E61"/>
    <w:rsid w:val="00C65E8F"/>
    <w:rsid w:val="00C6615E"/>
    <w:rsid w:val="00C6616E"/>
    <w:rsid w:val="00C6624A"/>
    <w:rsid w:val="00C6634F"/>
    <w:rsid w:val="00C666F0"/>
    <w:rsid w:val="00C66A37"/>
    <w:rsid w:val="00C66A63"/>
    <w:rsid w:val="00C66B1F"/>
    <w:rsid w:val="00C66C6C"/>
    <w:rsid w:val="00C66F0D"/>
    <w:rsid w:val="00C66F64"/>
    <w:rsid w:val="00C67000"/>
    <w:rsid w:val="00C670B5"/>
    <w:rsid w:val="00C671B3"/>
    <w:rsid w:val="00C671C8"/>
    <w:rsid w:val="00C672DA"/>
    <w:rsid w:val="00C67400"/>
    <w:rsid w:val="00C67597"/>
    <w:rsid w:val="00C675A1"/>
    <w:rsid w:val="00C675A7"/>
    <w:rsid w:val="00C67A6B"/>
    <w:rsid w:val="00C67B41"/>
    <w:rsid w:val="00C67C58"/>
    <w:rsid w:val="00C67CA4"/>
    <w:rsid w:val="00C67D77"/>
    <w:rsid w:val="00C7023E"/>
    <w:rsid w:val="00C70405"/>
    <w:rsid w:val="00C7048B"/>
    <w:rsid w:val="00C705A9"/>
    <w:rsid w:val="00C705E6"/>
    <w:rsid w:val="00C7064A"/>
    <w:rsid w:val="00C709B3"/>
    <w:rsid w:val="00C70A3F"/>
    <w:rsid w:val="00C70AB5"/>
    <w:rsid w:val="00C70B11"/>
    <w:rsid w:val="00C70B5B"/>
    <w:rsid w:val="00C70BB7"/>
    <w:rsid w:val="00C70F34"/>
    <w:rsid w:val="00C70F83"/>
    <w:rsid w:val="00C711A0"/>
    <w:rsid w:val="00C711DF"/>
    <w:rsid w:val="00C711F1"/>
    <w:rsid w:val="00C71201"/>
    <w:rsid w:val="00C713E7"/>
    <w:rsid w:val="00C71636"/>
    <w:rsid w:val="00C7168C"/>
    <w:rsid w:val="00C71784"/>
    <w:rsid w:val="00C71AAD"/>
    <w:rsid w:val="00C71FF6"/>
    <w:rsid w:val="00C72084"/>
    <w:rsid w:val="00C72129"/>
    <w:rsid w:val="00C72146"/>
    <w:rsid w:val="00C7236B"/>
    <w:rsid w:val="00C72515"/>
    <w:rsid w:val="00C7269B"/>
    <w:rsid w:val="00C7273A"/>
    <w:rsid w:val="00C727E7"/>
    <w:rsid w:val="00C72827"/>
    <w:rsid w:val="00C72AC6"/>
    <w:rsid w:val="00C72BB6"/>
    <w:rsid w:val="00C72BD4"/>
    <w:rsid w:val="00C72BEB"/>
    <w:rsid w:val="00C72C44"/>
    <w:rsid w:val="00C7312D"/>
    <w:rsid w:val="00C731AF"/>
    <w:rsid w:val="00C731EC"/>
    <w:rsid w:val="00C73760"/>
    <w:rsid w:val="00C737ED"/>
    <w:rsid w:val="00C7385F"/>
    <w:rsid w:val="00C7387B"/>
    <w:rsid w:val="00C73BDE"/>
    <w:rsid w:val="00C73D7B"/>
    <w:rsid w:val="00C73E18"/>
    <w:rsid w:val="00C73F14"/>
    <w:rsid w:val="00C73F5B"/>
    <w:rsid w:val="00C741B0"/>
    <w:rsid w:val="00C744B9"/>
    <w:rsid w:val="00C74576"/>
    <w:rsid w:val="00C7458A"/>
    <w:rsid w:val="00C74792"/>
    <w:rsid w:val="00C747BD"/>
    <w:rsid w:val="00C747C6"/>
    <w:rsid w:val="00C74AD1"/>
    <w:rsid w:val="00C74AF1"/>
    <w:rsid w:val="00C74E1B"/>
    <w:rsid w:val="00C74EA0"/>
    <w:rsid w:val="00C74F34"/>
    <w:rsid w:val="00C74F67"/>
    <w:rsid w:val="00C74F72"/>
    <w:rsid w:val="00C74FF9"/>
    <w:rsid w:val="00C7505F"/>
    <w:rsid w:val="00C751F8"/>
    <w:rsid w:val="00C7530C"/>
    <w:rsid w:val="00C7535F"/>
    <w:rsid w:val="00C7547A"/>
    <w:rsid w:val="00C756B0"/>
    <w:rsid w:val="00C75731"/>
    <w:rsid w:val="00C758B0"/>
    <w:rsid w:val="00C758D9"/>
    <w:rsid w:val="00C75933"/>
    <w:rsid w:val="00C75B97"/>
    <w:rsid w:val="00C75D3D"/>
    <w:rsid w:val="00C76171"/>
    <w:rsid w:val="00C76314"/>
    <w:rsid w:val="00C763E2"/>
    <w:rsid w:val="00C76629"/>
    <w:rsid w:val="00C766D1"/>
    <w:rsid w:val="00C76705"/>
    <w:rsid w:val="00C76708"/>
    <w:rsid w:val="00C76867"/>
    <w:rsid w:val="00C769A6"/>
    <w:rsid w:val="00C76AAE"/>
    <w:rsid w:val="00C76EB1"/>
    <w:rsid w:val="00C77171"/>
    <w:rsid w:val="00C771F0"/>
    <w:rsid w:val="00C77256"/>
    <w:rsid w:val="00C772C7"/>
    <w:rsid w:val="00C77312"/>
    <w:rsid w:val="00C773E4"/>
    <w:rsid w:val="00C7746B"/>
    <w:rsid w:val="00C775ED"/>
    <w:rsid w:val="00C77693"/>
    <w:rsid w:val="00C7776A"/>
    <w:rsid w:val="00C77788"/>
    <w:rsid w:val="00C77803"/>
    <w:rsid w:val="00C779C0"/>
    <w:rsid w:val="00C779E9"/>
    <w:rsid w:val="00C77B66"/>
    <w:rsid w:val="00C77C1C"/>
    <w:rsid w:val="00C77D6C"/>
    <w:rsid w:val="00C77DDD"/>
    <w:rsid w:val="00C77E6F"/>
    <w:rsid w:val="00C803B8"/>
    <w:rsid w:val="00C8047A"/>
    <w:rsid w:val="00C805EE"/>
    <w:rsid w:val="00C80625"/>
    <w:rsid w:val="00C806E3"/>
    <w:rsid w:val="00C806F0"/>
    <w:rsid w:val="00C80751"/>
    <w:rsid w:val="00C80836"/>
    <w:rsid w:val="00C80848"/>
    <w:rsid w:val="00C80BC9"/>
    <w:rsid w:val="00C80D5C"/>
    <w:rsid w:val="00C80D65"/>
    <w:rsid w:val="00C80ED2"/>
    <w:rsid w:val="00C8110F"/>
    <w:rsid w:val="00C81151"/>
    <w:rsid w:val="00C811E0"/>
    <w:rsid w:val="00C81261"/>
    <w:rsid w:val="00C812DA"/>
    <w:rsid w:val="00C81316"/>
    <w:rsid w:val="00C813CE"/>
    <w:rsid w:val="00C813F1"/>
    <w:rsid w:val="00C8141C"/>
    <w:rsid w:val="00C81689"/>
    <w:rsid w:val="00C81932"/>
    <w:rsid w:val="00C81A84"/>
    <w:rsid w:val="00C81A85"/>
    <w:rsid w:val="00C81C0A"/>
    <w:rsid w:val="00C81D4C"/>
    <w:rsid w:val="00C820A5"/>
    <w:rsid w:val="00C823AB"/>
    <w:rsid w:val="00C82432"/>
    <w:rsid w:val="00C824F3"/>
    <w:rsid w:val="00C8278F"/>
    <w:rsid w:val="00C827A4"/>
    <w:rsid w:val="00C82A24"/>
    <w:rsid w:val="00C82C20"/>
    <w:rsid w:val="00C82CAE"/>
    <w:rsid w:val="00C82E17"/>
    <w:rsid w:val="00C82FD2"/>
    <w:rsid w:val="00C831F2"/>
    <w:rsid w:val="00C832D3"/>
    <w:rsid w:val="00C83377"/>
    <w:rsid w:val="00C833A9"/>
    <w:rsid w:val="00C83680"/>
    <w:rsid w:val="00C8380C"/>
    <w:rsid w:val="00C838D9"/>
    <w:rsid w:val="00C83A58"/>
    <w:rsid w:val="00C83AA6"/>
    <w:rsid w:val="00C83AFB"/>
    <w:rsid w:val="00C83B98"/>
    <w:rsid w:val="00C83C58"/>
    <w:rsid w:val="00C83E2E"/>
    <w:rsid w:val="00C83F80"/>
    <w:rsid w:val="00C84078"/>
    <w:rsid w:val="00C845AC"/>
    <w:rsid w:val="00C84727"/>
    <w:rsid w:val="00C8484C"/>
    <w:rsid w:val="00C848CE"/>
    <w:rsid w:val="00C84971"/>
    <w:rsid w:val="00C84A4D"/>
    <w:rsid w:val="00C84AA6"/>
    <w:rsid w:val="00C84C15"/>
    <w:rsid w:val="00C84D10"/>
    <w:rsid w:val="00C84EFE"/>
    <w:rsid w:val="00C852F9"/>
    <w:rsid w:val="00C8536E"/>
    <w:rsid w:val="00C8539F"/>
    <w:rsid w:val="00C854A1"/>
    <w:rsid w:val="00C854D4"/>
    <w:rsid w:val="00C854ED"/>
    <w:rsid w:val="00C855FB"/>
    <w:rsid w:val="00C85AD1"/>
    <w:rsid w:val="00C85C5D"/>
    <w:rsid w:val="00C85C5F"/>
    <w:rsid w:val="00C85D2F"/>
    <w:rsid w:val="00C85DC0"/>
    <w:rsid w:val="00C85EB6"/>
    <w:rsid w:val="00C86077"/>
    <w:rsid w:val="00C8608C"/>
    <w:rsid w:val="00C8610B"/>
    <w:rsid w:val="00C861DD"/>
    <w:rsid w:val="00C86428"/>
    <w:rsid w:val="00C86785"/>
    <w:rsid w:val="00C86996"/>
    <w:rsid w:val="00C86D6F"/>
    <w:rsid w:val="00C86E26"/>
    <w:rsid w:val="00C86E7D"/>
    <w:rsid w:val="00C870C1"/>
    <w:rsid w:val="00C87256"/>
    <w:rsid w:val="00C87322"/>
    <w:rsid w:val="00C873E6"/>
    <w:rsid w:val="00C8741C"/>
    <w:rsid w:val="00C8751C"/>
    <w:rsid w:val="00C875EC"/>
    <w:rsid w:val="00C875F4"/>
    <w:rsid w:val="00C87774"/>
    <w:rsid w:val="00C87823"/>
    <w:rsid w:val="00C87837"/>
    <w:rsid w:val="00C87921"/>
    <w:rsid w:val="00C87E69"/>
    <w:rsid w:val="00C87FF9"/>
    <w:rsid w:val="00C9028D"/>
    <w:rsid w:val="00C902F8"/>
    <w:rsid w:val="00C9032D"/>
    <w:rsid w:val="00C904B7"/>
    <w:rsid w:val="00C90556"/>
    <w:rsid w:val="00C906B4"/>
    <w:rsid w:val="00C906BF"/>
    <w:rsid w:val="00C907B9"/>
    <w:rsid w:val="00C9080F"/>
    <w:rsid w:val="00C90854"/>
    <w:rsid w:val="00C9088A"/>
    <w:rsid w:val="00C90A07"/>
    <w:rsid w:val="00C90AD0"/>
    <w:rsid w:val="00C90EEA"/>
    <w:rsid w:val="00C90FFA"/>
    <w:rsid w:val="00C9108A"/>
    <w:rsid w:val="00C911D2"/>
    <w:rsid w:val="00C9131F"/>
    <w:rsid w:val="00C913E0"/>
    <w:rsid w:val="00C91462"/>
    <w:rsid w:val="00C91988"/>
    <w:rsid w:val="00C9198F"/>
    <w:rsid w:val="00C91A64"/>
    <w:rsid w:val="00C91A98"/>
    <w:rsid w:val="00C91B35"/>
    <w:rsid w:val="00C91DF6"/>
    <w:rsid w:val="00C91E6F"/>
    <w:rsid w:val="00C91F9A"/>
    <w:rsid w:val="00C9236E"/>
    <w:rsid w:val="00C923A7"/>
    <w:rsid w:val="00C92437"/>
    <w:rsid w:val="00C92500"/>
    <w:rsid w:val="00C92688"/>
    <w:rsid w:val="00C92713"/>
    <w:rsid w:val="00C927CC"/>
    <w:rsid w:val="00C9285B"/>
    <w:rsid w:val="00C92951"/>
    <w:rsid w:val="00C9298A"/>
    <w:rsid w:val="00C92AF4"/>
    <w:rsid w:val="00C92CB0"/>
    <w:rsid w:val="00C92D20"/>
    <w:rsid w:val="00C92F53"/>
    <w:rsid w:val="00C9316F"/>
    <w:rsid w:val="00C93479"/>
    <w:rsid w:val="00C9361E"/>
    <w:rsid w:val="00C93782"/>
    <w:rsid w:val="00C938DA"/>
    <w:rsid w:val="00C93962"/>
    <w:rsid w:val="00C93A02"/>
    <w:rsid w:val="00C93A03"/>
    <w:rsid w:val="00C93B62"/>
    <w:rsid w:val="00C93B68"/>
    <w:rsid w:val="00C93B9A"/>
    <w:rsid w:val="00C93BE8"/>
    <w:rsid w:val="00C93CFB"/>
    <w:rsid w:val="00C93F14"/>
    <w:rsid w:val="00C943A1"/>
    <w:rsid w:val="00C943DF"/>
    <w:rsid w:val="00C94455"/>
    <w:rsid w:val="00C944A9"/>
    <w:rsid w:val="00C94510"/>
    <w:rsid w:val="00C94683"/>
    <w:rsid w:val="00C94C46"/>
    <w:rsid w:val="00C94F43"/>
    <w:rsid w:val="00C94FD7"/>
    <w:rsid w:val="00C950E4"/>
    <w:rsid w:val="00C95131"/>
    <w:rsid w:val="00C951EF"/>
    <w:rsid w:val="00C952A9"/>
    <w:rsid w:val="00C95407"/>
    <w:rsid w:val="00C95508"/>
    <w:rsid w:val="00C9559B"/>
    <w:rsid w:val="00C95600"/>
    <w:rsid w:val="00C95653"/>
    <w:rsid w:val="00C95821"/>
    <w:rsid w:val="00C95832"/>
    <w:rsid w:val="00C95878"/>
    <w:rsid w:val="00C95B34"/>
    <w:rsid w:val="00C95B74"/>
    <w:rsid w:val="00C95C19"/>
    <w:rsid w:val="00C95E4E"/>
    <w:rsid w:val="00C95EC6"/>
    <w:rsid w:val="00C95EF5"/>
    <w:rsid w:val="00C9604F"/>
    <w:rsid w:val="00C9614A"/>
    <w:rsid w:val="00C96167"/>
    <w:rsid w:val="00C9643A"/>
    <w:rsid w:val="00C96454"/>
    <w:rsid w:val="00C96765"/>
    <w:rsid w:val="00C96850"/>
    <w:rsid w:val="00C96AF2"/>
    <w:rsid w:val="00C97062"/>
    <w:rsid w:val="00C97178"/>
    <w:rsid w:val="00C971F4"/>
    <w:rsid w:val="00C97256"/>
    <w:rsid w:val="00C9734B"/>
    <w:rsid w:val="00C9749D"/>
    <w:rsid w:val="00C974C8"/>
    <w:rsid w:val="00C97526"/>
    <w:rsid w:val="00C9764D"/>
    <w:rsid w:val="00C97711"/>
    <w:rsid w:val="00C9773A"/>
    <w:rsid w:val="00C9776A"/>
    <w:rsid w:val="00C97786"/>
    <w:rsid w:val="00C9779A"/>
    <w:rsid w:val="00C9788E"/>
    <w:rsid w:val="00C97A99"/>
    <w:rsid w:val="00C97CB6"/>
    <w:rsid w:val="00C97E37"/>
    <w:rsid w:val="00C97EAA"/>
    <w:rsid w:val="00C97EAC"/>
    <w:rsid w:val="00C97F28"/>
    <w:rsid w:val="00CA005B"/>
    <w:rsid w:val="00CA0132"/>
    <w:rsid w:val="00CA023A"/>
    <w:rsid w:val="00CA03A0"/>
    <w:rsid w:val="00CA03DA"/>
    <w:rsid w:val="00CA05A0"/>
    <w:rsid w:val="00CA06D6"/>
    <w:rsid w:val="00CA0763"/>
    <w:rsid w:val="00CA0D78"/>
    <w:rsid w:val="00CA0D85"/>
    <w:rsid w:val="00CA0E1D"/>
    <w:rsid w:val="00CA0EC5"/>
    <w:rsid w:val="00CA0ECF"/>
    <w:rsid w:val="00CA0FF8"/>
    <w:rsid w:val="00CA1098"/>
    <w:rsid w:val="00CA11FC"/>
    <w:rsid w:val="00CA129D"/>
    <w:rsid w:val="00CA17A9"/>
    <w:rsid w:val="00CA1849"/>
    <w:rsid w:val="00CA1A57"/>
    <w:rsid w:val="00CA1BB3"/>
    <w:rsid w:val="00CA1EBF"/>
    <w:rsid w:val="00CA20A6"/>
    <w:rsid w:val="00CA22CF"/>
    <w:rsid w:val="00CA2338"/>
    <w:rsid w:val="00CA2414"/>
    <w:rsid w:val="00CA2593"/>
    <w:rsid w:val="00CA27C5"/>
    <w:rsid w:val="00CA2855"/>
    <w:rsid w:val="00CA28A8"/>
    <w:rsid w:val="00CA2A12"/>
    <w:rsid w:val="00CA2BD9"/>
    <w:rsid w:val="00CA2DE2"/>
    <w:rsid w:val="00CA3439"/>
    <w:rsid w:val="00CA346F"/>
    <w:rsid w:val="00CA3505"/>
    <w:rsid w:val="00CA36DB"/>
    <w:rsid w:val="00CA39E4"/>
    <w:rsid w:val="00CA3A8D"/>
    <w:rsid w:val="00CA3AF9"/>
    <w:rsid w:val="00CA3CF4"/>
    <w:rsid w:val="00CA3DBA"/>
    <w:rsid w:val="00CA3DEF"/>
    <w:rsid w:val="00CA3FF7"/>
    <w:rsid w:val="00CA406A"/>
    <w:rsid w:val="00CA4260"/>
    <w:rsid w:val="00CA4619"/>
    <w:rsid w:val="00CA4855"/>
    <w:rsid w:val="00CA4A53"/>
    <w:rsid w:val="00CA4B8B"/>
    <w:rsid w:val="00CA4BCB"/>
    <w:rsid w:val="00CA4D86"/>
    <w:rsid w:val="00CA4F4C"/>
    <w:rsid w:val="00CA500F"/>
    <w:rsid w:val="00CA5018"/>
    <w:rsid w:val="00CA50B3"/>
    <w:rsid w:val="00CA511A"/>
    <w:rsid w:val="00CA526A"/>
    <w:rsid w:val="00CA537B"/>
    <w:rsid w:val="00CA5387"/>
    <w:rsid w:val="00CA5452"/>
    <w:rsid w:val="00CA5473"/>
    <w:rsid w:val="00CA5511"/>
    <w:rsid w:val="00CA5564"/>
    <w:rsid w:val="00CA56DA"/>
    <w:rsid w:val="00CA57A4"/>
    <w:rsid w:val="00CA57CC"/>
    <w:rsid w:val="00CA5945"/>
    <w:rsid w:val="00CA5A75"/>
    <w:rsid w:val="00CA5AE7"/>
    <w:rsid w:val="00CA5B76"/>
    <w:rsid w:val="00CA5D71"/>
    <w:rsid w:val="00CA5D90"/>
    <w:rsid w:val="00CA604F"/>
    <w:rsid w:val="00CA616B"/>
    <w:rsid w:val="00CA6343"/>
    <w:rsid w:val="00CA6390"/>
    <w:rsid w:val="00CA63D2"/>
    <w:rsid w:val="00CA65E6"/>
    <w:rsid w:val="00CA6627"/>
    <w:rsid w:val="00CA66FE"/>
    <w:rsid w:val="00CA6A87"/>
    <w:rsid w:val="00CA6A89"/>
    <w:rsid w:val="00CA6A8F"/>
    <w:rsid w:val="00CA6ABA"/>
    <w:rsid w:val="00CA6B06"/>
    <w:rsid w:val="00CA6BAB"/>
    <w:rsid w:val="00CA6FB6"/>
    <w:rsid w:val="00CA7011"/>
    <w:rsid w:val="00CA73CF"/>
    <w:rsid w:val="00CA74A9"/>
    <w:rsid w:val="00CA74E6"/>
    <w:rsid w:val="00CA7538"/>
    <w:rsid w:val="00CA75A7"/>
    <w:rsid w:val="00CA7B53"/>
    <w:rsid w:val="00CA7BB3"/>
    <w:rsid w:val="00CA7E04"/>
    <w:rsid w:val="00CB00E0"/>
    <w:rsid w:val="00CB0346"/>
    <w:rsid w:val="00CB0433"/>
    <w:rsid w:val="00CB0471"/>
    <w:rsid w:val="00CB0689"/>
    <w:rsid w:val="00CB079C"/>
    <w:rsid w:val="00CB079D"/>
    <w:rsid w:val="00CB07A5"/>
    <w:rsid w:val="00CB07C0"/>
    <w:rsid w:val="00CB0835"/>
    <w:rsid w:val="00CB0871"/>
    <w:rsid w:val="00CB0961"/>
    <w:rsid w:val="00CB0B6D"/>
    <w:rsid w:val="00CB0E92"/>
    <w:rsid w:val="00CB0EBE"/>
    <w:rsid w:val="00CB0EEA"/>
    <w:rsid w:val="00CB0F01"/>
    <w:rsid w:val="00CB10B0"/>
    <w:rsid w:val="00CB112C"/>
    <w:rsid w:val="00CB1137"/>
    <w:rsid w:val="00CB1206"/>
    <w:rsid w:val="00CB1260"/>
    <w:rsid w:val="00CB13C5"/>
    <w:rsid w:val="00CB1484"/>
    <w:rsid w:val="00CB154C"/>
    <w:rsid w:val="00CB1570"/>
    <w:rsid w:val="00CB1692"/>
    <w:rsid w:val="00CB1878"/>
    <w:rsid w:val="00CB1A2C"/>
    <w:rsid w:val="00CB1ECC"/>
    <w:rsid w:val="00CB1F56"/>
    <w:rsid w:val="00CB1F96"/>
    <w:rsid w:val="00CB211E"/>
    <w:rsid w:val="00CB2282"/>
    <w:rsid w:val="00CB243B"/>
    <w:rsid w:val="00CB24FE"/>
    <w:rsid w:val="00CB2896"/>
    <w:rsid w:val="00CB28B8"/>
    <w:rsid w:val="00CB28C5"/>
    <w:rsid w:val="00CB2996"/>
    <w:rsid w:val="00CB29D9"/>
    <w:rsid w:val="00CB2B7B"/>
    <w:rsid w:val="00CB2B95"/>
    <w:rsid w:val="00CB2CCD"/>
    <w:rsid w:val="00CB2D43"/>
    <w:rsid w:val="00CB2E42"/>
    <w:rsid w:val="00CB3021"/>
    <w:rsid w:val="00CB306E"/>
    <w:rsid w:val="00CB325A"/>
    <w:rsid w:val="00CB3286"/>
    <w:rsid w:val="00CB3350"/>
    <w:rsid w:val="00CB348F"/>
    <w:rsid w:val="00CB3531"/>
    <w:rsid w:val="00CB356C"/>
    <w:rsid w:val="00CB3812"/>
    <w:rsid w:val="00CB3815"/>
    <w:rsid w:val="00CB3A2B"/>
    <w:rsid w:val="00CB3B1F"/>
    <w:rsid w:val="00CB4046"/>
    <w:rsid w:val="00CB41E5"/>
    <w:rsid w:val="00CB428C"/>
    <w:rsid w:val="00CB4382"/>
    <w:rsid w:val="00CB4390"/>
    <w:rsid w:val="00CB45E5"/>
    <w:rsid w:val="00CB4732"/>
    <w:rsid w:val="00CB4898"/>
    <w:rsid w:val="00CB48E9"/>
    <w:rsid w:val="00CB4A35"/>
    <w:rsid w:val="00CB4ADD"/>
    <w:rsid w:val="00CB4B4C"/>
    <w:rsid w:val="00CB4B6B"/>
    <w:rsid w:val="00CB4BB8"/>
    <w:rsid w:val="00CB4C1A"/>
    <w:rsid w:val="00CB4C2B"/>
    <w:rsid w:val="00CB4D62"/>
    <w:rsid w:val="00CB4D7A"/>
    <w:rsid w:val="00CB4DA7"/>
    <w:rsid w:val="00CB5145"/>
    <w:rsid w:val="00CB519B"/>
    <w:rsid w:val="00CB53A6"/>
    <w:rsid w:val="00CB566B"/>
    <w:rsid w:val="00CB5A26"/>
    <w:rsid w:val="00CB5EF2"/>
    <w:rsid w:val="00CB6084"/>
    <w:rsid w:val="00CB612C"/>
    <w:rsid w:val="00CB6133"/>
    <w:rsid w:val="00CB6266"/>
    <w:rsid w:val="00CB633F"/>
    <w:rsid w:val="00CB64B0"/>
    <w:rsid w:val="00CB6570"/>
    <w:rsid w:val="00CB6679"/>
    <w:rsid w:val="00CB668E"/>
    <w:rsid w:val="00CB678F"/>
    <w:rsid w:val="00CB67B3"/>
    <w:rsid w:val="00CB6821"/>
    <w:rsid w:val="00CB684F"/>
    <w:rsid w:val="00CB696A"/>
    <w:rsid w:val="00CB6A36"/>
    <w:rsid w:val="00CB6B44"/>
    <w:rsid w:val="00CB6BF8"/>
    <w:rsid w:val="00CB6CD8"/>
    <w:rsid w:val="00CB6DDE"/>
    <w:rsid w:val="00CB6E37"/>
    <w:rsid w:val="00CB6F83"/>
    <w:rsid w:val="00CB70A8"/>
    <w:rsid w:val="00CB711D"/>
    <w:rsid w:val="00CB7162"/>
    <w:rsid w:val="00CB71EA"/>
    <w:rsid w:val="00CB7274"/>
    <w:rsid w:val="00CB727D"/>
    <w:rsid w:val="00CB73A3"/>
    <w:rsid w:val="00CB73C3"/>
    <w:rsid w:val="00CB751A"/>
    <w:rsid w:val="00CB76E6"/>
    <w:rsid w:val="00CB7C28"/>
    <w:rsid w:val="00CB7DA6"/>
    <w:rsid w:val="00CC00A1"/>
    <w:rsid w:val="00CC034C"/>
    <w:rsid w:val="00CC0424"/>
    <w:rsid w:val="00CC04BC"/>
    <w:rsid w:val="00CC04E5"/>
    <w:rsid w:val="00CC051B"/>
    <w:rsid w:val="00CC0541"/>
    <w:rsid w:val="00CC06A2"/>
    <w:rsid w:val="00CC073E"/>
    <w:rsid w:val="00CC0950"/>
    <w:rsid w:val="00CC096C"/>
    <w:rsid w:val="00CC0AF6"/>
    <w:rsid w:val="00CC0C62"/>
    <w:rsid w:val="00CC0D34"/>
    <w:rsid w:val="00CC0E4F"/>
    <w:rsid w:val="00CC0FDB"/>
    <w:rsid w:val="00CC112F"/>
    <w:rsid w:val="00CC11B3"/>
    <w:rsid w:val="00CC1261"/>
    <w:rsid w:val="00CC128D"/>
    <w:rsid w:val="00CC12FD"/>
    <w:rsid w:val="00CC148A"/>
    <w:rsid w:val="00CC158D"/>
    <w:rsid w:val="00CC16DE"/>
    <w:rsid w:val="00CC189F"/>
    <w:rsid w:val="00CC1A60"/>
    <w:rsid w:val="00CC1A85"/>
    <w:rsid w:val="00CC1A8A"/>
    <w:rsid w:val="00CC1AAD"/>
    <w:rsid w:val="00CC1AC2"/>
    <w:rsid w:val="00CC1C2B"/>
    <w:rsid w:val="00CC1CAA"/>
    <w:rsid w:val="00CC1D11"/>
    <w:rsid w:val="00CC1D81"/>
    <w:rsid w:val="00CC1F35"/>
    <w:rsid w:val="00CC1FB4"/>
    <w:rsid w:val="00CC23DC"/>
    <w:rsid w:val="00CC24CD"/>
    <w:rsid w:val="00CC2657"/>
    <w:rsid w:val="00CC2672"/>
    <w:rsid w:val="00CC269D"/>
    <w:rsid w:val="00CC279D"/>
    <w:rsid w:val="00CC28E1"/>
    <w:rsid w:val="00CC2973"/>
    <w:rsid w:val="00CC2980"/>
    <w:rsid w:val="00CC29C7"/>
    <w:rsid w:val="00CC2AA0"/>
    <w:rsid w:val="00CC2CF5"/>
    <w:rsid w:val="00CC30AA"/>
    <w:rsid w:val="00CC3245"/>
    <w:rsid w:val="00CC32C0"/>
    <w:rsid w:val="00CC35B7"/>
    <w:rsid w:val="00CC363A"/>
    <w:rsid w:val="00CC3687"/>
    <w:rsid w:val="00CC3748"/>
    <w:rsid w:val="00CC37B2"/>
    <w:rsid w:val="00CC37C8"/>
    <w:rsid w:val="00CC391D"/>
    <w:rsid w:val="00CC3A96"/>
    <w:rsid w:val="00CC3C0D"/>
    <w:rsid w:val="00CC406C"/>
    <w:rsid w:val="00CC467A"/>
    <w:rsid w:val="00CC489A"/>
    <w:rsid w:val="00CC4A8F"/>
    <w:rsid w:val="00CC4B02"/>
    <w:rsid w:val="00CC4C00"/>
    <w:rsid w:val="00CC4C11"/>
    <w:rsid w:val="00CC4DDF"/>
    <w:rsid w:val="00CC4F82"/>
    <w:rsid w:val="00CC50BD"/>
    <w:rsid w:val="00CC50DE"/>
    <w:rsid w:val="00CC526E"/>
    <w:rsid w:val="00CC52B7"/>
    <w:rsid w:val="00CC5383"/>
    <w:rsid w:val="00CC53CE"/>
    <w:rsid w:val="00CC545C"/>
    <w:rsid w:val="00CC5462"/>
    <w:rsid w:val="00CC547F"/>
    <w:rsid w:val="00CC5525"/>
    <w:rsid w:val="00CC55A1"/>
    <w:rsid w:val="00CC56B3"/>
    <w:rsid w:val="00CC5777"/>
    <w:rsid w:val="00CC5928"/>
    <w:rsid w:val="00CC5A57"/>
    <w:rsid w:val="00CC5BCC"/>
    <w:rsid w:val="00CC5E67"/>
    <w:rsid w:val="00CC604E"/>
    <w:rsid w:val="00CC60E3"/>
    <w:rsid w:val="00CC619E"/>
    <w:rsid w:val="00CC6274"/>
    <w:rsid w:val="00CC64B5"/>
    <w:rsid w:val="00CC6546"/>
    <w:rsid w:val="00CC68AF"/>
    <w:rsid w:val="00CC6A9F"/>
    <w:rsid w:val="00CC6C5D"/>
    <w:rsid w:val="00CC6D20"/>
    <w:rsid w:val="00CC6E27"/>
    <w:rsid w:val="00CC6E66"/>
    <w:rsid w:val="00CC7002"/>
    <w:rsid w:val="00CC7339"/>
    <w:rsid w:val="00CC74DF"/>
    <w:rsid w:val="00CC7531"/>
    <w:rsid w:val="00CC75E7"/>
    <w:rsid w:val="00CC76A5"/>
    <w:rsid w:val="00CC771A"/>
    <w:rsid w:val="00CC7743"/>
    <w:rsid w:val="00CC78A7"/>
    <w:rsid w:val="00CC78C9"/>
    <w:rsid w:val="00CC790F"/>
    <w:rsid w:val="00CC7914"/>
    <w:rsid w:val="00CC7BCB"/>
    <w:rsid w:val="00CC7E5B"/>
    <w:rsid w:val="00CC7E8E"/>
    <w:rsid w:val="00CC7F8A"/>
    <w:rsid w:val="00CD00BC"/>
    <w:rsid w:val="00CD01E4"/>
    <w:rsid w:val="00CD04C9"/>
    <w:rsid w:val="00CD059D"/>
    <w:rsid w:val="00CD079E"/>
    <w:rsid w:val="00CD08B8"/>
    <w:rsid w:val="00CD0D11"/>
    <w:rsid w:val="00CD0E6B"/>
    <w:rsid w:val="00CD0EB1"/>
    <w:rsid w:val="00CD0FAC"/>
    <w:rsid w:val="00CD1039"/>
    <w:rsid w:val="00CD1216"/>
    <w:rsid w:val="00CD1355"/>
    <w:rsid w:val="00CD1360"/>
    <w:rsid w:val="00CD1511"/>
    <w:rsid w:val="00CD1545"/>
    <w:rsid w:val="00CD168D"/>
    <w:rsid w:val="00CD173F"/>
    <w:rsid w:val="00CD1A7C"/>
    <w:rsid w:val="00CD1B5E"/>
    <w:rsid w:val="00CD1CC5"/>
    <w:rsid w:val="00CD1CD2"/>
    <w:rsid w:val="00CD1F1D"/>
    <w:rsid w:val="00CD2007"/>
    <w:rsid w:val="00CD263B"/>
    <w:rsid w:val="00CD287F"/>
    <w:rsid w:val="00CD2998"/>
    <w:rsid w:val="00CD2ABF"/>
    <w:rsid w:val="00CD2B25"/>
    <w:rsid w:val="00CD2BC3"/>
    <w:rsid w:val="00CD2BE0"/>
    <w:rsid w:val="00CD2BE4"/>
    <w:rsid w:val="00CD2D92"/>
    <w:rsid w:val="00CD2F14"/>
    <w:rsid w:val="00CD30D5"/>
    <w:rsid w:val="00CD3238"/>
    <w:rsid w:val="00CD3371"/>
    <w:rsid w:val="00CD345A"/>
    <w:rsid w:val="00CD3527"/>
    <w:rsid w:val="00CD388B"/>
    <w:rsid w:val="00CD38C1"/>
    <w:rsid w:val="00CD38FD"/>
    <w:rsid w:val="00CD3DD7"/>
    <w:rsid w:val="00CD42D9"/>
    <w:rsid w:val="00CD4393"/>
    <w:rsid w:val="00CD47A0"/>
    <w:rsid w:val="00CD47AB"/>
    <w:rsid w:val="00CD47E8"/>
    <w:rsid w:val="00CD483A"/>
    <w:rsid w:val="00CD49BC"/>
    <w:rsid w:val="00CD4BE3"/>
    <w:rsid w:val="00CD4CAC"/>
    <w:rsid w:val="00CD4E4F"/>
    <w:rsid w:val="00CD4EB5"/>
    <w:rsid w:val="00CD4F04"/>
    <w:rsid w:val="00CD4F56"/>
    <w:rsid w:val="00CD5191"/>
    <w:rsid w:val="00CD5230"/>
    <w:rsid w:val="00CD54CC"/>
    <w:rsid w:val="00CD562C"/>
    <w:rsid w:val="00CD578C"/>
    <w:rsid w:val="00CD58FD"/>
    <w:rsid w:val="00CD5F9D"/>
    <w:rsid w:val="00CD611E"/>
    <w:rsid w:val="00CD62FA"/>
    <w:rsid w:val="00CD6345"/>
    <w:rsid w:val="00CD636F"/>
    <w:rsid w:val="00CD6393"/>
    <w:rsid w:val="00CD64E9"/>
    <w:rsid w:val="00CD66BD"/>
    <w:rsid w:val="00CD67AA"/>
    <w:rsid w:val="00CD69E8"/>
    <w:rsid w:val="00CD6B0A"/>
    <w:rsid w:val="00CD6B27"/>
    <w:rsid w:val="00CD6E2F"/>
    <w:rsid w:val="00CD6F0C"/>
    <w:rsid w:val="00CD6FD3"/>
    <w:rsid w:val="00CD7380"/>
    <w:rsid w:val="00CD7411"/>
    <w:rsid w:val="00CD7451"/>
    <w:rsid w:val="00CD7477"/>
    <w:rsid w:val="00CD74DD"/>
    <w:rsid w:val="00CD759B"/>
    <w:rsid w:val="00CD765D"/>
    <w:rsid w:val="00CD7676"/>
    <w:rsid w:val="00CD789E"/>
    <w:rsid w:val="00CD78E7"/>
    <w:rsid w:val="00CD795C"/>
    <w:rsid w:val="00CD7986"/>
    <w:rsid w:val="00CD7DC4"/>
    <w:rsid w:val="00CD7DDD"/>
    <w:rsid w:val="00CD7E1A"/>
    <w:rsid w:val="00CD7F11"/>
    <w:rsid w:val="00CD7FC3"/>
    <w:rsid w:val="00CE02BE"/>
    <w:rsid w:val="00CE039D"/>
    <w:rsid w:val="00CE0497"/>
    <w:rsid w:val="00CE0508"/>
    <w:rsid w:val="00CE070D"/>
    <w:rsid w:val="00CE078D"/>
    <w:rsid w:val="00CE083D"/>
    <w:rsid w:val="00CE0991"/>
    <w:rsid w:val="00CE09D3"/>
    <w:rsid w:val="00CE0FC8"/>
    <w:rsid w:val="00CE10ED"/>
    <w:rsid w:val="00CE115A"/>
    <w:rsid w:val="00CE1202"/>
    <w:rsid w:val="00CE1303"/>
    <w:rsid w:val="00CE1386"/>
    <w:rsid w:val="00CE1540"/>
    <w:rsid w:val="00CE186F"/>
    <w:rsid w:val="00CE19D2"/>
    <w:rsid w:val="00CE1A08"/>
    <w:rsid w:val="00CE1A7D"/>
    <w:rsid w:val="00CE1B7C"/>
    <w:rsid w:val="00CE1BCF"/>
    <w:rsid w:val="00CE1C07"/>
    <w:rsid w:val="00CE1C7B"/>
    <w:rsid w:val="00CE1D44"/>
    <w:rsid w:val="00CE1E93"/>
    <w:rsid w:val="00CE1F6B"/>
    <w:rsid w:val="00CE21D3"/>
    <w:rsid w:val="00CE2424"/>
    <w:rsid w:val="00CE26EF"/>
    <w:rsid w:val="00CE2884"/>
    <w:rsid w:val="00CE28FF"/>
    <w:rsid w:val="00CE2938"/>
    <w:rsid w:val="00CE2A86"/>
    <w:rsid w:val="00CE2B7B"/>
    <w:rsid w:val="00CE2DE0"/>
    <w:rsid w:val="00CE2FA3"/>
    <w:rsid w:val="00CE2FE0"/>
    <w:rsid w:val="00CE3218"/>
    <w:rsid w:val="00CE3224"/>
    <w:rsid w:val="00CE3254"/>
    <w:rsid w:val="00CE32C3"/>
    <w:rsid w:val="00CE3420"/>
    <w:rsid w:val="00CE3666"/>
    <w:rsid w:val="00CE3680"/>
    <w:rsid w:val="00CE3745"/>
    <w:rsid w:val="00CE39AE"/>
    <w:rsid w:val="00CE3B03"/>
    <w:rsid w:val="00CE3C4C"/>
    <w:rsid w:val="00CE3D8E"/>
    <w:rsid w:val="00CE3DD1"/>
    <w:rsid w:val="00CE3EB3"/>
    <w:rsid w:val="00CE3EC2"/>
    <w:rsid w:val="00CE3EDA"/>
    <w:rsid w:val="00CE4078"/>
    <w:rsid w:val="00CE41D2"/>
    <w:rsid w:val="00CE4335"/>
    <w:rsid w:val="00CE4337"/>
    <w:rsid w:val="00CE43A8"/>
    <w:rsid w:val="00CE4493"/>
    <w:rsid w:val="00CE44DE"/>
    <w:rsid w:val="00CE44FD"/>
    <w:rsid w:val="00CE4667"/>
    <w:rsid w:val="00CE46CC"/>
    <w:rsid w:val="00CE46F0"/>
    <w:rsid w:val="00CE4710"/>
    <w:rsid w:val="00CE49F6"/>
    <w:rsid w:val="00CE4AD9"/>
    <w:rsid w:val="00CE4D42"/>
    <w:rsid w:val="00CE4DC6"/>
    <w:rsid w:val="00CE4F2E"/>
    <w:rsid w:val="00CE4F6E"/>
    <w:rsid w:val="00CE4FC6"/>
    <w:rsid w:val="00CE4FFC"/>
    <w:rsid w:val="00CE51C0"/>
    <w:rsid w:val="00CE522A"/>
    <w:rsid w:val="00CE52EA"/>
    <w:rsid w:val="00CE54D5"/>
    <w:rsid w:val="00CE5715"/>
    <w:rsid w:val="00CE5935"/>
    <w:rsid w:val="00CE5A15"/>
    <w:rsid w:val="00CE5A4C"/>
    <w:rsid w:val="00CE5A5E"/>
    <w:rsid w:val="00CE5A6A"/>
    <w:rsid w:val="00CE5AE2"/>
    <w:rsid w:val="00CE5B2E"/>
    <w:rsid w:val="00CE5C80"/>
    <w:rsid w:val="00CE5DBA"/>
    <w:rsid w:val="00CE5EF6"/>
    <w:rsid w:val="00CE6180"/>
    <w:rsid w:val="00CE61E8"/>
    <w:rsid w:val="00CE6209"/>
    <w:rsid w:val="00CE635C"/>
    <w:rsid w:val="00CE649B"/>
    <w:rsid w:val="00CE65A4"/>
    <w:rsid w:val="00CE66A0"/>
    <w:rsid w:val="00CE68B0"/>
    <w:rsid w:val="00CE6A83"/>
    <w:rsid w:val="00CE6CF7"/>
    <w:rsid w:val="00CE6E2E"/>
    <w:rsid w:val="00CE6FF9"/>
    <w:rsid w:val="00CE7227"/>
    <w:rsid w:val="00CE728C"/>
    <w:rsid w:val="00CE72DE"/>
    <w:rsid w:val="00CE72E8"/>
    <w:rsid w:val="00CE74BC"/>
    <w:rsid w:val="00CE76BC"/>
    <w:rsid w:val="00CE7714"/>
    <w:rsid w:val="00CE7747"/>
    <w:rsid w:val="00CE790F"/>
    <w:rsid w:val="00CE7B69"/>
    <w:rsid w:val="00CE7C6C"/>
    <w:rsid w:val="00CF0121"/>
    <w:rsid w:val="00CF01E8"/>
    <w:rsid w:val="00CF0456"/>
    <w:rsid w:val="00CF04C5"/>
    <w:rsid w:val="00CF0554"/>
    <w:rsid w:val="00CF0688"/>
    <w:rsid w:val="00CF0715"/>
    <w:rsid w:val="00CF0728"/>
    <w:rsid w:val="00CF0738"/>
    <w:rsid w:val="00CF0772"/>
    <w:rsid w:val="00CF0829"/>
    <w:rsid w:val="00CF09C5"/>
    <w:rsid w:val="00CF09E8"/>
    <w:rsid w:val="00CF0A37"/>
    <w:rsid w:val="00CF0A74"/>
    <w:rsid w:val="00CF0B4C"/>
    <w:rsid w:val="00CF0CE0"/>
    <w:rsid w:val="00CF1008"/>
    <w:rsid w:val="00CF1194"/>
    <w:rsid w:val="00CF11D5"/>
    <w:rsid w:val="00CF13D3"/>
    <w:rsid w:val="00CF1507"/>
    <w:rsid w:val="00CF1533"/>
    <w:rsid w:val="00CF1776"/>
    <w:rsid w:val="00CF177D"/>
    <w:rsid w:val="00CF1889"/>
    <w:rsid w:val="00CF18DD"/>
    <w:rsid w:val="00CF1955"/>
    <w:rsid w:val="00CF1A4C"/>
    <w:rsid w:val="00CF1B17"/>
    <w:rsid w:val="00CF211E"/>
    <w:rsid w:val="00CF26FE"/>
    <w:rsid w:val="00CF28D2"/>
    <w:rsid w:val="00CF290F"/>
    <w:rsid w:val="00CF291B"/>
    <w:rsid w:val="00CF2942"/>
    <w:rsid w:val="00CF29B1"/>
    <w:rsid w:val="00CF2A1D"/>
    <w:rsid w:val="00CF2B07"/>
    <w:rsid w:val="00CF2B1C"/>
    <w:rsid w:val="00CF2BDB"/>
    <w:rsid w:val="00CF2BF8"/>
    <w:rsid w:val="00CF2C41"/>
    <w:rsid w:val="00CF2CD0"/>
    <w:rsid w:val="00CF2D99"/>
    <w:rsid w:val="00CF2E31"/>
    <w:rsid w:val="00CF30BF"/>
    <w:rsid w:val="00CF3330"/>
    <w:rsid w:val="00CF3657"/>
    <w:rsid w:val="00CF378A"/>
    <w:rsid w:val="00CF37F1"/>
    <w:rsid w:val="00CF3A77"/>
    <w:rsid w:val="00CF3B7E"/>
    <w:rsid w:val="00CF3BF8"/>
    <w:rsid w:val="00CF3E4C"/>
    <w:rsid w:val="00CF3FF4"/>
    <w:rsid w:val="00CF421F"/>
    <w:rsid w:val="00CF4259"/>
    <w:rsid w:val="00CF4283"/>
    <w:rsid w:val="00CF46C9"/>
    <w:rsid w:val="00CF46CB"/>
    <w:rsid w:val="00CF46F7"/>
    <w:rsid w:val="00CF4725"/>
    <w:rsid w:val="00CF4A88"/>
    <w:rsid w:val="00CF4D4C"/>
    <w:rsid w:val="00CF5018"/>
    <w:rsid w:val="00CF507A"/>
    <w:rsid w:val="00CF50C2"/>
    <w:rsid w:val="00CF51D9"/>
    <w:rsid w:val="00CF52CF"/>
    <w:rsid w:val="00CF5327"/>
    <w:rsid w:val="00CF5470"/>
    <w:rsid w:val="00CF56D9"/>
    <w:rsid w:val="00CF5B13"/>
    <w:rsid w:val="00CF6035"/>
    <w:rsid w:val="00CF6433"/>
    <w:rsid w:val="00CF66B5"/>
    <w:rsid w:val="00CF66BB"/>
    <w:rsid w:val="00CF675A"/>
    <w:rsid w:val="00CF6B67"/>
    <w:rsid w:val="00CF6CAE"/>
    <w:rsid w:val="00CF6CD8"/>
    <w:rsid w:val="00CF6E31"/>
    <w:rsid w:val="00CF6E82"/>
    <w:rsid w:val="00CF6EE4"/>
    <w:rsid w:val="00CF6FB7"/>
    <w:rsid w:val="00CF6FC0"/>
    <w:rsid w:val="00CF6FF9"/>
    <w:rsid w:val="00CF7024"/>
    <w:rsid w:val="00CF7120"/>
    <w:rsid w:val="00CF71F7"/>
    <w:rsid w:val="00CF73E0"/>
    <w:rsid w:val="00CF7539"/>
    <w:rsid w:val="00CF7738"/>
    <w:rsid w:val="00CF7A33"/>
    <w:rsid w:val="00CF7DB0"/>
    <w:rsid w:val="00CF7FD1"/>
    <w:rsid w:val="00D00083"/>
    <w:rsid w:val="00D00782"/>
    <w:rsid w:val="00D00917"/>
    <w:rsid w:val="00D009E6"/>
    <w:rsid w:val="00D00B04"/>
    <w:rsid w:val="00D00BA2"/>
    <w:rsid w:val="00D01038"/>
    <w:rsid w:val="00D0118B"/>
    <w:rsid w:val="00D01421"/>
    <w:rsid w:val="00D01680"/>
    <w:rsid w:val="00D016BE"/>
    <w:rsid w:val="00D0172A"/>
    <w:rsid w:val="00D01933"/>
    <w:rsid w:val="00D01969"/>
    <w:rsid w:val="00D019BB"/>
    <w:rsid w:val="00D01BB3"/>
    <w:rsid w:val="00D01D44"/>
    <w:rsid w:val="00D02031"/>
    <w:rsid w:val="00D020B4"/>
    <w:rsid w:val="00D02106"/>
    <w:rsid w:val="00D0210D"/>
    <w:rsid w:val="00D0221F"/>
    <w:rsid w:val="00D02422"/>
    <w:rsid w:val="00D0258F"/>
    <w:rsid w:val="00D02650"/>
    <w:rsid w:val="00D02796"/>
    <w:rsid w:val="00D02AEF"/>
    <w:rsid w:val="00D02BA7"/>
    <w:rsid w:val="00D02BC6"/>
    <w:rsid w:val="00D02CAB"/>
    <w:rsid w:val="00D02F0C"/>
    <w:rsid w:val="00D02FB2"/>
    <w:rsid w:val="00D031D2"/>
    <w:rsid w:val="00D032CC"/>
    <w:rsid w:val="00D032FB"/>
    <w:rsid w:val="00D03307"/>
    <w:rsid w:val="00D03393"/>
    <w:rsid w:val="00D03729"/>
    <w:rsid w:val="00D03836"/>
    <w:rsid w:val="00D038AD"/>
    <w:rsid w:val="00D038C1"/>
    <w:rsid w:val="00D03BD4"/>
    <w:rsid w:val="00D03C5A"/>
    <w:rsid w:val="00D03C73"/>
    <w:rsid w:val="00D03CA6"/>
    <w:rsid w:val="00D03EC7"/>
    <w:rsid w:val="00D03EF0"/>
    <w:rsid w:val="00D03F6E"/>
    <w:rsid w:val="00D03FA0"/>
    <w:rsid w:val="00D0400F"/>
    <w:rsid w:val="00D041FC"/>
    <w:rsid w:val="00D0437A"/>
    <w:rsid w:val="00D04634"/>
    <w:rsid w:val="00D047D1"/>
    <w:rsid w:val="00D0498F"/>
    <w:rsid w:val="00D049A5"/>
    <w:rsid w:val="00D049AF"/>
    <w:rsid w:val="00D04AFF"/>
    <w:rsid w:val="00D04C98"/>
    <w:rsid w:val="00D04E4F"/>
    <w:rsid w:val="00D04E88"/>
    <w:rsid w:val="00D04F67"/>
    <w:rsid w:val="00D04FD3"/>
    <w:rsid w:val="00D051C3"/>
    <w:rsid w:val="00D052E5"/>
    <w:rsid w:val="00D05347"/>
    <w:rsid w:val="00D0541F"/>
    <w:rsid w:val="00D05440"/>
    <w:rsid w:val="00D05497"/>
    <w:rsid w:val="00D05688"/>
    <w:rsid w:val="00D05797"/>
    <w:rsid w:val="00D057C6"/>
    <w:rsid w:val="00D057D2"/>
    <w:rsid w:val="00D05834"/>
    <w:rsid w:val="00D0583E"/>
    <w:rsid w:val="00D05894"/>
    <w:rsid w:val="00D05C91"/>
    <w:rsid w:val="00D05D9A"/>
    <w:rsid w:val="00D05E0F"/>
    <w:rsid w:val="00D0617C"/>
    <w:rsid w:val="00D06388"/>
    <w:rsid w:val="00D06514"/>
    <w:rsid w:val="00D06627"/>
    <w:rsid w:val="00D067B2"/>
    <w:rsid w:val="00D06899"/>
    <w:rsid w:val="00D069F2"/>
    <w:rsid w:val="00D06ACB"/>
    <w:rsid w:val="00D06F4E"/>
    <w:rsid w:val="00D06F6E"/>
    <w:rsid w:val="00D07063"/>
    <w:rsid w:val="00D07086"/>
    <w:rsid w:val="00D071A9"/>
    <w:rsid w:val="00D071E7"/>
    <w:rsid w:val="00D07225"/>
    <w:rsid w:val="00D072A5"/>
    <w:rsid w:val="00D0738F"/>
    <w:rsid w:val="00D07458"/>
    <w:rsid w:val="00D074EE"/>
    <w:rsid w:val="00D07610"/>
    <w:rsid w:val="00D076A3"/>
    <w:rsid w:val="00D07793"/>
    <w:rsid w:val="00D07992"/>
    <w:rsid w:val="00D079B2"/>
    <w:rsid w:val="00D07A51"/>
    <w:rsid w:val="00D07AFF"/>
    <w:rsid w:val="00D07B1C"/>
    <w:rsid w:val="00D07CE6"/>
    <w:rsid w:val="00D07F4D"/>
    <w:rsid w:val="00D07F96"/>
    <w:rsid w:val="00D10027"/>
    <w:rsid w:val="00D10092"/>
    <w:rsid w:val="00D10301"/>
    <w:rsid w:val="00D1030D"/>
    <w:rsid w:val="00D10420"/>
    <w:rsid w:val="00D10492"/>
    <w:rsid w:val="00D1049E"/>
    <w:rsid w:val="00D10F9A"/>
    <w:rsid w:val="00D1106A"/>
    <w:rsid w:val="00D11248"/>
    <w:rsid w:val="00D112C3"/>
    <w:rsid w:val="00D112E5"/>
    <w:rsid w:val="00D11307"/>
    <w:rsid w:val="00D11466"/>
    <w:rsid w:val="00D11491"/>
    <w:rsid w:val="00D11497"/>
    <w:rsid w:val="00D1157B"/>
    <w:rsid w:val="00D115D4"/>
    <w:rsid w:val="00D118E8"/>
    <w:rsid w:val="00D11AD9"/>
    <w:rsid w:val="00D11CF6"/>
    <w:rsid w:val="00D11CFB"/>
    <w:rsid w:val="00D11D76"/>
    <w:rsid w:val="00D11F8D"/>
    <w:rsid w:val="00D11FB5"/>
    <w:rsid w:val="00D1202E"/>
    <w:rsid w:val="00D1209E"/>
    <w:rsid w:val="00D120FF"/>
    <w:rsid w:val="00D12192"/>
    <w:rsid w:val="00D121CB"/>
    <w:rsid w:val="00D12396"/>
    <w:rsid w:val="00D1259E"/>
    <w:rsid w:val="00D125C8"/>
    <w:rsid w:val="00D1267F"/>
    <w:rsid w:val="00D126D1"/>
    <w:rsid w:val="00D12707"/>
    <w:rsid w:val="00D12787"/>
    <w:rsid w:val="00D127A6"/>
    <w:rsid w:val="00D12922"/>
    <w:rsid w:val="00D12A39"/>
    <w:rsid w:val="00D12C05"/>
    <w:rsid w:val="00D12EF9"/>
    <w:rsid w:val="00D12F43"/>
    <w:rsid w:val="00D1351D"/>
    <w:rsid w:val="00D13601"/>
    <w:rsid w:val="00D1361A"/>
    <w:rsid w:val="00D13714"/>
    <w:rsid w:val="00D139CF"/>
    <w:rsid w:val="00D13C1F"/>
    <w:rsid w:val="00D13CD3"/>
    <w:rsid w:val="00D13DFC"/>
    <w:rsid w:val="00D13E74"/>
    <w:rsid w:val="00D14040"/>
    <w:rsid w:val="00D140C3"/>
    <w:rsid w:val="00D14153"/>
    <w:rsid w:val="00D142B7"/>
    <w:rsid w:val="00D14334"/>
    <w:rsid w:val="00D14357"/>
    <w:rsid w:val="00D143D7"/>
    <w:rsid w:val="00D143FF"/>
    <w:rsid w:val="00D14415"/>
    <w:rsid w:val="00D14416"/>
    <w:rsid w:val="00D14446"/>
    <w:rsid w:val="00D144B2"/>
    <w:rsid w:val="00D144EF"/>
    <w:rsid w:val="00D14843"/>
    <w:rsid w:val="00D14869"/>
    <w:rsid w:val="00D148F7"/>
    <w:rsid w:val="00D14953"/>
    <w:rsid w:val="00D14AF8"/>
    <w:rsid w:val="00D1515D"/>
    <w:rsid w:val="00D152DF"/>
    <w:rsid w:val="00D155F2"/>
    <w:rsid w:val="00D15646"/>
    <w:rsid w:val="00D158FD"/>
    <w:rsid w:val="00D15A52"/>
    <w:rsid w:val="00D15A60"/>
    <w:rsid w:val="00D15AE6"/>
    <w:rsid w:val="00D15AF4"/>
    <w:rsid w:val="00D15BA4"/>
    <w:rsid w:val="00D15E6E"/>
    <w:rsid w:val="00D15ED7"/>
    <w:rsid w:val="00D15F87"/>
    <w:rsid w:val="00D1603C"/>
    <w:rsid w:val="00D1617F"/>
    <w:rsid w:val="00D1623B"/>
    <w:rsid w:val="00D16351"/>
    <w:rsid w:val="00D163EF"/>
    <w:rsid w:val="00D1641B"/>
    <w:rsid w:val="00D16597"/>
    <w:rsid w:val="00D16738"/>
    <w:rsid w:val="00D16774"/>
    <w:rsid w:val="00D16790"/>
    <w:rsid w:val="00D16947"/>
    <w:rsid w:val="00D16B93"/>
    <w:rsid w:val="00D16C5E"/>
    <w:rsid w:val="00D16DB2"/>
    <w:rsid w:val="00D16F29"/>
    <w:rsid w:val="00D16F9F"/>
    <w:rsid w:val="00D16FC3"/>
    <w:rsid w:val="00D170E7"/>
    <w:rsid w:val="00D17258"/>
    <w:rsid w:val="00D1725D"/>
    <w:rsid w:val="00D17273"/>
    <w:rsid w:val="00D17558"/>
    <w:rsid w:val="00D17A48"/>
    <w:rsid w:val="00D17A89"/>
    <w:rsid w:val="00D2002E"/>
    <w:rsid w:val="00D20039"/>
    <w:rsid w:val="00D202BF"/>
    <w:rsid w:val="00D204F6"/>
    <w:rsid w:val="00D20555"/>
    <w:rsid w:val="00D208C0"/>
    <w:rsid w:val="00D20946"/>
    <w:rsid w:val="00D20984"/>
    <w:rsid w:val="00D20A80"/>
    <w:rsid w:val="00D21094"/>
    <w:rsid w:val="00D2112D"/>
    <w:rsid w:val="00D21373"/>
    <w:rsid w:val="00D214A6"/>
    <w:rsid w:val="00D214C3"/>
    <w:rsid w:val="00D214F8"/>
    <w:rsid w:val="00D216E5"/>
    <w:rsid w:val="00D21A62"/>
    <w:rsid w:val="00D21E01"/>
    <w:rsid w:val="00D21EA8"/>
    <w:rsid w:val="00D2207C"/>
    <w:rsid w:val="00D222A2"/>
    <w:rsid w:val="00D2237D"/>
    <w:rsid w:val="00D22499"/>
    <w:rsid w:val="00D22527"/>
    <w:rsid w:val="00D22590"/>
    <w:rsid w:val="00D22611"/>
    <w:rsid w:val="00D2284E"/>
    <w:rsid w:val="00D228D5"/>
    <w:rsid w:val="00D22B2A"/>
    <w:rsid w:val="00D22BFB"/>
    <w:rsid w:val="00D22C18"/>
    <w:rsid w:val="00D22C54"/>
    <w:rsid w:val="00D22DCD"/>
    <w:rsid w:val="00D23051"/>
    <w:rsid w:val="00D23155"/>
    <w:rsid w:val="00D2318F"/>
    <w:rsid w:val="00D23209"/>
    <w:rsid w:val="00D23297"/>
    <w:rsid w:val="00D2340E"/>
    <w:rsid w:val="00D235C0"/>
    <w:rsid w:val="00D23650"/>
    <w:rsid w:val="00D23A53"/>
    <w:rsid w:val="00D23C01"/>
    <w:rsid w:val="00D23CBB"/>
    <w:rsid w:val="00D23E09"/>
    <w:rsid w:val="00D23F1C"/>
    <w:rsid w:val="00D241B2"/>
    <w:rsid w:val="00D2434B"/>
    <w:rsid w:val="00D24382"/>
    <w:rsid w:val="00D243EA"/>
    <w:rsid w:val="00D24413"/>
    <w:rsid w:val="00D2441A"/>
    <w:rsid w:val="00D24446"/>
    <w:rsid w:val="00D2473A"/>
    <w:rsid w:val="00D24D2D"/>
    <w:rsid w:val="00D24EE0"/>
    <w:rsid w:val="00D24F6B"/>
    <w:rsid w:val="00D2507F"/>
    <w:rsid w:val="00D253B1"/>
    <w:rsid w:val="00D25525"/>
    <w:rsid w:val="00D25991"/>
    <w:rsid w:val="00D2599E"/>
    <w:rsid w:val="00D259E7"/>
    <w:rsid w:val="00D25CD2"/>
    <w:rsid w:val="00D25E93"/>
    <w:rsid w:val="00D25EB9"/>
    <w:rsid w:val="00D26243"/>
    <w:rsid w:val="00D262AC"/>
    <w:rsid w:val="00D2637A"/>
    <w:rsid w:val="00D26547"/>
    <w:rsid w:val="00D265CC"/>
    <w:rsid w:val="00D26607"/>
    <w:rsid w:val="00D2664D"/>
    <w:rsid w:val="00D266E2"/>
    <w:rsid w:val="00D268F2"/>
    <w:rsid w:val="00D269CF"/>
    <w:rsid w:val="00D26B02"/>
    <w:rsid w:val="00D26DA4"/>
    <w:rsid w:val="00D26DFF"/>
    <w:rsid w:val="00D26E61"/>
    <w:rsid w:val="00D26E8B"/>
    <w:rsid w:val="00D26F50"/>
    <w:rsid w:val="00D271CD"/>
    <w:rsid w:val="00D27893"/>
    <w:rsid w:val="00D278CE"/>
    <w:rsid w:val="00D27A7D"/>
    <w:rsid w:val="00D27AC4"/>
    <w:rsid w:val="00D27C5D"/>
    <w:rsid w:val="00D27D96"/>
    <w:rsid w:val="00D27F3E"/>
    <w:rsid w:val="00D30060"/>
    <w:rsid w:val="00D30135"/>
    <w:rsid w:val="00D3022B"/>
    <w:rsid w:val="00D3034C"/>
    <w:rsid w:val="00D304C2"/>
    <w:rsid w:val="00D30508"/>
    <w:rsid w:val="00D306C9"/>
    <w:rsid w:val="00D307DF"/>
    <w:rsid w:val="00D30931"/>
    <w:rsid w:val="00D3094E"/>
    <w:rsid w:val="00D3099C"/>
    <w:rsid w:val="00D30CDB"/>
    <w:rsid w:val="00D30DB7"/>
    <w:rsid w:val="00D30DB9"/>
    <w:rsid w:val="00D30EE9"/>
    <w:rsid w:val="00D3100C"/>
    <w:rsid w:val="00D311C8"/>
    <w:rsid w:val="00D31236"/>
    <w:rsid w:val="00D31288"/>
    <w:rsid w:val="00D312C2"/>
    <w:rsid w:val="00D316D2"/>
    <w:rsid w:val="00D316EC"/>
    <w:rsid w:val="00D319B9"/>
    <w:rsid w:val="00D319F0"/>
    <w:rsid w:val="00D31AE9"/>
    <w:rsid w:val="00D31AF2"/>
    <w:rsid w:val="00D31B7B"/>
    <w:rsid w:val="00D31CB4"/>
    <w:rsid w:val="00D31CFA"/>
    <w:rsid w:val="00D31D0B"/>
    <w:rsid w:val="00D31D45"/>
    <w:rsid w:val="00D31E6B"/>
    <w:rsid w:val="00D31E8A"/>
    <w:rsid w:val="00D320DB"/>
    <w:rsid w:val="00D3229D"/>
    <w:rsid w:val="00D322C4"/>
    <w:rsid w:val="00D32424"/>
    <w:rsid w:val="00D324A7"/>
    <w:rsid w:val="00D324D0"/>
    <w:rsid w:val="00D324D2"/>
    <w:rsid w:val="00D3253F"/>
    <w:rsid w:val="00D3273B"/>
    <w:rsid w:val="00D3276D"/>
    <w:rsid w:val="00D32D5B"/>
    <w:rsid w:val="00D32F1F"/>
    <w:rsid w:val="00D32F77"/>
    <w:rsid w:val="00D32F9D"/>
    <w:rsid w:val="00D33031"/>
    <w:rsid w:val="00D33084"/>
    <w:rsid w:val="00D33175"/>
    <w:rsid w:val="00D332F3"/>
    <w:rsid w:val="00D3374B"/>
    <w:rsid w:val="00D33985"/>
    <w:rsid w:val="00D33A35"/>
    <w:rsid w:val="00D33A4E"/>
    <w:rsid w:val="00D33D21"/>
    <w:rsid w:val="00D33D80"/>
    <w:rsid w:val="00D33EDE"/>
    <w:rsid w:val="00D33F88"/>
    <w:rsid w:val="00D34380"/>
    <w:rsid w:val="00D343FA"/>
    <w:rsid w:val="00D3449C"/>
    <w:rsid w:val="00D345D9"/>
    <w:rsid w:val="00D34702"/>
    <w:rsid w:val="00D34796"/>
    <w:rsid w:val="00D34A91"/>
    <w:rsid w:val="00D34C0C"/>
    <w:rsid w:val="00D34CC4"/>
    <w:rsid w:val="00D34D4A"/>
    <w:rsid w:val="00D34E7B"/>
    <w:rsid w:val="00D35021"/>
    <w:rsid w:val="00D350BD"/>
    <w:rsid w:val="00D35259"/>
    <w:rsid w:val="00D3536F"/>
    <w:rsid w:val="00D35602"/>
    <w:rsid w:val="00D35635"/>
    <w:rsid w:val="00D3583A"/>
    <w:rsid w:val="00D35BEB"/>
    <w:rsid w:val="00D35D47"/>
    <w:rsid w:val="00D35FBC"/>
    <w:rsid w:val="00D36188"/>
    <w:rsid w:val="00D3649E"/>
    <w:rsid w:val="00D36878"/>
    <w:rsid w:val="00D368A1"/>
    <w:rsid w:val="00D368F9"/>
    <w:rsid w:val="00D369EC"/>
    <w:rsid w:val="00D36A29"/>
    <w:rsid w:val="00D36E24"/>
    <w:rsid w:val="00D3709E"/>
    <w:rsid w:val="00D371EE"/>
    <w:rsid w:val="00D3727B"/>
    <w:rsid w:val="00D3732B"/>
    <w:rsid w:val="00D374CC"/>
    <w:rsid w:val="00D375B0"/>
    <w:rsid w:val="00D37B9D"/>
    <w:rsid w:val="00D37C1E"/>
    <w:rsid w:val="00D37E54"/>
    <w:rsid w:val="00D37EC4"/>
    <w:rsid w:val="00D4000A"/>
    <w:rsid w:val="00D400BF"/>
    <w:rsid w:val="00D404F5"/>
    <w:rsid w:val="00D40581"/>
    <w:rsid w:val="00D40617"/>
    <w:rsid w:val="00D406B6"/>
    <w:rsid w:val="00D40779"/>
    <w:rsid w:val="00D408A4"/>
    <w:rsid w:val="00D40A0F"/>
    <w:rsid w:val="00D40AC7"/>
    <w:rsid w:val="00D40ACF"/>
    <w:rsid w:val="00D40AD0"/>
    <w:rsid w:val="00D40AEC"/>
    <w:rsid w:val="00D40C60"/>
    <w:rsid w:val="00D40ED8"/>
    <w:rsid w:val="00D4106E"/>
    <w:rsid w:val="00D410B2"/>
    <w:rsid w:val="00D411C1"/>
    <w:rsid w:val="00D41343"/>
    <w:rsid w:val="00D4175A"/>
    <w:rsid w:val="00D418FF"/>
    <w:rsid w:val="00D41DF9"/>
    <w:rsid w:val="00D41E44"/>
    <w:rsid w:val="00D4208B"/>
    <w:rsid w:val="00D420D6"/>
    <w:rsid w:val="00D420F7"/>
    <w:rsid w:val="00D42277"/>
    <w:rsid w:val="00D424E3"/>
    <w:rsid w:val="00D42544"/>
    <w:rsid w:val="00D42592"/>
    <w:rsid w:val="00D426EA"/>
    <w:rsid w:val="00D4274A"/>
    <w:rsid w:val="00D4274E"/>
    <w:rsid w:val="00D4298B"/>
    <w:rsid w:val="00D42B97"/>
    <w:rsid w:val="00D42C35"/>
    <w:rsid w:val="00D42C40"/>
    <w:rsid w:val="00D42C49"/>
    <w:rsid w:val="00D42CB1"/>
    <w:rsid w:val="00D42D58"/>
    <w:rsid w:val="00D42E48"/>
    <w:rsid w:val="00D42EE3"/>
    <w:rsid w:val="00D42F92"/>
    <w:rsid w:val="00D43251"/>
    <w:rsid w:val="00D43350"/>
    <w:rsid w:val="00D4347E"/>
    <w:rsid w:val="00D4350A"/>
    <w:rsid w:val="00D436A0"/>
    <w:rsid w:val="00D436CE"/>
    <w:rsid w:val="00D4396D"/>
    <w:rsid w:val="00D43C2C"/>
    <w:rsid w:val="00D43C65"/>
    <w:rsid w:val="00D43C8D"/>
    <w:rsid w:val="00D43E6C"/>
    <w:rsid w:val="00D43F28"/>
    <w:rsid w:val="00D4411F"/>
    <w:rsid w:val="00D4433A"/>
    <w:rsid w:val="00D444C2"/>
    <w:rsid w:val="00D444E3"/>
    <w:rsid w:val="00D445D9"/>
    <w:rsid w:val="00D44790"/>
    <w:rsid w:val="00D447A0"/>
    <w:rsid w:val="00D447BB"/>
    <w:rsid w:val="00D44969"/>
    <w:rsid w:val="00D449AE"/>
    <w:rsid w:val="00D44B68"/>
    <w:rsid w:val="00D44EAC"/>
    <w:rsid w:val="00D44EE6"/>
    <w:rsid w:val="00D45192"/>
    <w:rsid w:val="00D45417"/>
    <w:rsid w:val="00D454B5"/>
    <w:rsid w:val="00D4579D"/>
    <w:rsid w:val="00D457DD"/>
    <w:rsid w:val="00D457EB"/>
    <w:rsid w:val="00D45A77"/>
    <w:rsid w:val="00D45B62"/>
    <w:rsid w:val="00D45CD7"/>
    <w:rsid w:val="00D45FB9"/>
    <w:rsid w:val="00D45FD1"/>
    <w:rsid w:val="00D45FD5"/>
    <w:rsid w:val="00D460E9"/>
    <w:rsid w:val="00D465CD"/>
    <w:rsid w:val="00D46710"/>
    <w:rsid w:val="00D467AB"/>
    <w:rsid w:val="00D46834"/>
    <w:rsid w:val="00D46A77"/>
    <w:rsid w:val="00D46AC3"/>
    <w:rsid w:val="00D46C22"/>
    <w:rsid w:val="00D46E66"/>
    <w:rsid w:val="00D46ED2"/>
    <w:rsid w:val="00D46F21"/>
    <w:rsid w:val="00D47004"/>
    <w:rsid w:val="00D47064"/>
    <w:rsid w:val="00D470AD"/>
    <w:rsid w:val="00D470FA"/>
    <w:rsid w:val="00D47158"/>
    <w:rsid w:val="00D471FE"/>
    <w:rsid w:val="00D47243"/>
    <w:rsid w:val="00D4736A"/>
    <w:rsid w:val="00D473B6"/>
    <w:rsid w:val="00D4744D"/>
    <w:rsid w:val="00D474A7"/>
    <w:rsid w:val="00D4765B"/>
    <w:rsid w:val="00D4780E"/>
    <w:rsid w:val="00D4792B"/>
    <w:rsid w:val="00D47947"/>
    <w:rsid w:val="00D47A4C"/>
    <w:rsid w:val="00D47BDB"/>
    <w:rsid w:val="00D47C71"/>
    <w:rsid w:val="00D47D59"/>
    <w:rsid w:val="00D47DEB"/>
    <w:rsid w:val="00D47FF7"/>
    <w:rsid w:val="00D50191"/>
    <w:rsid w:val="00D502E5"/>
    <w:rsid w:val="00D503CD"/>
    <w:rsid w:val="00D5042B"/>
    <w:rsid w:val="00D50479"/>
    <w:rsid w:val="00D50554"/>
    <w:rsid w:val="00D5065C"/>
    <w:rsid w:val="00D50677"/>
    <w:rsid w:val="00D50726"/>
    <w:rsid w:val="00D507B1"/>
    <w:rsid w:val="00D50918"/>
    <w:rsid w:val="00D50BCE"/>
    <w:rsid w:val="00D50C6F"/>
    <w:rsid w:val="00D50D4C"/>
    <w:rsid w:val="00D50D53"/>
    <w:rsid w:val="00D50D63"/>
    <w:rsid w:val="00D50E0C"/>
    <w:rsid w:val="00D50E21"/>
    <w:rsid w:val="00D50FA6"/>
    <w:rsid w:val="00D5102E"/>
    <w:rsid w:val="00D51125"/>
    <w:rsid w:val="00D513C7"/>
    <w:rsid w:val="00D5153B"/>
    <w:rsid w:val="00D5165C"/>
    <w:rsid w:val="00D516ED"/>
    <w:rsid w:val="00D51710"/>
    <w:rsid w:val="00D51839"/>
    <w:rsid w:val="00D5199D"/>
    <w:rsid w:val="00D51A50"/>
    <w:rsid w:val="00D51B75"/>
    <w:rsid w:val="00D51C6E"/>
    <w:rsid w:val="00D51C78"/>
    <w:rsid w:val="00D51CFC"/>
    <w:rsid w:val="00D51F3E"/>
    <w:rsid w:val="00D521BB"/>
    <w:rsid w:val="00D521D7"/>
    <w:rsid w:val="00D521F7"/>
    <w:rsid w:val="00D528AB"/>
    <w:rsid w:val="00D52CC2"/>
    <w:rsid w:val="00D52EEC"/>
    <w:rsid w:val="00D52FF9"/>
    <w:rsid w:val="00D5345F"/>
    <w:rsid w:val="00D5348A"/>
    <w:rsid w:val="00D5367E"/>
    <w:rsid w:val="00D536A6"/>
    <w:rsid w:val="00D538C9"/>
    <w:rsid w:val="00D53909"/>
    <w:rsid w:val="00D5396D"/>
    <w:rsid w:val="00D539AC"/>
    <w:rsid w:val="00D53A52"/>
    <w:rsid w:val="00D53B37"/>
    <w:rsid w:val="00D53BA7"/>
    <w:rsid w:val="00D53CF4"/>
    <w:rsid w:val="00D53D33"/>
    <w:rsid w:val="00D53D76"/>
    <w:rsid w:val="00D53E9B"/>
    <w:rsid w:val="00D53F1A"/>
    <w:rsid w:val="00D53FED"/>
    <w:rsid w:val="00D5404C"/>
    <w:rsid w:val="00D54454"/>
    <w:rsid w:val="00D546BA"/>
    <w:rsid w:val="00D5484F"/>
    <w:rsid w:val="00D54C82"/>
    <w:rsid w:val="00D54EB4"/>
    <w:rsid w:val="00D55023"/>
    <w:rsid w:val="00D5507B"/>
    <w:rsid w:val="00D550C3"/>
    <w:rsid w:val="00D55391"/>
    <w:rsid w:val="00D553CB"/>
    <w:rsid w:val="00D557F2"/>
    <w:rsid w:val="00D559C0"/>
    <w:rsid w:val="00D55B2C"/>
    <w:rsid w:val="00D55C15"/>
    <w:rsid w:val="00D55DAD"/>
    <w:rsid w:val="00D55DD3"/>
    <w:rsid w:val="00D56003"/>
    <w:rsid w:val="00D5617A"/>
    <w:rsid w:val="00D5628F"/>
    <w:rsid w:val="00D56343"/>
    <w:rsid w:val="00D563D1"/>
    <w:rsid w:val="00D563EC"/>
    <w:rsid w:val="00D5645E"/>
    <w:rsid w:val="00D565F3"/>
    <w:rsid w:val="00D5679D"/>
    <w:rsid w:val="00D56867"/>
    <w:rsid w:val="00D5695A"/>
    <w:rsid w:val="00D56A9D"/>
    <w:rsid w:val="00D56B61"/>
    <w:rsid w:val="00D56BA7"/>
    <w:rsid w:val="00D56CA2"/>
    <w:rsid w:val="00D56E94"/>
    <w:rsid w:val="00D56FC6"/>
    <w:rsid w:val="00D5707F"/>
    <w:rsid w:val="00D57094"/>
    <w:rsid w:val="00D57197"/>
    <w:rsid w:val="00D5721B"/>
    <w:rsid w:val="00D572C9"/>
    <w:rsid w:val="00D5732C"/>
    <w:rsid w:val="00D5747B"/>
    <w:rsid w:val="00D57508"/>
    <w:rsid w:val="00D5779D"/>
    <w:rsid w:val="00D57828"/>
    <w:rsid w:val="00D578D6"/>
    <w:rsid w:val="00D5791C"/>
    <w:rsid w:val="00D57C7A"/>
    <w:rsid w:val="00D57D2E"/>
    <w:rsid w:val="00D57DD0"/>
    <w:rsid w:val="00D57E1E"/>
    <w:rsid w:val="00D57ECA"/>
    <w:rsid w:val="00D600BF"/>
    <w:rsid w:val="00D600D2"/>
    <w:rsid w:val="00D60287"/>
    <w:rsid w:val="00D602C2"/>
    <w:rsid w:val="00D60582"/>
    <w:rsid w:val="00D60583"/>
    <w:rsid w:val="00D609F2"/>
    <w:rsid w:val="00D60AFF"/>
    <w:rsid w:val="00D60BCD"/>
    <w:rsid w:val="00D60EF7"/>
    <w:rsid w:val="00D6100D"/>
    <w:rsid w:val="00D6104D"/>
    <w:rsid w:val="00D6124D"/>
    <w:rsid w:val="00D61365"/>
    <w:rsid w:val="00D613CF"/>
    <w:rsid w:val="00D614F8"/>
    <w:rsid w:val="00D61529"/>
    <w:rsid w:val="00D615DB"/>
    <w:rsid w:val="00D615DE"/>
    <w:rsid w:val="00D615EA"/>
    <w:rsid w:val="00D617D7"/>
    <w:rsid w:val="00D6195F"/>
    <w:rsid w:val="00D61A5B"/>
    <w:rsid w:val="00D61ABE"/>
    <w:rsid w:val="00D61B7B"/>
    <w:rsid w:val="00D61C4A"/>
    <w:rsid w:val="00D61D42"/>
    <w:rsid w:val="00D62010"/>
    <w:rsid w:val="00D622A4"/>
    <w:rsid w:val="00D62456"/>
    <w:rsid w:val="00D62581"/>
    <w:rsid w:val="00D6267F"/>
    <w:rsid w:val="00D62698"/>
    <w:rsid w:val="00D627E8"/>
    <w:rsid w:val="00D629A4"/>
    <w:rsid w:val="00D62AD1"/>
    <w:rsid w:val="00D62CA1"/>
    <w:rsid w:val="00D62EE1"/>
    <w:rsid w:val="00D62F6D"/>
    <w:rsid w:val="00D6307D"/>
    <w:rsid w:val="00D63256"/>
    <w:rsid w:val="00D63273"/>
    <w:rsid w:val="00D632D5"/>
    <w:rsid w:val="00D63354"/>
    <w:rsid w:val="00D633AD"/>
    <w:rsid w:val="00D634A9"/>
    <w:rsid w:val="00D63703"/>
    <w:rsid w:val="00D63844"/>
    <w:rsid w:val="00D63953"/>
    <w:rsid w:val="00D63A37"/>
    <w:rsid w:val="00D63B1B"/>
    <w:rsid w:val="00D63B53"/>
    <w:rsid w:val="00D63C96"/>
    <w:rsid w:val="00D63D0B"/>
    <w:rsid w:val="00D63EA9"/>
    <w:rsid w:val="00D64064"/>
    <w:rsid w:val="00D64065"/>
    <w:rsid w:val="00D6413F"/>
    <w:rsid w:val="00D641C1"/>
    <w:rsid w:val="00D64207"/>
    <w:rsid w:val="00D64224"/>
    <w:rsid w:val="00D64346"/>
    <w:rsid w:val="00D6440F"/>
    <w:rsid w:val="00D6467C"/>
    <w:rsid w:val="00D648B0"/>
    <w:rsid w:val="00D648F2"/>
    <w:rsid w:val="00D6490F"/>
    <w:rsid w:val="00D64A86"/>
    <w:rsid w:val="00D64C1C"/>
    <w:rsid w:val="00D64D24"/>
    <w:rsid w:val="00D64DF8"/>
    <w:rsid w:val="00D64E16"/>
    <w:rsid w:val="00D65042"/>
    <w:rsid w:val="00D65086"/>
    <w:rsid w:val="00D6523F"/>
    <w:rsid w:val="00D65488"/>
    <w:rsid w:val="00D65B4B"/>
    <w:rsid w:val="00D65C11"/>
    <w:rsid w:val="00D65C53"/>
    <w:rsid w:val="00D65C76"/>
    <w:rsid w:val="00D65D12"/>
    <w:rsid w:val="00D65D69"/>
    <w:rsid w:val="00D65EA1"/>
    <w:rsid w:val="00D65F3F"/>
    <w:rsid w:val="00D66222"/>
    <w:rsid w:val="00D6624C"/>
    <w:rsid w:val="00D66380"/>
    <w:rsid w:val="00D66522"/>
    <w:rsid w:val="00D66672"/>
    <w:rsid w:val="00D66688"/>
    <w:rsid w:val="00D667D7"/>
    <w:rsid w:val="00D66996"/>
    <w:rsid w:val="00D66A8C"/>
    <w:rsid w:val="00D66C33"/>
    <w:rsid w:val="00D66CA4"/>
    <w:rsid w:val="00D66CFC"/>
    <w:rsid w:val="00D6705C"/>
    <w:rsid w:val="00D67095"/>
    <w:rsid w:val="00D6709E"/>
    <w:rsid w:val="00D6717F"/>
    <w:rsid w:val="00D67211"/>
    <w:rsid w:val="00D6735D"/>
    <w:rsid w:val="00D67386"/>
    <w:rsid w:val="00D67A26"/>
    <w:rsid w:val="00D67B79"/>
    <w:rsid w:val="00D67C85"/>
    <w:rsid w:val="00D67D44"/>
    <w:rsid w:val="00D67D9B"/>
    <w:rsid w:val="00D7003C"/>
    <w:rsid w:val="00D7041F"/>
    <w:rsid w:val="00D704A6"/>
    <w:rsid w:val="00D704DC"/>
    <w:rsid w:val="00D70585"/>
    <w:rsid w:val="00D70589"/>
    <w:rsid w:val="00D70615"/>
    <w:rsid w:val="00D7064D"/>
    <w:rsid w:val="00D707CE"/>
    <w:rsid w:val="00D707E5"/>
    <w:rsid w:val="00D70885"/>
    <w:rsid w:val="00D7094A"/>
    <w:rsid w:val="00D70987"/>
    <w:rsid w:val="00D70B32"/>
    <w:rsid w:val="00D70BEA"/>
    <w:rsid w:val="00D70E80"/>
    <w:rsid w:val="00D71362"/>
    <w:rsid w:val="00D71365"/>
    <w:rsid w:val="00D71465"/>
    <w:rsid w:val="00D71502"/>
    <w:rsid w:val="00D71599"/>
    <w:rsid w:val="00D71620"/>
    <w:rsid w:val="00D71A98"/>
    <w:rsid w:val="00D71EA0"/>
    <w:rsid w:val="00D72516"/>
    <w:rsid w:val="00D72575"/>
    <w:rsid w:val="00D7259A"/>
    <w:rsid w:val="00D725F3"/>
    <w:rsid w:val="00D72611"/>
    <w:rsid w:val="00D7262C"/>
    <w:rsid w:val="00D72A64"/>
    <w:rsid w:val="00D72BE8"/>
    <w:rsid w:val="00D72C61"/>
    <w:rsid w:val="00D72E95"/>
    <w:rsid w:val="00D73158"/>
    <w:rsid w:val="00D73180"/>
    <w:rsid w:val="00D7332F"/>
    <w:rsid w:val="00D73382"/>
    <w:rsid w:val="00D73463"/>
    <w:rsid w:val="00D734C7"/>
    <w:rsid w:val="00D7367F"/>
    <w:rsid w:val="00D73711"/>
    <w:rsid w:val="00D73745"/>
    <w:rsid w:val="00D73891"/>
    <w:rsid w:val="00D738C6"/>
    <w:rsid w:val="00D7394F"/>
    <w:rsid w:val="00D73A21"/>
    <w:rsid w:val="00D73B14"/>
    <w:rsid w:val="00D73BA2"/>
    <w:rsid w:val="00D73BC8"/>
    <w:rsid w:val="00D73C6A"/>
    <w:rsid w:val="00D73DBD"/>
    <w:rsid w:val="00D73E64"/>
    <w:rsid w:val="00D74136"/>
    <w:rsid w:val="00D741DC"/>
    <w:rsid w:val="00D7425B"/>
    <w:rsid w:val="00D742DD"/>
    <w:rsid w:val="00D74363"/>
    <w:rsid w:val="00D74426"/>
    <w:rsid w:val="00D744C3"/>
    <w:rsid w:val="00D746C6"/>
    <w:rsid w:val="00D7481D"/>
    <w:rsid w:val="00D74856"/>
    <w:rsid w:val="00D74BE1"/>
    <w:rsid w:val="00D74CA3"/>
    <w:rsid w:val="00D75245"/>
    <w:rsid w:val="00D7529F"/>
    <w:rsid w:val="00D752BA"/>
    <w:rsid w:val="00D75338"/>
    <w:rsid w:val="00D7542B"/>
    <w:rsid w:val="00D7578E"/>
    <w:rsid w:val="00D75A0C"/>
    <w:rsid w:val="00D75A12"/>
    <w:rsid w:val="00D75B6F"/>
    <w:rsid w:val="00D75CB8"/>
    <w:rsid w:val="00D75D69"/>
    <w:rsid w:val="00D75DA0"/>
    <w:rsid w:val="00D75EA8"/>
    <w:rsid w:val="00D76065"/>
    <w:rsid w:val="00D7618B"/>
    <w:rsid w:val="00D76198"/>
    <w:rsid w:val="00D7636D"/>
    <w:rsid w:val="00D7654B"/>
    <w:rsid w:val="00D7658F"/>
    <w:rsid w:val="00D76613"/>
    <w:rsid w:val="00D766B6"/>
    <w:rsid w:val="00D76898"/>
    <w:rsid w:val="00D768F7"/>
    <w:rsid w:val="00D768F8"/>
    <w:rsid w:val="00D769C4"/>
    <w:rsid w:val="00D76D3C"/>
    <w:rsid w:val="00D76F7F"/>
    <w:rsid w:val="00D77033"/>
    <w:rsid w:val="00D7713C"/>
    <w:rsid w:val="00D7724F"/>
    <w:rsid w:val="00D77299"/>
    <w:rsid w:val="00D772FF"/>
    <w:rsid w:val="00D77352"/>
    <w:rsid w:val="00D7743D"/>
    <w:rsid w:val="00D774EF"/>
    <w:rsid w:val="00D7753B"/>
    <w:rsid w:val="00D7755B"/>
    <w:rsid w:val="00D775C7"/>
    <w:rsid w:val="00D77666"/>
    <w:rsid w:val="00D7767C"/>
    <w:rsid w:val="00D776C2"/>
    <w:rsid w:val="00D77876"/>
    <w:rsid w:val="00D778A3"/>
    <w:rsid w:val="00D77901"/>
    <w:rsid w:val="00D77A8F"/>
    <w:rsid w:val="00D77C2F"/>
    <w:rsid w:val="00D77D9D"/>
    <w:rsid w:val="00D77DB1"/>
    <w:rsid w:val="00D77E17"/>
    <w:rsid w:val="00D77E50"/>
    <w:rsid w:val="00D801C4"/>
    <w:rsid w:val="00D80274"/>
    <w:rsid w:val="00D8038A"/>
    <w:rsid w:val="00D8042A"/>
    <w:rsid w:val="00D804EB"/>
    <w:rsid w:val="00D8056F"/>
    <w:rsid w:val="00D8058C"/>
    <w:rsid w:val="00D805EA"/>
    <w:rsid w:val="00D8085D"/>
    <w:rsid w:val="00D80A70"/>
    <w:rsid w:val="00D80A88"/>
    <w:rsid w:val="00D80A95"/>
    <w:rsid w:val="00D80BD4"/>
    <w:rsid w:val="00D80BFC"/>
    <w:rsid w:val="00D80D97"/>
    <w:rsid w:val="00D8102E"/>
    <w:rsid w:val="00D811F9"/>
    <w:rsid w:val="00D81333"/>
    <w:rsid w:val="00D815BE"/>
    <w:rsid w:val="00D8172E"/>
    <w:rsid w:val="00D817C2"/>
    <w:rsid w:val="00D81829"/>
    <w:rsid w:val="00D8184A"/>
    <w:rsid w:val="00D8185A"/>
    <w:rsid w:val="00D8188E"/>
    <w:rsid w:val="00D81B0A"/>
    <w:rsid w:val="00D81B49"/>
    <w:rsid w:val="00D81BD3"/>
    <w:rsid w:val="00D81BF3"/>
    <w:rsid w:val="00D81C6E"/>
    <w:rsid w:val="00D81FD3"/>
    <w:rsid w:val="00D82120"/>
    <w:rsid w:val="00D8218B"/>
    <w:rsid w:val="00D821B8"/>
    <w:rsid w:val="00D824AA"/>
    <w:rsid w:val="00D825AA"/>
    <w:rsid w:val="00D8272C"/>
    <w:rsid w:val="00D82737"/>
    <w:rsid w:val="00D828B6"/>
    <w:rsid w:val="00D82B1A"/>
    <w:rsid w:val="00D82B57"/>
    <w:rsid w:val="00D82F30"/>
    <w:rsid w:val="00D833DF"/>
    <w:rsid w:val="00D8351F"/>
    <w:rsid w:val="00D83563"/>
    <w:rsid w:val="00D83676"/>
    <w:rsid w:val="00D8371C"/>
    <w:rsid w:val="00D839F6"/>
    <w:rsid w:val="00D83B92"/>
    <w:rsid w:val="00D83BCC"/>
    <w:rsid w:val="00D83C13"/>
    <w:rsid w:val="00D83DD4"/>
    <w:rsid w:val="00D83DD8"/>
    <w:rsid w:val="00D83E4F"/>
    <w:rsid w:val="00D83EEC"/>
    <w:rsid w:val="00D83FB8"/>
    <w:rsid w:val="00D841DE"/>
    <w:rsid w:val="00D84212"/>
    <w:rsid w:val="00D8425C"/>
    <w:rsid w:val="00D842AC"/>
    <w:rsid w:val="00D8432B"/>
    <w:rsid w:val="00D8466A"/>
    <w:rsid w:val="00D84789"/>
    <w:rsid w:val="00D84A47"/>
    <w:rsid w:val="00D850C1"/>
    <w:rsid w:val="00D85122"/>
    <w:rsid w:val="00D8521E"/>
    <w:rsid w:val="00D85407"/>
    <w:rsid w:val="00D8556C"/>
    <w:rsid w:val="00D8558E"/>
    <w:rsid w:val="00D855BB"/>
    <w:rsid w:val="00D85616"/>
    <w:rsid w:val="00D856C4"/>
    <w:rsid w:val="00D85716"/>
    <w:rsid w:val="00D857F5"/>
    <w:rsid w:val="00D85872"/>
    <w:rsid w:val="00D8595A"/>
    <w:rsid w:val="00D85A97"/>
    <w:rsid w:val="00D85D15"/>
    <w:rsid w:val="00D85EBC"/>
    <w:rsid w:val="00D85F3F"/>
    <w:rsid w:val="00D85F95"/>
    <w:rsid w:val="00D8612A"/>
    <w:rsid w:val="00D86140"/>
    <w:rsid w:val="00D8627F"/>
    <w:rsid w:val="00D86478"/>
    <w:rsid w:val="00D86559"/>
    <w:rsid w:val="00D8655B"/>
    <w:rsid w:val="00D86B74"/>
    <w:rsid w:val="00D86B9A"/>
    <w:rsid w:val="00D86BAC"/>
    <w:rsid w:val="00D86BB5"/>
    <w:rsid w:val="00D86BBF"/>
    <w:rsid w:val="00D86CFB"/>
    <w:rsid w:val="00D86E6C"/>
    <w:rsid w:val="00D86EBC"/>
    <w:rsid w:val="00D870FE"/>
    <w:rsid w:val="00D87291"/>
    <w:rsid w:val="00D873B1"/>
    <w:rsid w:val="00D873FF"/>
    <w:rsid w:val="00D874A6"/>
    <w:rsid w:val="00D8758A"/>
    <w:rsid w:val="00D87624"/>
    <w:rsid w:val="00D877C4"/>
    <w:rsid w:val="00D87980"/>
    <w:rsid w:val="00D87B26"/>
    <w:rsid w:val="00D87C3C"/>
    <w:rsid w:val="00D87C71"/>
    <w:rsid w:val="00D87F7D"/>
    <w:rsid w:val="00D900AA"/>
    <w:rsid w:val="00D90318"/>
    <w:rsid w:val="00D90346"/>
    <w:rsid w:val="00D90575"/>
    <w:rsid w:val="00D9061C"/>
    <w:rsid w:val="00D90662"/>
    <w:rsid w:val="00D90A66"/>
    <w:rsid w:val="00D90B32"/>
    <w:rsid w:val="00D90D91"/>
    <w:rsid w:val="00D90DE8"/>
    <w:rsid w:val="00D90E9C"/>
    <w:rsid w:val="00D90EB8"/>
    <w:rsid w:val="00D91014"/>
    <w:rsid w:val="00D911EA"/>
    <w:rsid w:val="00D9120E"/>
    <w:rsid w:val="00D9130C"/>
    <w:rsid w:val="00D91618"/>
    <w:rsid w:val="00D91627"/>
    <w:rsid w:val="00D9185A"/>
    <w:rsid w:val="00D91899"/>
    <w:rsid w:val="00D919D8"/>
    <w:rsid w:val="00D91C31"/>
    <w:rsid w:val="00D91E68"/>
    <w:rsid w:val="00D92202"/>
    <w:rsid w:val="00D92518"/>
    <w:rsid w:val="00D9257B"/>
    <w:rsid w:val="00D927C9"/>
    <w:rsid w:val="00D9283A"/>
    <w:rsid w:val="00D92A61"/>
    <w:rsid w:val="00D92B6A"/>
    <w:rsid w:val="00D9317B"/>
    <w:rsid w:val="00D93187"/>
    <w:rsid w:val="00D9322E"/>
    <w:rsid w:val="00D93309"/>
    <w:rsid w:val="00D93312"/>
    <w:rsid w:val="00D936DD"/>
    <w:rsid w:val="00D93716"/>
    <w:rsid w:val="00D93BBE"/>
    <w:rsid w:val="00D93C89"/>
    <w:rsid w:val="00D93E03"/>
    <w:rsid w:val="00D93E2A"/>
    <w:rsid w:val="00D93E70"/>
    <w:rsid w:val="00D93EA5"/>
    <w:rsid w:val="00D942CA"/>
    <w:rsid w:val="00D94482"/>
    <w:rsid w:val="00D94743"/>
    <w:rsid w:val="00D94781"/>
    <w:rsid w:val="00D9478B"/>
    <w:rsid w:val="00D947B9"/>
    <w:rsid w:val="00D9486E"/>
    <w:rsid w:val="00D94893"/>
    <w:rsid w:val="00D94A59"/>
    <w:rsid w:val="00D94CF5"/>
    <w:rsid w:val="00D94DCC"/>
    <w:rsid w:val="00D94DE8"/>
    <w:rsid w:val="00D94ED8"/>
    <w:rsid w:val="00D950E0"/>
    <w:rsid w:val="00D95188"/>
    <w:rsid w:val="00D951A7"/>
    <w:rsid w:val="00D95242"/>
    <w:rsid w:val="00D9527B"/>
    <w:rsid w:val="00D953CB"/>
    <w:rsid w:val="00D95572"/>
    <w:rsid w:val="00D95614"/>
    <w:rsid w:val="00D9561D"/>
    <w:rsid w:val="00D958A6"/>
    <w:rsid w:val="00D9591F"/>
    <w:rsid w:val="00D95A06"/>
    <w:rsid w:val="00D95A6C"/>
    <w:rsid w:val="00D95A87"/>
    <w:rsid w:val="00D95AAD"/>
    <w:rsid w:val="00D95AE0"/>
    <w:rsid w:val="00D95AEA"/>
    <w:rsid w:val="00D95B3F"/>
    <w:rsid w:val="00D95D30"/>
    <w:rsid w:val="00D95DBA"/>
    <w:rsid w:val="00D95E4F"/>
    <w:rsid w:val="00D95FEB"/>
    <w:rsid w:val="00D960A0"/>
    <w:rsid w:val="00D96125"/>
    <w:rsid w:val="00D9641D"/>
    <w:rsid w:val="00D9652E"/>
    <w:rsid w:val="00D9660E"/>
    <w:rsid w:val="00D96770"/>
    <w:rsid w:val="00D967DF"/>
    <w:rsid w:val="00D9682F"/>
    <w:rsid w:val="00D9684C"/>
    <w:rsid w:val="00D96904"/>
    <w:rsid w:val="00D96A2E"/>
    <w:rsid w:val="00D96DC0"/>
    <w:rsid w:val="00D96E86"/>
    <w:rsid w:val="00D96F3D"/>
    <w:rsid w:val="00D96FFA"/>
    <w:rsid w:val="00D97366"/>
    <w:rsid w:val="00D97408"/>
    <w:rsid w:val="00D974C0"/>
    <w:rsid w:val="00D977A6"/>
    <w:rsid w:val="00D9791B"/>
    <w:rsid w:val="00D97CCF"/>
    <w:rsid w:val="00D97D6F"/>
    <w:rsid w:val="00D97E00"/>
    <w:rsid w:val="00D97FD1"/>
    <w:rsid w:val="00DA016A"/>
    <w:rsid w:val="00DA02DA"/>
    <w:rsid w:val="00DA0323"/>
    <w:rsid w:val="00DA04CD"/>
    <w:rsid w:val="00DA052B"/>
    <w:rsid w:val="00DA07B3"/>
    <w:rsid w:val="00DA08AD"/>
    <w:rsid w:val="00DA08D8"/>
    <w:rsid w:val="00DA0966"/>
    <w:rsid w:val="00DA0B08"/>
    <w:rsid w:val="00DA0BDB"/>
    <w:rsid w:val="00DA0BFF"/>
    <w:rsid w:val="00DA0C0F"/>
    <w:rsid w:val="00DA0CC5"/>
    <w:rsid w:val="00DA0CCC"/>
    <w:rsid w:val="00DA0DB3"/>
    <w:rsid w:val="00DA0E99"/>
    <w:rsid w:val="00DA0F01"/>
    <w:rsid w:val="00DA104B"/>
    <w:rsid w:val="00DA1054"/>
    <w:rsid w:val="00DA1174"/>
    <w:rsid w:val="00DA1258"/>
    <w:rsid w:val="00DA1278"/>
    <w:rsid w:val="00DA1552"/>
    <w:rsid w:val="00DA17A7"/>
    <w:rsid w:val="00DA1AB0"/>
    <w:rsid w:val="00DA1AF9"/>
    <w:rsid w:val="00DA1C20"/>
    <w:rsid w:val="00DA1CA2"/>
    <w:rsid w:val="00DA1CCE"/>
    <w:rsid w:val="00DA1D32"/>
    <w:rsid w:val="00DA1E41"/>
    <w:rsid w:val="00DA1F5C"/>
    <w:rsid w:val="00DA1FAA"/>
    <w:rsid w:val="00DA22A8"/>
    <w:rsid w:val="00DA2406"/>
    <w:rsid w:val="00DA2686"/>
    <w:rsid w:val="00DA2691"/>
    <w:rsid w:val="00DA2991"/>
    <w:rsid w:val="00DA2C0E"/>
    <w:rsid w:val="00DA2C9B"/>
    <w:rsid w:val="00DA2EE3"/>
    <w:rsid w:val="00DA2F73"/>
    <w:rsid w:val="00DA2FFD"/>
    <w:rsid w:val="00DA307C"/>
    <w:rsid w:val="00DA3159"/>
    <w:rsid w:val="00DA319F"/>
    <w:rsid w:val="00DA31E0"/>
    <w:rsid w:val="00DA3697"/>
    <w:rsid w:val="00DA3DE1"/>
    <w:rsid w:val="00DA3DE2"/>
    <w:rsid w:val="00DA3E8B"/>
    <w:rsid w:val="00DA3E9A"/>
    <w:rsid w:val="00DA3EB0"/>
    <w:rsid w:val="00DA3F61"/>
    <w:rsid w:val="00DA3FDC"/>
    <w:rsid w:val="00DA40D6"/>
    <w:rsid w:val="00DA4129"/>
    <w:rsid w:val="00DA4136"/>
    <w:rsid w:val="00DA4145"/>
    <w:rsid w:val="00DA4148"/>
    <w:rsid w:val="00DA4223"/>
    <w:rsid w:val="00DA439D"/>
    <w:rsid w:val="00DA4453"/>
    <w:rsid w:val="00DA472A"/>
    <w:rsid w:val="00DA47FA"/>
    <w:rsid w:val="00DA4842"/>
    <w:rsid w:val="00DA4855"/>
    <w:rsid w:val="00DA48E8"/>
    <w:rsid w:val="00DA499B"/>
    <w:rsid w:val="00DA49A1"/>
    <w:rsid w:val="00DA4FAB"/>
    <w:rsid w:val="00DA5021"/>
    <w:rsid w:val="00DA5594"/>
    <w:rsid w:val="00DA55F3"/>
    <w:rsid w:val="00DA56AD"/>
    <w:rsid w:val="00DA5779"/>
    <w:rsid w:val="00DA58D4"/>
    <w:rsid w:val="00DA58FE"/>
    <w:rsid w:val="00DA5953"/>
    <w:rsid w:val="00DA5973"/>
    <w:rsid w:val="00DA5ADD"/>
    <w:rsid w:val="00DA5C5B"/>
    <w:rsid w:val="00DA5CEC"/>
    <w:rsid w:val="00DA5FDC"/>
    <w:rsid w:val="00DA60A2"/>
    <w:rsid w:val="00DA6118"/>
    <w:rsid w:val="00DA6218"/>
    <w:rsid w:val="00DA6282"/>
    <w:rsid w:val="00DA62D2"/>
    <w:rsid w:val="00DA6508"/>
    <w:rsid w:val="00DA6559"/>
    <w:rsid w:val="00DA690A"/>
    <w:rsid w:val="00DA6A18"/>
    <w:rsid w:val="00DA6AE5"/>
    <w:rsid w:val="00DA6BC8"/>
    <w:rsid w:val="00DA6BF5"/>
    <w:rsid w:val="00DA6C6B"/>
    <w:rsid w:val="00DA6D4C"/>
    <w:rsid w:val="00DA6DEF"/>
    <w:rsid w:val="00DA6F35"/>
    <w:rsid w:val="00DA7112"/>
    <w:rsid w:val="00DA733F"/>
    <w:rsid w:val="00DA7345"/>
    <w:rsid w:val="00DA7404"/>
    <w:rsid w:val="00DA74FA"/>
    <w:rsid w:val="00DA75C7"/>
    <w:rsid w:val="00DA784B"/>
    <w:rsid w:val="00DA7A0D"/>
    <w:rsid w:val="00DA7A44"/>
    <w:rsid w:val="00DA7A55"/>
    <w:rsid w:val="00DA7ACB"/>
    <w:rsid w:val="00DA7AEA"/>
    <w:rsid w:val="00DA7D08"/>
    <w:rsid w:val="00DB0258"/>
    <w:rsid w:val="00DB0359"/>
    <w:rsid w:val="00DB0555"/>
    <w:rsid w:val="00DB0876"/>
    <w:rsid w:val="00DB08F7"/>
    <w:rsid w:val="00DB0A9A"/>
    <w:rsid w:val="00DB0D6D"/>
    <w:rsid w:val="00DB0DA4"/>
    <w:rsid w:val="00DB0E1C"/>
    <w:rsid w:val="00DB0F3B"/>
    <w:rsid w:val="00DB1099"/>
    <w:rsid w:val="00DB10B5"/>
    <w:rsid w:val="00DB110C"/>
    <w:rsid w:val="00DB1191"/>
    <w:rsid w:val="00DB119A"/>
    <w:rsid w:val="00DB11E6"/>
    <w:rsid w:val="00DB146A"/>
    <w:rsid w:val="00DB15D4"/>
    <w:rsid w:val="00DB1749"/>
    <w:rsid w:val="00DB181F"/>
    <w:rsid w:val="00DB184A"/>
    <w:rsid w:val="00DB19CD"/>
    <w:rsid w:val="00DB1A09"/>
    <w:rsid w:val="00DB1A10"/>
    <w:rsid w:val="00DB1B10"/>
    <w:rsid w:val="00DB1BBD"/>
    <w:rsid w:val="00DB1C07"/>
    <w:rsid w:val="00DB1C86"/>
    <w:rsid w:val="00DB1D36"/>
    <w:rsid w:val="00DB1F53"/>
    <w:rsid w:val="00DB2445"/>
    <w:rsid w:val="00DB246D"/>
    <w:rsid w:val="00DB25D4"/>
    <w:rsid w:val="00DB25EC"/>
    <w:rsid w:val="00DB2672"/>
    <w:rsid w:val="00DB2678"/>
    <w:rsid w:val="00DB2733"/>
    <w:rsid w:val="00DB28EB"/>
    <w:rsid w:val="00DB2A1D"/>
    <w:rsid w:val="00DB2B1D"/>
    <w:rsid w:val="00DB2D5B"/>
    <w:rsid w:val="00DB307F"/>
    <w:rsid w:val="00DB3223"/>
    <w:rsid w:val="00DB3522"/>
    <w:rsid w:val="00DB362C"/>
    <w:rsid w:val="00DB367D"/>
    <w:rsid w:val="00DB3D30"/>
    <w:rsid w:val="00DB3E07"/>
    <w:rsid w:val="00DB3E1B"/>
    <w:rsid w:val="00DB3E86"/>
    <w:rsid w:val="00DB4246"/>
    <w:rsid w:val="00DB43C0"/>
    <w:rsid w:val="00DB4443"/>
    <w:rsid w:val="00DB4573"/>
    <w:rsid w:val="00DB4625"/>
    <w:rsid w:val="00DB46E3"/>
    <w:rsid w:val="00DB47C4"/>
    <w:rsid w:val="00DB490D"/>
    <w:rsid w:val="00DB508F"/>
    <w:rsid w:val="00DB5155"/>
    <w:rsid w:val="00DB52A2"/>
    <w:rsid w:val="00DB53D0"/>
    <w:rsid w:val="00DB5474"/>
    <w:rsid w:val="00DB54A3"/>
    <w:rsid w:val="00DB54B6"/>
    <w:rsid w:val="00DB54FC"/>
    <w:rsid w:val="00DB551A"/>
    <w:rsid w:val="00DB55DC"/>
    <w:rsid w:val="00DB5618"/>
    <w:rsid w:val="00DB5623"/>
    <w:rsid w:val="00DB56BD"/>
    <w:rsid w:val="00DB5773"/>
    <w:rsid w:val="00DB57AA"/>
    <w:rsid w:val="00DB5882"/>
    <w:rsid w:val="00DB5A1A"/>
    <w:rsid w:val="00DB5BE4"/>
    <w:rsid w:val="00DB5C37"/>
    <w:rsid w:val="00DB5D9F"/>
    <w:rsid w:val="00DB6027"/>
    <w:rsid w:val="00DB627B"/>
    <w:rsid w:val="00DB628D"/>
    <w:rsid w:val="00DB62EB"/>
    <w:rsid w:val="00DB644C"/>
    <w:rsid w:val="00DB66BA"/>
    <w:rsid w:val="00DB68B6"/>
    <w:rsid w:val="00DB6BBE"/>
    <w:rsid w:val="00DB6CBB"/>
    <w:rsid w:val="00DB725C"/>
    <w:rsid w:val="00DB7433"/>
    <w:rsid w:val="00DB7520"/>
    <w:rsid w:val="00DB7532"/>
    <w:rsid w:val="00DB768D"/>
    <w:rsid w:val="00DB76F4"/>
    <w:rsid w:val="00DB78B0"/>
    <w:rsid w:val="00DB79AD"/>
    <w:rsid w:val="00DB7AC7"/>
    <w:rsid w:val="00DB7FDA"/>
    <w:rsid w:val="00DBEF2D"/>
    <w:rsid w:val="00DC018E"/>
    <w:rsid w:val="00DC019A"/>
    <w:rsid w:val="00DC01D6"/>
    <w:rsid w:val="00DC03FE"/>
    <w:rsid w:val="00DC042B"/>
    <w:rsid w:val="00DC0497"/>
    <w:rsid w:val="00DC0519"/>
    <w:rsid w:val="00DC05FD"/>
    <w:rsid w:val="00DC0608"/>
    <w:rsid w:val="00DC0652"/>
    <w:rsid w:val="00DC07F9"/>
    <w:rsid w:val="00DC09B4"/>
    <w:rsid w:val="00DC0A37"/>
    <w:rsid w:val="00DC0A67"/>
    <w:rsid w:val="00DC0BFD"/>
    <w:rsid w:val="00DC0C0F"/>
    <w:rsid w:val="00DC0E40"/>
    <w:rsid w:val="00DC0E6E"/>
    <w:rsid w:val="00DC0FA7"/>
    <w:rsid w:val="00DC1110"/>
    <w:rsid w:val="00DC1419"/>
    <w:rsid w:val="00DC14C4"/>
    <w:rsid w:val="00DC15BD"/>
    <w:rsid w:val="00DC164F"/>
    <w:rsid w:val="00DC1730"/>
    <w:rsid w:val="00DC178F"/>
    <w:rsid w:val="00DC1890"/>
    <w:rsid w:val="00DC1AE3"/>
    <w:rsid w:val="00DC1C58"/>
    <w:rsid w:val="00DC1C5F"/>
    <w:rsid w:val="00DC1CC9"/>
    <w:rsid w:val="00DC1CF1"/>
    <w:rsid w:val="00DC1E57"/>
    <w:rsid w:val="00DC2013"/>
    <w:rsid w:val="00DC2064"/>
    <w:rsid w:val="00DC21CF"/>
    <w:rsid w:val="00DC22D2"/>
    <w:rsid w:val="00DC24B6"/>
    <w:rsid w:val="00DC24C9"/>
    <w:rsid w:val="00DC26E7"/>
    <w:rsid w:val="00DC27C6"/>
    <w:rsid w:val="00DC27E3"/>
    <w:rsid w:val="00DC29FD"/>
    <w:rsid w:val="00DC2A6A"/>
    <w:rsid w:val="00DC2B59"/>
    <w:rsid w:val="00DC2DB3"/>
    <w:rsid w:val="00DC2E01"/>
    <w:rsid w:val="00DC2EEB"/>
    <w:rsid w:val="00DC307B"/>
    <w:rsid w:val="00DC316C"/>
    <w:rsid w:val="00DC324D"/>
    <w:rsid w:val="00DC32AE"/>
    <w:rsid w:val="00DC33C3"/>
    <w:rsid w:val="00DC343B"/>
    <w:rsid w:val="00DC357D"/>
    <w:rsid w:val="00DC36AB"/>
    <w:rsid w:val="00DC36BA"/>
    <w:rsid w:val="00DC376A"/>
    <w:rsid w:val="00DC38D7"/>
    <w:rsid w:val="00DC3959"/>
    <w:rsid w:val="00DC399D"/>
    <w:rsid w:val="00DC3A41"/>
    <w:rsid w:val="00DC3C45"/>
    <w:rsid w:val="00DC3DD8"/>
    <w:rsid w:val="00DC3EB6"/>
    <w:rsid w:val="00DC3FE2"/>
    <w:rsid w:val="00DC4034"/>
    <w:rsid w:val="00DC4372"/>
    <w:rsid w:val="00DC4444"/>
    <w:rsid w:val="00DC4449"/>
    <w:rsid w:val="00DC448B"/>
    <w:rsid w:val="00DC4561"/>
    <w:rsid w:val="00DC461E"/>
    <w:rsid w:val="00DC462F"/>
    <w:rsid w:val="00DC4692"/>
    <w:rsid w:val="00DC481E"/>
    <w:rsid w:val="00DC499A"/>
    <w:rsid w:val="00DC49F3"/>
    <w:rsid w:val="00DC4AC2"/>
    <w:rsid w:val="00DC4BC9"/>
    <w:rsid w:val="00DC4DA8"/>
    <w:rsid w:val="00DC4E0E"/>
    <w:rsid w:val="00DC4EA0"/>
    <w:rsid w:val="00DC4EBB"/>
    <w:rsid w:val="00DC5075"/>
    <w:rsid w:val="00DC513D"/>
    <w:rsid w:val="00DC5197"/>
    <w:rsid w:val="00DC52D6"/>
    <w:rsid w:val="00DC5324"/>
    <w:rsid w:val="00DC54DB"/>
    <w:rsid w:val="00DC54EB"/>
    <w:rsid w:val="00DC584B"/>
    <w:rsid w:val="00DC58E4"/>
    <w:rsid w:val="00DC5968"/>
    <w:rsid w:val="00DC5E28"/>
    <w:rsid w:val="00DC5E97"/>
    <w:rsid w:val="00DC5EF4"/>
    <w:rsid w:val="00DC60F3"/>
    <w:rsid w:val="00DC62E3"/>
    <w:rsid w:val="00DC6515"/>
    <w:rsid w:val="00DC659D"/>
    <w:rsid w:val="00DC6634"/>
    <w:rsid w:val="00DC663F"/>
    <w:rsid w:val="00DC6757"/>
    <w:rsid w:val="00DC6B89"/>
    <w:rsid w:val="00DC6B97"/>
    <w:rsid w:val="00DC6C8A"/>
    <w:rsid w:val="00DC6DB3"/>
    <w:rsid w:val="00DC6EC9"/>
    <w:rsid w:val="00DC6F3A"/>
    <w:rsid w:val="00DC712A"/>
    <w:rsid w:val="00DC7192"/>
    <w:rsid w:val="00DC726B"/>
    <w:rsid w:val="00DC72B7"/>
    <w:rsid w:val="00DC72F7"/>
    <w:rsid w:val="00DC741D"/>
    <w:rsid w:val="00DC763C"/>
    <w:rsid w:val="00DC7686"/>
    <w:rsid w:val="00DC76AE"/>
    <w:rsid w:val="00DC78B2"/>
    <w:rsid w:val="00DC78C8"/>
    <w:rsid w:val="00DC7A4C"/>
    <w:rsid w:val="00DC7CBB"/>
    <w:rsid w:val="00DC7D78"/>
    <w:rsid w:val="00DC7DB6"/>
    <w:rsid w:val="00DD0129"/>
    <w:rsid w:val="00DD02BA"/>
    <w:rsid w:val="00DD0415"/>
    <w:rsid w:val="00DD04D4"/>
    <w:rsid w:val="00DD04DA"/>
    <w:rsid w:val="00DD0602"/>
    <w:rsid w:val="00DD06BA"/>
    <w:rsid w:val="00DD084C"/>
    <w:rsid w:val="00DD0853"/>
    <w:rsid w:val="00DD0877"/>
    <w:rsid w:val="00DD08A6"/>
    <w:rsid w:val="00DD0932"/>
    <w:rsid w:val="00DD0AFD"/>
    <w:rsid w:val="00DD0BCF"/>
    <w:rsid w:val="00DD0DCA"/>
    <w:rsid w:val="00DD0F3F"/>
    <w:rsid w:val="00DD1004"/>
    <w:rsid w:val="00DD100A"/>
    <w:rsid w:val="00DD10F9"/>
    <w:rsid w:val="00DD121D"/>
    <w:rsid w:val="00DD12B9"/>
    <w:rsid w:val="00DD13A9"/>
    <w:rsid w:val="00DD14B9"/>
    <w:rsid w:val="00DD16C9"/>
    <w:rsid w:val="00DD18F6"/>
    <w:rsid w:val="00DD1AB1"/>
    <w:rsid w:val="00DD1ADA"/>
    <w:rsid w:val="00DD1BC2"/>
    <w:rsid w:val="00DD1D1C"/>
    <w:rsid w:val="00DD20C7"/>
    <w:rsid w:val="00DD2217"/>
    <w:rsid w:val="00DD2262"/>
    <w:rsid w:val="00DD240D"/>
    <w:rsid w:val="00DD2442"/>
    <w:rsid w:val="00DD24A7"/>
    <w:rsid w:val="00DD253B"/>
    <w:rsid w:val="00DD2696"/>
    <w:rsid w:val="00DD2864"/>
    <w:rsid w:val="00DD2A94"/>
    <w:rsid w:val="00DD2B1C"/>
    <w:rsid w:val="00DD2CBE"/>
    <w:rsid w:val="00DD2CE4"/>
    <w:rsid w:val="00DD2E65"/>
    <w:rsid w:val="00DD2E94"/>
    <w:rsid w:val="00DD327B"/>
    <w:rsid w:val="00DD3462"/>
    <w:rsid w:val="00DD3533"/>
    <w:rsid w:val="00DD370A"/>
    <w:rsid w:val="00DD3777"/>
    <w:rsid w:val="00DD37AA"/>
    <w:rsid w:val="00DD38E3"/>
    <w:rsid w:val="00DD3B3F"/>
    <w:rsid w:val="00DD3DC6"/>
    <w:rsid w:val="00DD3F39"/>
    <w:rsid w:val="00DD40EC"/>
    <w:rsid w:val="00DD436E"/>
    <w:rsid w:val="00DD43A5"/>
    <w:rsid w:val="00DD4462"/>
    <w:rsid w:val="00DD4667"/>
    <w:rsid w:val="00DD46FC"/>
    <w:rsid w:val="00DD478A"/>
    <w:rsid w:val="00DD4798"/>
    <w:rsid w:val="00DD4938"/>
    <w:rsid w:val="00DD4A04"/>
    <w:rsid w:val="00DD4A37"/>
    <w:rsid w:val="00DD4A77"/>
    <w:rsid w:val="00DD4E34"/>
    <w:rsid w:val="00DD517C"/>
    <w:rsid w:val="00DD5238"/>
    <w:rsid w:val="00DD5309"/>
    <w:rsid w:val="00DD53EC"/>
    <w:rsid w:val="00DD5450"/>
    <w:rsid w:val="00DD54D5"/>
    <w:rsid w:val="00DD5865"/>
    <w:rsid w:val="00DD5A66"/>
    <w:rsid w:val="00DD5D68"/>
    <w:rsid w:val="00DD5EF4"/>
    <w:rsid w:val="00DD604A"/>
    <w:rsid w:val="00DD6262"/>
    <w:rsid w:val="00DD63B8"/>
    <w:rsid w:val="00DD647C"/>
    <w:rsid w:val="00DD64D7"/>
    <w:rsid w:val="00DD66C3"/>
    <w:rsid w:val="00DD684D"/>
    <w:rsid w:val="00DD6856"/>
    <w:rsid w:val="00DD68C5"/>
    <w:rsid w:val="00DD69AC"/>
    <w:rsid w:val="00DD69E3"/>
    <w:rsid w:val="00DD6A21"/>
    <w:rsid w:val="00DD6AB6"/>
    <w:rsid w:val="00DD6AEC"/>
    <w:rsid w:val="00DD6C28"/>
    <w:rsid w:val="00DD6CDB"/>
    <w:rsid w:val="00DD6ED8"/>
    <w:rsid w:val="00DD72E5"/>
    <w:rsid w:val="00DD74BE"/>
    <w:rsid w:val="00DD7598"/>
    <w:rsid w:val="00DD77A0"/>
    <w:rsid w:val="00DD7808"/>
    <w:rsid w:val="00DD7A98"/>
    <w:rsid w:val="00DD7BCD"/>
    <w:rsid w:val="00DD7D24"/>
    <w:rsid w:val="00DD7FDA"/>
    <w:rsid w:val="00DE000E"/>
    <w:rsid w:val="00DE0099"/>
    <w:rsid w:val="00DE00E2"/>
    <w:rsid w:val="00DE0127"/>
    <w:rsid w:val="00DE014B"/>
    <w:rsid w:val="00DE02F2"/>
    <w:rsid w:val="00DE0314"/>
    <w:rsid w:val="00DE0315"/>
    <w:rsid w:val="00DE0331"/>
    <w:rsid w:val="00DE035D"/>
    <w:rsid w:val="00DE0509"/>
    <w:rsid w:val="00DE0575"/>
    <w:rsid w:val="00DE05DA"/>
    <w:rsid w:val="00DE0A1F"/>
    <w:rsid w:val="00DE0ADC"/>
    <w:rsid w:val="00DE0AE3"/>
    <w:rsid w:val="00DE0B15"/>
    <w:rsid w:val="00DE0BB3"/>
    <w:rsid w:val="00DE0C4F"/>
    <w:rsid w:val="00DE0D6A"/>
    <w:rsid w:val="00DE0DA2"/>
    <w:rsid w:val="00DE1188"/>
    <w:rsid w:val="00DE1519"/>
    <w:rsid w:val="00DE158D"/>
    <w:rsid w:val="00DE1685"/>
    <w:rsid w:val="00DE18A7"/>
    <w:rsid w:val="00DE1A54"/>
    <w:rsid w:val="00DE1D7D"/>
    <w:rsid w:val="00DE1FD7"/>
    <w:rsid w:val="00DE20AF"/>
    <w:rsid w:val="00DE2132"/>
    <w:rsid w:val="00DE218C"/>
    <w:rsid w:val="00DE21C1"/>
    <w:rsid w:val="00DE22A9"/>
    <w:rsid w:val="00DE2357"/>
    <w:rsid w:val="00DE241C"/>
    <w:rsid w:val="00DE246B"/>
    <w:rsid w:val="00DE24FF"/>
    <w:rsid w:val="00DE27E4"/>
    <w:rsid w:val="00DE28BE"/>
    <w:rsid w:val="00DE290F"/>
    <w:rsid w:val="00DE2A9F"/>
    <w:rsid w:val="00DE2B6A"/>
    <w:rsid w:val="00DE2BD1"/>
    <w:rsid w:val="00DE2BE7"/>
    <w:rsid w:val="00DE2CB8"/>
    <w:rsid w:val="00DE2CC5"/>
    <w:rsid w:val="00DE2D22"/>
    <w:rsid w:val="00DE2E00"/>
    <w:rsid w:val="00DE2EAB"/>
    <w:rsid w:val="00DE2EFB"/>
    <w:rsid w:val="00DE2F6A"/>
    <w:rsid w:val="00DE335D"/>
    <w:rsid w:val="00DE3368"/>
    <w:rsid w:val="00DE33B1"/>
    <w:rsid w:val="00DE3532"/>
    <w:rsid w:val="00DE35A0"/>
    <w:rsid w:val="00DE379A"/>
    <w:rsid w:val="00DE38B0"/>
    <w:rsid w:val="00DE38CB"/>
    <w:rsid w:val="00DE3AF2"/>
    <w:rsid w:val="00DE3B16"/>
    <w:rsid w:val="00DE3B8F"/>
    <w:rsid w:val="00DE3FDC"/>
    <w:rsid w:val="00DE4235"/>
    <w:rsid w:val="00DE4281"/>
    <w:rsid w:val="00DE433B"/>
    <w:rsid w:val="00DE43B6"/>
    <w:rsid w:val="00DE4632"/>
    <w:rsid w:val="00DE4659"/>
    <w:rsid w:val="00DE4692"/>
    <w:rsid w:val="00DE46D4"/>
    <w:rsid w:val="00DE490B"/>
    <w:rsid w:val="00DE4A57"/>
    <w:rsid w:val="00DE4BD1"/>
    <w:rsid w:val="00DE4C23"/>
    <w:rsid w:val="00DE4E9C"/>
    <w:rsid w:val="00DE4EB8"/>
    <w:rsid w:val="00DE4F81"/>
    <w:rsid w:val="00DE5096"/>
    <w:rsid w:val="00DE523B"/>
    <w:rsid w:val="00DE54B1"/>
    <w:rsid w:val="00DE54EE"/>
    <w:rsid w:val="00DE5681"/>
    <w:rsid w:val="00DE5795"/>
    <w:rsid w:val="00DE5942"/>
    <w:rsid w:val="00DE594D"/>
    <w:rsid w:val="00DE5A13"/>
    <w:rsid w:val="00DE5A1C"/>
    <w:rsid w:val="00DE5B8B"/>
    <w:rsid w:val="00DE5BB6"/>
    <w:rsid w:val="00DE5D52"/>
    <w:rsid w:val="00DE5D9A"/>
    <w:rsid w:val="00DE5EA3"/>
    <w:rsid w:val="00DE5F5B"/>
    <w:rsid w:val="00DE600B"/>
    <w:rsid w:val="00DE60CA"/>
    <w:rsid w:val="00DE60D9"/>
    <w:rsid w:val="00DE615F"/>
    <w:rsid w:val="00DE64A5"/>
    <w:rsid w:val="00DE6540"/>
    <w:rsid w:val="00DE6706"/>
    <w:rsid w:val="00DE672C"/>
    <w:rsid w:val="00DE67E5"/>
    <w:rsid w:val="00DE69AE"/>
    <w:rsid w:val="00DE69B3"/>
    <w:rsid w:val="00DE6B78"/>
    <w:rsid w:val="00DE6B9A"/>
    <w:rsid w:val="00DE6BAC"/>
    <w:rsid w:val="00DE6BCC"/>
    <w:rsid w:val="00DE6D14"/>
    <w:rsid w:val="00DE6DD3"/>
    <w:rsid w:val="00DE713D"/>
    <w:rsid w:val="00DE7290"/>
    <w:rsid w:val="00DE7713"/>
    <w:rsid w:val="00DE7C50"/>
    <w:rsid w:val="00DE7EB7"/>
    <w:rsid w:val="00DF001D"/>
    <w:rsid w:val="00DF0106"/>
    <w:rsid w:val="00DF0130"/>
    <w:rsid w:val="00DF01B6"/>
    <w:rsid w:val="00DF02F2"/>
    <w:rsid w:val="00DF0326"/>
    <w:rsid w:val="00DF0454"/>
    <w:rsid w:val="00DF059C"/>
    <w:rsid w:val="00DF06B3"/>
    <w:rsid w:val="00DF06F8"/>
    <w:rsid w:val="00DF079C"/>
    <w:rsid w:val="00DF0865"/>
    <w:rsid w:val="00DF0E51"/>
    <w:rsid w:val="00DF1099"/>
    <w:rsid w:val="00DF132F"/>
    <w:rsid w:val="00DF157B"/>
    <w:rsid w:val="00DF1705"/>
    <w:rsid w:val="00DF1ACC"/>
    <w:rsid w:val="00DF1E95"/>
    <w:rsid w:val="00DF205A"/>
    <w:rsid w:val="00DF219F"/>
    <w:rsid w:val="00DF21F8"/>
    <w:rsid w:val="00DF228F"/>
    <w:rsid w:val="00DF2620"/>
    <w:rsid w:val="00DF2637"/>
    <w:rsid w:val="00DF2715"/>
    <w:rsid w:val="00DF2739"/>
    <w:rsid w:val="00DF2869"/>
    <w:rsid w:val="00DF28F1"/>
    <w:rsid w:val="00DF2D2F"/>
    <w:rsid w:val="00DF2EC8"/>
    <w:rsid w:val="00DF2F69"/>
    <w:rsid w:val="00DF2F84"/>
    <w:rsid w:val="00DF3058"/>
    <w:rsid w:val="00DF3375"/>
    <w:rsid w:val="00DF3385"/>
    <w:rsid w:val="00DF33D3"/>
    <w:rsid w:val="00DF3632"/>
    <w:rsid w:val="00DF36AC"/>
    <w:rsid w:val="00DF36D7"/>
    <w:rsid w:val="00DF37F1"/>
    <w:rsid w:val="00DF3983"/>
    <w:rsid w:val="00DF3D08"/>
    <w:rsid w:val="00DF3D38"/>
    <w:rsid w:val="00DF3D60"/>
    <w:rsid w:val="00DF3E06"/>
    <w:rsid w:val="00DF4344"/>
    <w:rsid w:val="00DF45D0"/>
    <w:rsid w:val="00DF4626"/>
    <w:rsid w:val="00DF48DF"/>
    <w:rsid w:val="00DF48E4"/>
    <w:rsid w:val="00DF495A"/>
    <w:rsid w:val="00DF4963"/>
    <w:rsid w:val="00DF4A94"/>
    <w:rsid w:val="00DF55B0"/>
    <w:rsid w:val="00DF56F2"/>
    <w:rsid w:val="00DF5723"/>
    <w:rsid w:val="00DF592B"/>
    <w:rsid w:val="00DF5A43"/>
    <w:rsid w:val="00DF5AC7"/>
    <w:rsid w:val="00DF5B6E"/>
    <w:rsid w:val="00DF5D29"/>
    <w:rsid w:val="00DF5E46"/>
    <w:rsid w:val="00DF5F05"/>
    <w:rsid w:val="00DF6066"/>
    <w:rsid w:val="00DF630F"/>
    <w:rsid w:val="00DF6321"/>
    <w:rsid w:val="00DF6486"/>
    <w:rsid w:val="00DF64B3"/>
    <w:rsid w:val="00DF64C9"/>
    <w:rsid w:val="00DF64CB"/>
    <w:rsid w:val="00DF65C1"/>
    <w:rsid w:val="00DF6823"/>
    <w:rsid w:val="00DF6BC0"/>
    <w:rsid w:val="00DF6D7E"/>
    <w:rsid w:val="00DF6EFB"/>
    <w:rsid w:val="00DF6EFD"/>
    <w:rsid w:val="00DF707D"/>
    <w:rsid w:val="00DF7530"/>
    <w:rsid w:val="00DF761F"/>
    <w:rsid w:val="00DF77CD"/>
    <w:rsid w:val="00DF7927"/>
    <w:rsid w:val="00DF7930"/>
    <w:rsid w:val="00DF7DA5"/>
    <w:rsid w:val="00DF7E2F"/>
    <w:rsid w:val="00DF7EF1"/>
    <w:rsid w:val="00E0006B"/>
    <w:rsid w:val="00E000FC"/>
    <w:rsid w:val="00E00100"/>
    <w:rsid w:val="00E0022D"/>
    <w:rsid w:val="00E003A0"/>
    <w:rsid w:val="00E003FB"/>
    <w:rsid w:val="00E00405"/>
    <w:rsid w:val="00E00525"/>
    <w:rsid w:val="00E00738"/>
    <w:rsid w:val="00E007A7"/>
    <w:rsid w:val="00E00A4F"/>
    <w:rsid w:val="00E00C39"/>
    <w:rsid w:val="00E00E49"/>
    <w:rsid w:val="00E00FC4"/>
    <w:rsid w:val="00E0100C"/>
    <w:rsid w:val="00E010BB"/>
    <w:rsid w:val="00E012DF"/>
    <w:rsid w:val="00E01300"/>
    <w:rsid w:val="00E01522"/>
    <w:rsid w:val="00E01680"/>
    <w:rsid w:val="00E019BF"/>
    <w:rsid w:val="00E01D8C"/>
    <w:rsid w:val="00E01F1B"/>
    <w:rsid w:val="00E02181"/>
    <w:rsid w:val="00E021C6"/>
    <w:rsid w:val="00E02282"/>
    <w:rsid w:val="00E02441"/>
    <w:rsid w:val="00E02517"/>
    <w:rsid w:val="00E025A2"/>
    <w:rsid w:val="00E025CD"/>
    <w:rsid w:val="00E025CE"/>
    <w:rsid w:val="00E026D4"/>
    <w:rsid w:val="00E026FA"/>
    <w:rsid w:val="00E028A1"/>
    <w:rsid w:val="00E02931"/>
    <w:rsid w:val="00E02947"/>
    <w:rsid w:val="00E02B47"/>
    <w:rsid w:val="00E02D42"/>
    <w:rsid w:val="00E02E10"/>
    <w:rsid w:val="00E0317A"/>
    <w:rsid w:val="00E034A3"/>
    <w:rsid w:val="00E0352D"/>
    <w:rsid w:val="00E037AD"/>
    <w:rsid w:val="00E03939"/>
    <w:rsid w:val="00E03A65"/>
    <w:rsid w:val="00E03A72"/>
    <w:rsid w:val="00E03ABA"/>
    <w:rsid w:val="00E03BE8"/>
    <w:rsid w:val="00E03DA3"/>
    <w:rsid w:val="00E03E70"/>
    <w:rsid w:val="00E03F40"/>
    <w:rsid w:val="00E03F67"/>
    <w:rsid w:val="00E03FA4"/>
    <w:rsid w:val="00E04349"/>
    <w:rsid w:val="00E043DD"/>
    <w:rsid w:val="00E043DE"/>
    <w:rsid w:val="00E0446C"/>
    <w:rsid w:val="00E0454B"/>
    <w:rsid w:val="00E0486B"/>
    <w:rsid w:val="00E04885"/>
    <w:rsid w:val="00E04904"/>
    <w:rsid w:val="00E04921"/>
    <w:rsid w:val="00E04A88"/>
    <w:rsid w:val="00E04AD2"/>
    <w:rsid w:val="00E04B2B"/>
    <w:rsid w:val="00E04FC9"/>
    <w:rsid w:val="00E054AA"/>
    <w:rsid w:val="00E0577D"/>
    <w:rsid w:val="00E0584F"/>
    <w:rsid w:val="00E058C2"/>
    <w:rsid w:val="00E05A06"/>
    <w:rsid w:val="00E05A83"/>
    <w:rsid w:val="00E05ACD"/>
    <w:rsid w:val="00E05C76"/>
    <w:rsid w:val="00E05CF7"/>
    <w:rsid w:val="00E06171"/>
    <w:rsid w:val="00E061F6"/>
    <w:rsid w:val="00E0623B"/>
    <w:rsid w:val="00E0636C"/>
    <w:rsid w:val="00E06536"/>
    <w:rsid w:val="00E065F3"/>
    <w:rsid w:val="00E06742"/>
    <w:rsid w:val="00E067D6"/>
    <w:rsid w:val="00E06894"/>
    <w:rsid w:val="00E068E7"/>
    <w:rsid w:val="00E06948"/>
    <w:rsid w:val="00E06A05"/>
    <w:rsid w:val="00E06B25"/>
    <w:rsid w:val="00E06D7F"/>
    <w:rsid w:val="00E06EF0"/>
    <w:rsid w:val="00E06F23"/>
    <w:rsid w:val="00E0703E"/>
    <w:rsid w:val="00E07090"/>
    <w:rsid w:val="00E070CB"/>
    <w:rsid w:val="00E07117"/>
    <w:rsid w:val="00E07230"/>
    <w:rsid w:val="00E07277"/>
    <w:rsid w:val="00E07325"/>
    <w:rsid w:val="00E07458"/>
    <w:rsid w:val="00E074BB"/>
    <w:rsid w:val="00E07A71"/>
    <w:rsid w:val="00E07B99"/>
    <w:rsid w:val="00E07BFF"/>
    <w:rsid w:val="00E07C2D"/>
    <w:rsid w:val="00E07EA5"/>
    <w:rsid w:val="00E1009C"/>
    <w:rsid w:val="00E1019B"/>
    <w:rsid w:val="00E101EF"/>
    <w:rsid w:val="00E10473"/>
    <w:rsid w:val="00E10584"/>
    <w:rsid w:val="00E1058D"/>
    <w:rsid w:val="00E10800"/>
    <w:rsid w:val="00E108C1"/>
    <w:rsid w:val="00E108D0"/>
    <w:rsid w:val="00E10A64"/>
    <w:rsid w:val="00E10DA6"/>
    <w:rsid w:val="00E10DAB"/>
    <w:rsid w:val="00E10E98"/>
    <w:rsid w:val="00E10FA3"/>
    <w:rsid w:val="00E11637"/>
    <w:rsid w:val="00E1167B"/>
    <w:rsid w:val="00E116E8"/>
    <w:rsid w:val="00E118D1"/>
    <w:rsid w:val="00E118DE"/>
    <w:rsid w:val="00E11904"/>
    <w:rsid w:val="00E11AD0"/>
    <w:rsid w:val="00E11D5F"/>
    <w:rsid w:val="00E11E9B"/>
    <w:rsid w:val="00E11E9E"/>
    <w:rsid w:val="00E11EFD"/>
    <w:rsid w:val="00E12105"/>
    <w:rsid w:val="00E12256"/>
    <w:rsid w:val="00E122DF"/>
    <w:rsid w:val="00E1231C"/>
    <w:rsid w:val="00E1241E"/>
    <w:rsid w:val="00E12629"/>
    <w:rsid w:val="00E1290D"/>
    <w:rsid w:val="00E12958"/>
    <w:rsid w:val="00E12B1F"/>
    <w:rsid w:val="00E12BB6"/>
    <w:rsid w:val="00E12CAB"/>
    <w:rsid w:val="00E12D60"/>
    <w:rsid w:val="00E12E1E"/>
    <w:rsid w:val="00E12F64"/>
    <w:rsid w:val="00E1305A"/>
    <w:rsid w:val="00E1305C"/>
    <w:rsid w:val="00E1327A"/>
    <w:rsid w:val="00E132A1"/>
    <w:rsid w:val="00E133D1"/>
    <w:rsid w:val="00E1340E"/>
    <w:rsid w:val="00E134DE"/>
    <w:rsid w:val="00E13840"/>
    <w:rsid w:val="00E1396A"/>
    <w:rsid w:val="00E13AE3"/>
    <w:rsid w:val="00E13E3E"/>
    <w:rsid w:val="00E13EDA"/>
    <w:rsid w:val="00E13F5A"/>
    <w:rsid w:val="00E13FE0"/>
    <w:rsid w:val="00E14141"/>
    <w:rsid w:val="00E14183"/>
    <w:rsid w:val="00E141BD"/>
    <w:rsid w:val="00E141C1"/>
    <w:rsid w:val="00E14239"/>
    <w:rsid w:val="00E142B5"/>
    <w:rsid w:val="00E14330"/>
    <w:rsid w:val="00E1438F"/>
    <w:rsid w:val="00E145F2"/>
    <w:rsid w:val="00E14804"/>
    <w:rsid w:val="00E14833"/>
    <w:rsid w:val="00E14929"/>
    <w:rsid w:val="00E149D4"/>
    <w:rsid w:val="00E14D9F"/>
    <w:rsid w:val="00E14EC2"/>
    <w:rsid w:val="00E1503B"/>
    <w:rsid w:val="00E15173"/>
    <w:rsid w:val="00E153D5"/>
    <w:rsid w:val="00E15410"/>
    <w:rsid w:val="00E1547B"/>
    <w:rsid w:val="00E15495"/>
    <w:rsid w:val="00E15529"/>
    <w:rsid w:val="00E15706"/>
    <w:rsid w:val="00E15756"/>
    <w:rsid w:val="00E15AB3"/>
    <w:rsid w:val="00E15C89"/>
    <w:rsid w:val="00E15CA0"/>
    <w:rsid w:val="00E15ED3"/>
    <w:rsid w:val="00E15F64"/>
    <w:rsid w:val="00E15F93"/>
    <w:rsid w:val="00E16031"/>
    <w:rsid w:val="00E16111"/>
    <w:rsid w:val="00E16126"/>
    <w:rsid w:val="00E161BA"/>
    <w:rsid w:val="00E162D4"/>
    <w:rsid w:val="00E1630C"/>
    <w:rsid w:val="00E1644C"/>
    <w:rsid w:val="00E164C7"/>
    <w:rsid w:val="00E16632"/>
    <w:rsid w:val="00E1675F"/>
    <w:rsid w:val="00E16A9F"/>
    <w:rsid w:val="00E16D42"/>
    <w:rsid w:val="00E16DDD"/>
    <w:rsid w:val="00E16E08"/>
    <w:rsid w:val="00E16E0A"/>
    <w:rsid w:val="00E16F86"/>
    <w:rsid w:val="00E1702E"/>
    <w:rsid w:val="00E1714F"/>
    <w:rsid w:val="00E17266"/>
    <w:rsid w:val="00E17285"/>
    <w:rsid w:val="00E172B4"/>
    <w:rsid w:val="00E17624"/>
    <w:rsid w:val="00E177B4"/>
    <w:rsid w:val="00E17A29"/>
    <w:rsid w:val="00E17A4A"/>
    <w:rsid w:val="00E17D05"/>
    <w:rsid w:val="00E17D72"/>
    <w:rsid w:val="00E17EA1"/>
    <w:rsid w:val="00E17F55"/>
    <w:rsid w:val="00E20384"/>
    <w:rsid w:val="00E2061C"/>
    <w:rsid w:val="00E20A69"/>
    <w:rsid w:val="00E20CBB"/>
    <w:rsid w:val="00E20D69"/>
    <w:rsid w:val="00E20FB4"/>
    <w:rsid w:val="00E20FF7"/>
    <w:rsid w:val="00E210A2"/>
    <w:rsid w:val="00E210F4"/>
    <w:rsid w:val="00E21134"/>
    <w:rsid w:val="00E21206"/>
    <w:rsid w:val="00E2129F"/>
    <w:rsid w:val="00E213E1"/>
    <w:rsid w:val="00E21400"/>
    <w:rsid w:val="00E2140E"/>
    <w:rsid w:val="00E214E1"/>
    <w:rsid w:val="00E21522"/>
    <w:rsid w:val="00E216A2"/>
    <w:rsid w:val="00E21731"/>
    <w:rsid w:val="00E2174F"/>
    <w:rsid w:val="00E21B7C"/>
    <w:rsid w:val="00E21D0E"/>
    <w:rsid w:val="00E22276"/>
    <w:rsid w:val="00E22381"/>
    <w:rsid w:val="00E2252C"/>
    <w:rsid w:val="00E22581"/>
    <w:rsid w:val="00E2276D"/>
    <w:rsid w:val="00E227DF"/>
    <w:rsid w:val="00E2284B"/>
    <w:rsid w:val="00E22965"/>
    <w:rsid w:val="00E22B08"/>
    <w:rsid w:val="00E22B6B"/>
    <w:rsid w:val="00E22CC8"/>
    <w:rsid w:val="00E22CD6"/>
    <w:rsid w:val="00E230B1"/>
    <w:rsid w:val="00E23214"/>
    <w:rsid w:val="00E232AE"/>
    <w:rsid w:val="00E23660"/>
    <w:rsid w:val="00E238AF"/>
    <w:rsid w:val="00E238B0"/>
    <w:rsid w:val="00E23B22"/>
    <w:rsid w:val="00E23C8D"/>
    <w:rsid w:val="00E23DB3"/>
    <w:rsid w:val="00E23E77"/>
    <w:rsid w:val="00E23FAE"/>
    <w:rsid w:val="00E24147"/>
    <w:rsid w:val="00E24219"/>
    <w:rsid w:val="00E24399"/>
    <w:rsid w:val="00E2441B"/>
    <w:rsid w:val="00E24583"/>
    <w:rsid w:val="00E245E1"/>
    <w:rsid w:val="00E24645"/>
    <w:rsid w:val="00E2464E"/>
    <w:rsid w:val="00E24742"/>
    <w:rsid w:val="00E24943"/>
    <w:rsid w:val="00E2498A"/>
    <w:rsid w:val="00E24BD5"/>
    <w:rsid w:val="00E24C13"/>
    <w:rsid w:val="00E24DF7"/>
    <w:rsid w:val="00E24FA3"/>
    <w:rsid w:val="00E252E3"/>
    <w:rsid w:val="00E25414"/>
    <w:rsid w:val="00E254DD"/>
    <w:rsid w:val="00E25525"/>
    <w:rsid w:val="00E255F7"/>
    <w:rsid w:val="00E25728"/>
    <w:rsid w:val="00E25743"/>
    <w:rsid w:val="00E2589C"/>
    <w:rsid w:val="00E25A78"/>
    <w:rsid w:val="00E262D4"/>
    <w:rsid w:val="00E2647A"/>
    <w:rsid w:val="00E26602"/>
    <w:rsid w:val="00E26B28"/>
    <w:rsid w:val="00E26D00"/>
    <w:rsid w:val="00E26D7C"/>
    <w:rsid w:val="00E26DA7"/>
    <w:rsid w:val="00E2710C"/>
    <w:rsid w:val="00E273A6"/>
    <w:rsid w:val="00E27734"/>
    <w:rsid w:val="00E278CD"/>
    <w:rsid w:val="00E2791F"/>
    <w:rsid w:val="00E27B98"/>
    <w:rsid w:val="00E27B9A"/>
    <w:rsid w:val="00E27C8A"/>
    <w:rsid w:val="00E27DF2"/>
    <w:rsid w:val="00E27E76"/>
    <w:rsid w:val="00E27E94"/>
    <w:rsid w:val="00E30118"/>
    <w:rsid w:val="00E3016C"/>
    <w:rsid w:val="00E30197"/>
    <w:rsid w:val="00E3029A"/>
    <w:rsid w:val="00E304B5"/>
    <w:rsid w:val="00E307CE"/>
    <w:rsid w:val="00E30823"/>
    <w:rsid w:val="00E3085B"/>
    <w:rsid w:val="00E30A59"/>
    <w:rsid w:val="00E30CB6"/>
    <w:rsid w:val="00E30E4C"/>
    <w:rsid w:val="00E30F29"/>
    <w:rsid w:val="00E30FF8"/>
    <w:rsid w:val="00E31045"/>
    <w:rsid w:val="00E31066"/>
    <w:rsid w:val="00E31302"/>
    <w:rsid w:val="00E31347"/>
    <w:rsid w:val="00E3144B"/>
    <w:rsid w:val="00E31465"/>
    <w:rsid w:val="00E31570"/>
    <w:rsid w:val="00E316F0"/>
    <w:rsid w:val="00E31782"/>
    <w:rsid w:val="00E317A1"/>
    <w:rsid w:val="00E3182D"/>
    <w:rsid w:val="00E31928"/>
    <w:rsid w:val="00E31B22"/>
    <w:rsid w:val="00E31E2D"/>
    <w:rsid w:val="00E32436"/>
    <w:rsid w:val="00E324CF"/>
    <w:rsid w:val="00E324ED"/>
    <w:rsid w:val="00E32532"/>
    <w:rsid w:val="00E326E6"/>
    <w:rsid w:val="00E3274D"/>
    <w:rsid w:val="00E32824"/>
    <w:rsid w:val="00E328CD"/>
    <w:rsid w:val="00E328E7"/>
    <w:rsid w:val="00E32991"/>
    <w:rsid w:val="00E329D6"/>
    <w:rsid w:val="00E32A43"/>
    <w:rsid w:val="00E32A71"/>
    <w:rsid w:val="00E32E0C"/>
    <w:rsid w:val="00E32F08"/>
    <w:rsid w:val="00E33004"/>
    <w:rsid w:val="00E33060"/>
    <w:rsid w:val="00E331B9"/>
    <w:rsid w:val="00E331E2"/>
    <w:rsid w:val="00E33215"/>
    <w:rsid w:val="00E33380"/>
    <w:rsid w:val="00E333DB"/>
    <w:rsid w:val="00E335D9"/>
    <w:rsid w:val="00E33805"/>
    <w:rsid w:val="00E33AFD"/>
    <w:rsid w:val="00E33B4F"/>
    <w:rsid w:val="00E33F06"/>
    <w:rsid w:val="00E33FE4"/>
    <w:rsid w:val="00E34041"/>
    <w:rsid w:val="00E340A2"/>
    <w:rsid w:val="00E3434C"/>
    <w:rsid w:val="00E34481"/>
    <w:rsid w:val="00E3489E"/>
    <w:rsid w:val="00E349D0"/>
    <w:rsid w:val="00E34E5E"/>
    <w:rsid w:val="00E34F5E"/>
    <w:rsid w:val="00E34FBA"/>
    <w:rsid w:val="00E35032"/>
    <w:rsid w:val="00E350F1"/>
    <w:rsid w:val="00E351C9"/>
    <w:rsid w:val="00E352BD"/>
    <w:rsid w:val="00E3546C"/>
    <w:rsid w:val="00E35528"/>
    <w:rsid w:val="00E35553"/>
    <w:rsid w:val="00E35573"/>
    <w:rsid w:val="00E355EE"/>
    <w:rsid w:val="00E35AF4"/>
    <w:rsid w:val="00E35B7F"/>
    <w:rsid w:val="00E36047"/>
    <w:rsid w:val="00E362F0"/>
    <w:rsid w:val="00E364A5"/>
    <w:rsid w:val="00E367B6"/>
    <w:rsid w:val="00E36962"/>
    <w:rsid w:val="00E36A2E"/>
    <w:rsid w:val="00E36B95"/>
    <w:rsid w:val="00E3718E"/>
    <w:rsid w:val="00E372CD"/>
    <w:rsid w:val="00E373A6"/>
    <w:rsid w:val="00E3745A"/>
    <w:rsid w:val="00E374CE"/>
    <w:rsid w:val="00E374E1"/>
    <w:rsid w:val="00E378EF"/>
    <w:rsid w:val="00E379CB"/>
    <w:rsid w:val="00E37A24"/>
    <w:rsid w:val="00E37CFE"/>
    <w:rsid w:val="00E37E54"/>
    <w:rsid w:val="00E37F9E"/>
    <w:rsid w:val="00E37FA2"/>
    <w:rsid w:val="00E37FDE"/>
    <w:rsid w:val="00E4003F"/>
    <w:rsid w:val="00E40138"/>
    <w:rsid w:val="00E403B3"/>
    <w:rsid w:val="00E405AF"/>
    <w:rsid w:val="00E408C1"/>
    <w:rsid w:val="00E409BC"/>
    <w:rsid w:val="00E40D64"/>
    <w:rsid w:val="00E40D85"/>
    <w:rsid w:val="00E40E03"/>
    <w:rsid w:val="00E41022"/>
    <w:rsid w:val="00E4109F"/>
    <w:rsid w:val="00E410F7"/>
    <w:rsid w:val="00E41345"/>
    <w:rsid w:val="00E415C7"/>
    <w:rsid w:val="00E4174D"/>
    <w:rsid w:val="00E4181F"/>
    <w:rsid w:val="00E418E0"/>
    <w:rsid w:val="00E41B88"/>
    <w:rsid w:val="00E41BE4"/>
    <w:rsid w:val="00E41BF1"/>
    <w:rsid w:val="00E41C73"/>
    <w:rsid w:val="00E41D8E"/>
    <w:rsid w:val="00E42006"/>
    <w:rsid w:val="00E420B6"/>
    <w:rsid w:val="00E42174"/>
    <w:rsid w:val="00E42434"/>
    <w:rsid w:val="00E425D3"/>
    <w:rsid w:val="00E42642"/>
    <w:rsid w:val="00E426B1"/>
    <w:rsid w:val="00E42983"/>
    <w:rsid w:val="00E429C6"/>
    <w:rsid w:val="00E42CB1"/>
    <w:rsid w:val="00E42D43"/>
    <w:rsid w:val="00E42E25"/>
    <w:rsid w:val="00E42E3D"/>
    <w:rsid w:val="00E42F2B"/>
    <w:rsid w:val="00E43067"/>
    <w:rsid w:val="00E432D8"/>
    <w:rsid w:val="00E43369"/>
    <w:rsid w:val="00E43427"/>
    <w:rsid w:val="00E43602"/>
    <w:rsid w:val="00E4362B"/>
    <w:rsid w:val="00E4363B"/>
    <w:rsid w:val="00E4366B"/>
    <w:rsid w:val="00E436E6"/>
    <w:rsid w:val="00E436F4"/>
    <w:rsid w:val="00E43771"/>
    <w:rsid w:val="00E43C56"/>
    <w:rsid w:val="00E43D4F"/>
    <w:rsid w:val="00E43F11"/>
    <w:rsid w:val="00E44115"/>
    <w:rsid w:val="00E442FF"/>
    <w:rsid w:val="00E44423"/>
    <w:rsid w:val="00E4453F"/>
    <w:rsid w:val="00E445D5"/>
    <w:rsid w:val="00E44714"/>
    <w:rsid w:val="00E44739"/>
    <w:rsid w:val="00E447C2"/>
    <w:rsid w:val="00E4498F"/>
    <w:rsid w:val="00E449DF"/>
    <w:rsid w:val="00E44A1D"/>
    <w:rsid w:val="00E44A7A"/>
    <w:rsid w:val="00E44B47"/>
    <w:rsid w:val="00E44BCD"/>
    <w:rsid w:val="00E44C9E"/>
    <w:rsid w:val="00E44EDC"/>
    <w:rsid w:val="00E44F18"/>
    <w:rsid w:val="00E44F3C"/>
    <w:rsid w:val="00E45090"/>
    <w:rsid w:val="00E450E8"/>
    <w:rsid w:val="00E4554B"/>
    <w:rsid w:val="00E4572A"/>
    <w:rsid w:val="00E457BD"/>
    <w:rsid w:val="00E458F6"/>
    <w:rsid w:val="00E4591D"/>
    <w:rsid w:val="00E45954"/>
    <w:rsid w:val="00E45AB8"/>
    <w:rsid w:val="00E45C17"/>
    <w:rsid w:val="00E45CDB"/>
    <w:rsid w:val="00E45E28"/>
    <w:rsid w:val="00E45ECE"/>
    <w:rsid w:val="00E45F01"/>
    <w:rsid w:val="00E46115"/>
    <w:rsid w:val="00E46130"/>
    <w:rsid w:val="00E461AC"/>
    <w:rsid w:val="00E461B6"/>
    <w:rsid w:val="00E46210"/>
    <w:rsid w:val="00E4629B"/>
    <w:rsid w:val="00E465DB"/>
    <w:rsid w:val="00E46613"/>
    <w:rsid w:val="00E466C5"/>
    <w:rsid w:val="00E46704"/>
    <w:rsid w:val="00E467DB"/>
    <w:rsid w:val="00E4683B"/>
    <w:rsid w:val="00E468D3"/>
    <w:rsid w:val="00E4694E"/>
    <w:rsid w:val="00E46983"/>
    <w:rsid w:val="00E46A5B"/>
    <w:rsid w:val="00E46D13"/>
    <w:rsid w:val="00E46E53"/>
    <w:rsid w:val="00E46FE7"/>
    <w:rsid w:val="00E46FF9"/>
    <w:rsid w:val="00E47036"/>
    <w:rsid w:val="00E47044"/>
    <w:rsid w:val="00E474C1"/>
    <w:rsid w:val="00E474DB"/>
    <w:rsid w:val="00E476BF"/>
    <w:rsid w:val="00E478A4"/>
    <w:rsid w:val="00E47B33"/>
    <w:rsid w:val="00E47CA9"/>
    <w:rsid w:val="00E47DD7"/>
    <w:rsid w:val="00E47F11"/>
    <w:rsid w:val="00E47F98"/>
    <w:rsid w:val="00E5005D"/>
    <w:rsid w:val="00E500D1"/>
    <w:rsid w:val="00E5071C"/>
    <w:rsid w:val="00E50827"/>
    <w:rsid w:val="00E50A8A"/>
    <w:rsid w:val="00E50B33"/>
    <w:rsid w:val="00E50E19"/>
    <w:rsid w:val="00E50ED0"/>
    <w:rsid w:val="00E51130"/>
    <w:rsid w:val="00E511D0"/>
    <w:rsid w:val="00E51408"/>
    <w:rsid w:val="00E5191B"/>
    <w:rsid w:val="00E51A0D"/>
    <w:rsid w:val="00E51A9A"/>
    <w:rsid w:val="00E51AD4"/>
    <w:rsid w:val="00E51ECE"/>
    <w:rsid w:val="00E51F63"/>
    <w:rsid w:val="00E52025"/>
    <w:rsid w:val="00E52127"/>
    <w:rsid w:val="00E52455"/>
    <w:rsid w:val="00E524D0"/>
    <w:rsid w:val="00E5290D"/>
    <w:rsid w:val="00E529A1"/>
    <w:rsid w:val="00E529B0"/>
    <w:rsid w:val="00E52A14"/>
    <w:rsid w:val="00E52A1F"/>
    <w:rsid w:val="00E52C73"/>
    <w:rsid w:val="00E52D4A"/>
    <w:rsid w:val="00E52E3F"/>
    <w:rsid w:val="00E52FDB"/>
    <w:rsid w:val="00E530E8"/>
    <w:rsid w:val="00E530E9"/>
    <w:rsid w:val="00E530EE"/>
    <w:rsid w:val="00E53202"/>
    <w:rsid w:val="00E532F0"/>
    <w:rsid w:val="00E53546"/>
    <w:rsid w:val="00E53771"/>
    <w:rsid w:val="00E53A97"/>
    <w:rsid w:val="00E53B7E"/>
    <w:rsid w:val="00E53D6D"/>
    <w:rsid w:val="00E53E94"/>
    <w:rsid w:val="00E53EDE"/>
    <w:rsid w:val="00E53EF1"/>
    <w:rsid w:val="00E53F94"/>
    <w:rsid w:val="00E53FC8"/>
    <w:rsid w:val="00E53FEA"/>
    <w:rsid w:val="00E5406B"/>
    <w:rsid w:val="00E54270"/>
    <w:rsid w:val="00E54320"/>
    <w:rsid w:val="00E54485"/>
    <w:rsid w:val="00E546A5"/>
    <w:rsid w:val="00E54782"/>
    <w:rsid w:val="00E548C7"/>
    <w:rsid w:val="00E54ABA"/>
    <w:rsid w:val="00E54BAF"/>
    <w:rsid w:val="00E54BDB"/>
    <w:rsid w:val="00E54C54"/>
    <w:rsid w:val="00E54CCC"/>
    <w:rsid w:val="00E552D2"/>
    <w:rsid w:val="00E553EF"/>
    <w:rsid w:val="00E553FD"/>
    <w:rsid w:val="00E55578"/>
    <w:rsid w:val="00E555AA"/>
    <w:rsid w:val="00E55945"/>
    <w:rsid w:val="00E55B3E"/>
    <w:rsid w:val="00E55BB0"/>
    <w:rsid w:val="00E55C2D"/>
    <w:rsid w:val="00E55C70"/>
    <w:rsid w:val="00E55CF8"/>
    <w:rsid w:val="00E55D1F"/>
    <w:rsid w:val="00E55DAD"/>
    <w:rsid w:val="00E55DFA"/>
    <w:rsid w:val="00E55EA6"/>
    <w:rsid w:val="00E55EB2"/>
    <w:rsid w:val="00E55F24"/>
    <w:rsid w:val="00E55FF4"/>
    <w:rsid w:val="00E5624B"/>
    <w:rsid w:val="00E563B9"/>
    <w:rsid w:val="00E56566"/>
    <w:rsid w:val="00E5657E"/>
    <w:rsid w:val="00E56631"/>
    <w:rsid w:val="00E5682A"/>
    <w:rsid w:val="00E5691F"/>
    <w:rsid w:val="00E56E76"/>
    <w:rsid w:val="00E56E84"/>
    <w:rsid w:val="00E56FEF"/>
    <w:rsid w:val="00E56FFD"/>
    <w:rsid w:val="00E5714E"/>
    <w:rsid w:val="00E57290"/>
    <w:rsid w:val="00E57BEB"/>
    <w:rsid w:val="00E57E20"/>
    <w:rsid w:val="00E57E52"/>
    <w:rsid w:val="00E60210"/>
    <w:rsid w:val="00E6036B"/>
    <w:rsid w:val="00E60698"/>
    <w:rsid w:val="00E606AB"/>
    <w:rsid w:val="00E60807"/>
    <w:rsid w:val="00E608AE"/>
    <w:rsid w:val="00E6091A"/>
    <w:rsid w:val="00E609F9"/>
    <w:rsid w:val="00E60A99"/>
    <w:rsid w:val="00E60B49"/>
    <w:rsid w:val="00E60BE1"/>
    <w:rsid w:val="00E60C48"/>
    <w:rsid w:val="00E60DC1"/>
    <w:rsid w:val="00E60E39"/>
    <w:rsid w:val="00E60E95"/>
    <w:rsid w:val="00E610B8"/>
    <w:rsid w:val="00E611AA"/>
    <w:rsid w:val="00E612D7"/>
    <w:rsid w:val="00E6140C"/>
    <w:rsid w:val="00E614F3"/>
    <w:rsid w:val="00E615FE"/>
    <w:rsid w:val="00E616B4"/>
    <w:rsid w:val="00E61772"/>
    <w:rsid w:val="00E618E9"/>
    <w:rsid w:val="00E6191A"/>
    <w:rsid w:val="00E61A14"/>
    <w:rsid w:val="00E61BEA"/>
    <w:rsid w:val="00E61DDE"/>
    <w:rsid w:val="00E61F2D"/>
    <w:rsid w:val="00E62081"/>
    <w:rsid w:val="00E621C4"/>
    <w:rsid w:val="00E621CC"/>
    <w:rsid w:val="00E622E4"/>
    <w:rsid w:val="00E623CC"/>
    <w:rsid w:val="00E62857"/>
    <w:rsid w:val="00E62867"/>
    <w:rsid w:val="00E62AA4"/>
    <w:rsid w:val="00E62CE8"/>
    <w:rsid w:val="00E62E47"/>
    <w:rsid w:val="00E63208"/>
    <w:rsid w:val="00E6325B"/>
    <w:rsid w:val="00E63628"/>
    <w:rsid w:val="00E63695"/>
    <w:rsid w:val="00E63784"/>
    <w:rsid w:val="00E638F7"/>
    <w:rsid w:val="00E6397F"/>
    <w:rsid w:val="00E639FB"/>
    <w:rsid w:val="00E63B19"/>
    <w:rsid w:val="00E63DD3"/>
    <w:rsid w:val="00E63F7D"/>
    <w:rsid w:val="00E642E4"/>
    <w:rsid w:val="00E64476"/>
    <w:rsid w:val="00E64581"/>
    <w:rsid w:val="00E6467E"/>
    <w:rsid w:val="00E646A9"/>
    <w:rsid w:val="00E646AB"/>
    <w:rsid w:val="00E647FF"/>
    <w:rsid w:val="00E648FC"/>
    <w:rsid w:val="00E64C98"/>
    <w:rsid w:val="00E64CAF"/>
    <w:rsid w:val="00E64FFC"/>
    <w:rsid w:val="00E65233"/>
    <w:rsid w:val="00E652BF"/>
    <w:rsid w:val="00E6557E"/>
    <w:rsid w:val="00E657C2"/>
    <w:rsid w:val="00E657F1"/>
    <w:rsid w:val="00E658EE"/>
    <w:rsid w:val="00E65C2D"/>
    <w:rsid w:val="00E65C48"/>
    <w:rsid w:val="00E65C54"/>
    <w:rsid w:val="00E65D58"/>
    <w:rsid w:val="00E65D72"/>
    <w:rsid w:val="00E65DCB"/>
    <w:rsid w:val="00E6609F"/>
    <w:rsid w:val="00E66109"/>
    <w:rsid w:val="00E66204"/>
    <w:rsid w:val="00E6643B"/>
    <w:rsid w:val="00E66484"/>
    <w:rsid w:val="00E664FE"/>
    <w:rsid w:val="00E66537"/>
    <w:rsid w:val="00E665BF"/>
    <w:rsid w:val="00E66646"/>
    <w:rsid w:val="00E666B0"/>
    <w:rsid w:val="00E66744"/>
    <w:rsid w:val="00E6680E"/>
    <w:rsid w:val="00E668E1"/>
    <w:rsid w:val="00E66B14"/>
    <w:rsid w:val="00E66F1F"/>
    <w:rsid w:val="00E66F7C"/>
    <w:rsid w:val="00E66F92"/>
    <w:rsid w:val="00E67039"/>
    <w:rsid w:val="00E670A8"/>
    <w:rsid w:val="00E67192"/>
    <w:rsid w:val="00E67279"/>
    <w:rsid w:val="00E672E2"/>
    <w:rsid w:val="00E67374"/>
    <w:rsid w:val="00E6741A"/>
    <w:rsid w:val="00E67443"/>
    <w:rsid w:val="00E67516"/>
    <w:rsid w:val="00E67553"/>
    <w:rsid w:val="00E67678"/>
    <w:rsid w:val="00E67949"/>
    <w:rsid w:val="00E67DED"/>
    <w:rsid w:val="00E701FB"/>
    <w:rsid w:val="00E7036D"/>
    <w:rsid w:val="00E7059F"/>
    <w:rsid w:val="00E705E8"/>
    <w:rsid w:val="00E7060F"/>
    <w:rsid w:val="00E708EF"/>
    <w:rsid w:val="00E709DF"/>
    <w:rsid w:val="00E70A8A"/>
    <w:rsid w:val="00E70D42"/>
    <w:rsid w:val="00E70DBF"/>
    <w:rsid w:val="00E70ED3"/>
    <w:rsid w:val="00E70EDF"/>
    <w:rsid w:val="00E70F11"/>
    <w:rsid w:val="00E71509"/>
    <w:rsid w:val="00E71570"/>
    <w:rsid w:val="00E7159D"/>
    <w:rsid w:val="00E715BF"/>
    <w:rsid w:val="00E715E3"/>
    <w:rsid w:val="00E71660"/>
    <w:rsid w:val="00E718B0"/>
    <w:rsid w:val="00E718D4"/>
    <w:rsid w:val="00E71982"/>
    <w:rsid w:val="00E71AA3"/>
    <w:rsid w:val="00E71B4E"/>
    <w:rsid w:val="00E71B9C"/>
    <w:rsid w:val="00E71C02"/>
    <w:rsid w:val="00E71C69"/>
    <w:rsid w:val="00E71D47"/>
    <w:rsid w:val="00E71F7C"/>
    <w:rsid w:val="00E722C0"/>
    <w:rsid w:val="00E72324"/>
    <w:rsid w:val="00E72470"/>
    <w:rsid w:val="00E7254E"/>
    <w:rsid w:val="00E72584"/>
    <w:rsid w:val="00E72B22"/>
    <w:rsid w:val="00E72B44"/>
    <w:rsid w:val="00E72B4D"/>
    <w:rsid w:val="00E72FE1"/>
    <w:rsid w:val="00E730AD"/>
    <w:rsid w:val="00E731A3"/>
    <w:rsid w:val="00E731C3"/>
    <w:rsid w:val="00E7323A"/>
    <w:rsid w:val="00E73308"/>
    <w:rsid w:val="00E73349"/>
    <w:rsid w:val="00E73353"/>
    <w:rsid w:val="00E73401"/>
    <w:rsid w:val="00E734DF"/>
    <w:rsid w:val="00E735E4"/>
    <w:rsid w:val="00E736E8"/>
    <w:rsid w:val="00E73A01"/>
    <w:rsid w:val="00E73C3A"/>
    <w:rsid w:val="00E73D68"/>
    <w:rsid w:val="00E7408D"/>
    <w:rsid w:val="00E74134"/>
    <w:rsid w:val="00E7414A"/>
    <w:rsid w:val="00E7438D"/>
    <w:rsid w:val="00E7442E"/>
    <w:rsid w:val="00E74447"/>
    <w:rsid w:val="00E745D9"/>
    <w:rsid w:val="00E74601"/>
    <w:rsid w:val="00E746CF"/>
    <w:rsid w:val="00E747B1"/>
    <w:rsid w:val="00E748AD"/>
    <w:rsid w:val="00E74947"/>
    <w:rsid w:val="00E74C4B"/>
    <w:rsid w:val="00E74DC4"/>
    <w:rsid w:val="00E74F27"/>
    <w:rsid w:val="00E750A8"/>
    <w:rsid w:val="00E750F7"/>
    <w:rsid w:val="00E75176"/>
    <w:rsid w:val="00E753BE"/>
    <w:rsid w:val="00E75514"/>
    <w:rsid w:val="00E757FF"/>
    <w:rsid w:val="00E75887"/>
    <w:rsid w:val="00E758C3"/>
    <w:rsid w:val="00E75910"/>
    <w:rsid w:val="00E759C6"/>
    <w:rsid w:val="00E75A6D"/>
    <w:rsid w:val="00E75B58"/>
    <w:rsid w:val="00E75BF6"/>
    <w:rsid w:val="00E75BF9"/>
    <w:rsid w:val="00E75DE3"/>
    <w:rsid w:val="00E75FE4"/>
    <w:rsid w:val="00E76075"/>
    <w:rsid w:val="00E7609A"/>
    <w:rsid w:val="00E7619A"/>
    <w:rsid w:val="00E76426"/>
    <w:rsid w:val="00E7644A"/>
    <w:rsid w:val="00E764EE"/>
    <w:rsid w:val="00E76579"/>
    <w:rsid w:val="00E76601"/>
    <w:rsid w:val="00E76C18"/>
    <w:rsid w:val="00E76DC9"/>
    <w:rsid w:val="00E76E38"/>
    <w:rsid w:val="00E770CA"/>
    <w:rsid w:val="00E772C9"/>
    <w:rsid w:val="00E7742E"/>
    <w:rsid w:val="00E7746F"/>
    <w:rsid w:val="00E77ABC"/>
    <w:rsid w:val="00E77C86"/>
    <w:rsid w:val="00E77D20"/>
    <w:rsid w:val="00E801DE"/>
    <w:rsid w:val="00E80357"/>
    <w:rsid w:val="00E803E2"/>
    <w:rsid w:val="00E8040E"/>
    <w:rsid w:val="00E805DC"/>
    <w:rsid w:val="00E8063E"/>
    <w:rsid w:val="00E807F0"/>
    <w:rsid w:val="00E808B7"/>
    <w:rsid w:val="00E80925"/>
    <w:rsid w:val="00E80ABF"/>
    <w:rsid w:val="00E80B5F"/>
    <w:rsid w:val="00E80C3D"/>
    <w:rsid w:val="00E80CB2"/>
    <w:rsid w:val="00E80CBF"/>
    <w:rsid w:val="00E80EF7"/>
    <w:rsid w:val="00E810B8"/>
    <w:rsid w:val="00E8116F"/>
    <w:rsid w:val="00E81445"/>
    <w:rsid w:val="00E81631"/>
    <w:rsid w:val="00E81652"/>
    <w:rsid w:val="00E818B3"/>
    <w:rsid w:val="00E81A81"/>
    <w:rsid w:val="00E81AE9"/>
    <w:rsid w:val="00E81C87"/>
    <w:rsid w:val="00E81D5A"/>
    <w:rsid w:val="00E81D5D"/>
    <w:rsid w:val="00E81D71"/>
    <w:rsid w:val="00E81E64"/>
    <w:rsid w:val="00E81EA5"/>
    <w:rsid w:val="00E81EBA"/>
    <w:rsid w:val="00E81FD8"/>
    <w:rsid w:val="00E8208D"/>
    <w:rsid w:val="00E82137"/>
    <w:rsid w:val="00E8226B"/>
    <w:rsid w:val="00E82510"/>
    <w:rsid w:val="00E82627"/>
    <w:rsid w:val="00E82687"/>
    <w:rsid w:val="00E8280C"/>
    <w:rsid w:val="00E829BC"/>
    <w:rsid w:val="00E82E07"/>
    <w:rsid w:val="00E82F1C"/>
    <w:rsid w:val="00E8309A"/>
    <w:rsid w:val="00E8312A"/>
    <w:rsid w:val="00E83338"/>
    <w:rsid w:val="00E834F1"/>
    <w:rsid w:val="00E8389E"/>
    <w:rsid w:val="00E839FC"/>
    <w:rsid w:val="00E83B90"/>
    <w:rsid w:val="00E83C22"/>
    <w:rsid w:val="00E83CDC"/>
    <w:rsid w:val="00E83D86"/>
    <w:rsid w:val="00E83F00"/>
    <w:rsid w:val="00E83FCD"/>
    <w:rsid w:val="00E83FF5"/>
    <w:rsid w:val="00E84072"/>
    <w:rsid w:val="00E840DB"/>
    <w:rsid w:val="00E842E3"/>
    <w:rsid w:val="00E842F2"/>
    <w:rsid w:val="00E845F0"/>
    <w:rsid w:val="00E847F5"/>
    <w:rsid w:val="00E84847"/>
    <w:rsid w:val="00E84A23"/>
    <w:rsid w:val="00E84AA5"/>
    <w:rsid w:val="00E84AF9"/>
    <w:rsid w:val="00E84B03"/>
    <w:rsid w:val="00E84BCE"/>
    <w:rsid w:val="00E84C9E"/>
    <w:rsid w:val="00E84D82"/>
    <w:rsid w:val="00E84F17"/>
    <w:rsid w:val="00E851A8"/>
    <w:rsid w:val="00E852D5"/>
    <w:rsid w:val="00E8538B"/>
    <w:rsid w:val="00E8544A"/>
    <w:rsid w:val="00E85C56"/>
    <w:rsid w:val="00E85EBA"/>
    <w:rsid w:val="00E85EC9"/>
    <w:rsid w:val="00E85FC7"/>
    <w:rsid w:val="00E8608D"/>
    <w:rsid w:val="00E860DB"/>
    <w:rsid w:val="00E8648C"/>
    <w:rsid w:val="00E86545"/>
    <w:rsid w:val="00E865B1"/>
    <w:rsid w:val="00E8668D"/>
    <w:rsid w:val="00E8671A"/>
    <w:rsid w:val="00E8688D"/>
    <w:rsid w:val="00E86932"/>
    <w:rsid w:val="00E86971"/>
    <w:rsid w:val="00E86ADB"/>
    <w:rsid w:val="00E86CDC"/>
    <w:rsid w:val="00E86EA2"/>
    <w:rsid w:val="00E8701C"/>
    <w:rsid w:val="00E87158"/>
    <w:rsid w:val="00E871D4"/>
    <w:rsid w:val="00E872B0"/>
    <w:rsid w:val="00E87558"/>
    <w:rsid w:val="00E87715"/>
    <w:rsid w:val="00E87736"/>
    <w:rsid w:val="00E87B25"/>
    <w:rsid w:val="00E87C4B"/>
    <w:rsid w:val="00E87D34"/>
    <w:rsid w:val="00E87ECA"/>
    <w:rsid w:val="00E87F16"/>
    <w:rsid w:val="00E87FCE"/>
    <w:rsid w:val="00E900AF"/>
    <w:rsid w:val="00E90532"/>
    <w:rsid w:val="00E905AA"/>
    <w:rsid w:val="00E90952"/>
    <w:rsid w:val="00E90B2D"/>
    <w:rsid w:val="00E90C77"/>
    <w:rsid w:val="00E90E0A"/>
    <w:rsid w:val="00E90EEE"/>
    <w:rsid w:val="00E90F88"/>
    <w:rsid w:val="00E914D7"/>
    <w:rsid w:val="00E915F6"/>
    <w:rsid w:val="00E91725"/>
    <w:rsid w:val="00E91798"/>
    <w:rsid w:val="00E9185E"/>
    <w:rsid w:val="00E91966"/>
    <w:rsid w:val="00E91ADE"/>
    <w:rsid w:val="00E91BAC"/>
    <w:rsid w:val="00E91C56"/>
    <w:rsid w:val="00E91D90"/>
    <w:rsid w:val="00E91DDD"/>
    <w:rsid w:val="00E91F77"/>
    <w:rsid w:val="00E92145"/>
    <w:rsid w:val="00E92411"/>
    <w:rsid w:val="00E924FF"/>
    <w:rsid w:val="00E92733"/>
    <w:rsid w:val="00E92826"/>
    <w:rsid w:val="00E92955"/>
    <w:rsid w:val="00E92A28"/>
    <w:rsid w:val="00E92D68"/>
    <w:rsid w:val="00E92EF4"/>
    <w:rsid w:val="00E930AA"/>
    <w:rsid w:val="00E930E2"/>
    <w:rsid w:val="00E93131"/>
    <w:rsid w:val="00E9333B"/>
    <w:rsid w:val="00E933DD"/>
    <w:rsid w:val="00E93430"/>
    <w:rsid w:val="00E9352F"/>
    <w:rsid w:val="00E935F8"/>
    <w:rsid w:val="00E93622"/>
    <w:rsid w:val="00E937A1"/>
    <w:rsid w:val="00E939E1"/>
    <w:rsid w:val="00E93A1E"/>
    <w:rsid w:val="00E93A3C"/>
    <w:rsid w:val="00E93A88"/>
    <w:rsid w:val="00E93A93"/>
    <w:rsid w:val="00E93BA1"/>
    <w:rsid w:val="00E93C53"/>
    <w:rsid w:val="00E93E84"/>
    <w:rsid w:val="00E93F69"/>
    <w:rsid w:val="00E9413A"/>
    <w:rsid w:val="00E9420A"/>
    <w:rsid w:val="00E94274"/>
    <w:rsid w:val="00E94277"/>
    <w:rsid w:val="00E946FB"/>
    <w:rsid w:val="00E94951"/>
    <w:rsid w:val="00E94BD4"/>
    <w:rsid w:val="00E94C60"/>
    <w:rsid w:val="00E94C6C"/>
    <w:rsid w:val="00E94D0D"/>
    <w:rsid w:val="00E94ED4"/>
    <w:rsid w:val="00E94F1B"/>
    <w:rsid w:val="00E94FB0"/>
    <w:rsid w:val="00E9500E"/>
    <w:rsid w:val="00E95075"/>
    <w:rsid w:val="00E9522F"/>
    <w:rsid w:val="00E953F9"/>
    <w:rsid w:val="00E95496"/>
    <w:rsid w:val="00E955C0"/>
    <w:rsid w:val="00E956BF"/>
    <w:rsid w:val="00E95894"/>
    <w:rsid w:val="00E95BF2"/>
    <w:rsid w:val="00E95D7D"/>
    <w:rsid w:val="00E95DE3"/>
    <w:rsid w:val="00E95E90"/>
    <w:rsid w:val="00E95F52"/>
    <w:rsid w:val="00E960B7"/>
    <w:rsid w:val="00E962E4"/>
    <w:rsid w:val="00E9632A"/>
    <w:rsid w:val="00E963D2"/>
    <w:rsid w:val="00E964CB"/>
    <w:rsid w:val="00E96A7A"/>
    <w:rsid w:val="00E96A98"/>
    <w:rsid w:val="00E96D71"/>
    <w:rsid w:val="00E96E51"/>
    <w:rsid w:val="00E96E80"/>
    <w:rsid w:val="00E96EC4"/>
    <w:rsid w:val="00E96F77"/>
    <w:rsid w:val="00E96FAE"/>
    <w:rsid w:val="00E9700E"/>
    <w:rsid w:val="00E97187"/>
    <w:rsid w:val="00E971F5"/>
    <w:rsid w:val="00E9749C"/>
    <w:rsid w:val="00E974D0"/>
    <w:rsid w:val="00E97676"/>
    <w:rsid w:val="00E97740"/>
    <w:rsid w:val="00E97760"/>
    <w:rsid w:val="00E9776E"/>
    <w:rsid w:val="00E9779B"/>
    <w:rsid w:val="00E978E0"/>
    <w:rsid w:val="00E97B63"/>
    <w:rsid w:val="00E97C2F"/>
    <w:rsid w:val="00E97DC3"/>
    <w:rsid w:val="00E97EA6"/>
    <w:rsid w:val="00E97F0F"/>
    <w:rsid w:val="00E97F7E"/>
    <w:rsid w:val="00EA0136"/>
    <w:rsid w:val="00EA0273"/>
    <w:rsid w:val="00EA0328"/>
    <w:rsid w:val="00EA032B"/>
    <w:rsid w:val="00EA049E"/>
    <w:rsid w:val="00EA05F7"/>
    <w:rsid w:val="00EA0715"/>
    <w:rsid w:val="00EA072B"/>
    <w:rsid w:val="00EA08D7"/>
    <w:rsid w:val="00EA08FA"/>
    <w:rsid w:val="00EA0BBC"/>
    <w:rsid w:val="00EA0BEC"/>
    <w:rsid w:val="00EA0D0E"/>
    <w:rsid w:val="00EA0D46"/>
    <w:rsid w:val="00EA0E47"/>
    <w:rsid w:val="00EA0F6C"/>
    <w:rsid w:val="00EA1039"/>
    <w:rsid w:val="00EA10F0"/>
    <w:rsid w:val="00EA1266"/>
    <w:rsid w:val="00EA1353"/>
    <w:rsid w:val="00EA13F6"/>
    <w:rsid w:val="00EA1999"/>
    <w:rsid w:val="00EA1AB4"/>
    <w:rsid w:val="00EA1BCF"/>
    <w:rsid w:val="00EA1C00"/>
    <w:rsid w:val="00EA1D05"/>
    <w:rsid w:val="00EA1D8A"/>
    <w:rsid w:val="00EA1D90"/>
    <w:rsid w:val="00EA2015"/>
    <w:rsid w:val="00EA201F"/>
    <w:rsid w:val="00EA2149"/>
    <w:rsid w:val="00EA2295"/>
    <w:rsid w:val="00EA25F0"/>
    <w:rsid w:val="00EA27A9"/>
    <w:rsid w:val="00EA27C5"/>
    <w:rsid w:val="00EA287B"/>
    <w:rsid w:val="00EA289E"/>
    <w:rsid w:val="00EA28DF"/>
    <w:rsid w:val="00EA28E6"/>
    <w:rsid w:val="00EA2A00"/>
    <w:rsid w:val="00EA2A0B"/>
    <w:rsid w:val="00EA2B2D"/>
    <w:rsid w:val="00EA2C02"/>
    <w:rsid w:val="00EA2C70"/>
    <w:rsid w:val="00EA2CE8"/>
    <w:rsid w:val="00EA2D24"/>
    <w:rsid w:val="00EA2D31"/>
    <w:rsid w:val="00EA2F26"/>
    <w:rsid w:val="00EA2F53"/>
    <w:rsid w:val="00EA2F6C"/>
    <w:rsid w:val="00EA31A7"/>
    <w:rsid w:val="00EA3265"/>
    <w:rsid w:val="00EA32E0"/>
    <w:rsid w:val="00EA343A"/>
    <w:rsid w:val="00EA35BD"/>
    <w:rsid w:val="00EA35FA"/>
    <w:rsid w:val="00EA3705"/>
    <w:rsid w:val="00EA37E6"/>
    <w:rsid w:val="00EA391F"/>
    <w:rsid w:val="00EA3A27"/>
    <w:rsid w:val="00EA3AED"/>
    <w:rsid w:val="00EA3CA3"/>
    <w:rsid w:val="00EA3DAC"/>
    <w:rsid w:val="00EA402D"/>
    <w:rsid w:val="00EA44D9"/>
    <w:rsid w:val="00EA4520"/>
    <w:rsid w:val="00EA454F"/>
    <w:rsid w:val="00EA4BAA"/>
    <w:rsid w:val="00EA4EAE"/>
    <w:rsid w:val="00EA5090"/>
    <w:rsid w:val="00EA512B"/>
    <w:rsid w:val="00EA5247"/>
    <w:rsid w:val="00EA536D"/>
    <w:rsid w:val="00EA53D7"/>
    <w:rsid w:val="00EA543B"/>
    <w:rsid w:val="00EA5532"/>
    <w:rsid w:val="00EA560F"/>
    <w:rsid w:val="00EA5754"/>
    <w:rsid w:val="00EA5849"/>
    <w:rsid w:val="00EA596A"/>
    <w:rsid w:val="00EA59B1"/>
    <w:rsid w:val="00EA5B0D"/>
    <w:rsid w:val="00EA5B4A"/>
    <w:rsid w:val="00EA5B73"/>
    <w:rsid w:val="00EA5B8B"/>
    <w:rsid w:val="00EA5B9D"/>
    <w:rsid w:val="00EA5F6E"/>
    <w:rsid w:val="00EA6084"/>
    <w:rsid w:val="00EA6175"/>
    <w:rsid w:val="00EA6306"/>
    <w:rsid w:val="00EA647D"/>
    <w:rsid w:val="00EA67C0"/>
    <w:rsid w:val="00EA6913"/>
    <w:rsid w:val="00EA6A76"/>
    <w:rsid w:val="00EA6ABB"/>
    <w:rsid w:val="00EA7085"/>
    <w:rsid w:val="00EA71CB"/>
    <w:rsid w:val="00EA72CA"/>
    <w:rsid w:val="00EA747D"/>
    <w:rsid w:val="00EA74F7"/>
    <w:rsid w:val="00EA7628"/>
    <w:rsid w:val="00EA7735"/>
    <w:rsid w:val="00EA7B8F"/>
    <w:rsid w:val="00EA7CEA"/>
    <w:rsid w:val="00EA7D62"/>
    <w:rsid w:val="00EA7ECF"/>
    <w:rsid w:val="00EB0099"/>
    <w:rsid w:val="00EB01AB"/>
    <w:rsid w:val="00EB0464"/>
    <w:rsid w:val="00EB0494"/>
    <w:rsid w:val="00EB0694"/>
    <w:rsid w:val="00EB06A9"/>
    <w:rsid w:val="00EB0836"/>
    <w:rsid w:val="00EB08D4"/>
    <w:rsid w:val="00EB0946"/>
    <w:rsid w:val="00EB09BA"/>
    <w:rsid w:val="00EB0BED"/>
    <w:rsid w:val="00EB0DE5"/>
    <w:rsid w:val="00EB0E58"/>
    <w:rsid w:val="00EB0E84"/>
    <w:rsid w:val="00EB122D"/>
    <w:rsid w:val="00EB1319"/>
    <w:rsid w:val="00EB14DD"/>
    <w:rsid w:val="00EB14FB"/>
    <w:rsid w:val="00EB1695"/>
    <w:rsid w:val="00EB16A0"/>
    <w:rsid w:val="00EB19E5"/>
    <w:rsid w:val="00EB1C8C"/>
    <w:rsid w:val="00EB1D5F"/>
    <w:rsid w:val="00EB1F42"/>
    <w:rsid w:val="00EB1FF7"/>
    <w:rsid w:val="00EB20C3"/>
    <w:rsid w:val="00EB20ED"/>
    <w:rsid w:val="00EB2112"/>
    <w:rsid w:val="00EB21CC"/>
    <w:rsid w:val="00EB2540"/>
    <w:rsid w:val="00EB26A6"/>
    <w:rsid w:val="00EB280D"/>
    <w:rsid w:val="00EB281B"/>
    <w:rsid w:val="00EB2845"/>
    <w:rsid w:val="00EB293B"/>
    <w:rsid w:val="00EB29D7"/>
    <w:rsid w:val="00EB2B69"/>
    <w:rsid w:val="00EB2CA4"/>
    <w:rsid w:val="00EB2CE6"/>
    <w:rsid w:val="00EB2E12"/>
    <w:rsid w:val="00EB2EBC"/>
    <w:rsid w:val="00EB2F71"/>
    <w:rsid w:val="00EB30DA"/>
    <w:rsid w:val="00EB3115"/>
    <w:rsid w:val="00EB311A"/>
    <w:rsid w:val="00EB32A0"/>
    <w:rsid w:val="00EB32C5"/>
    <w:rsid w:val="00EB32C9"/>
    <w:rsid w:val="00EB354B"/>
    <w:rsid w:val="00EB35D8"/>
    <w:rsid w:val="00EB37E7"/>
    <w:rsid w:val="00EB395B"/>
    <w:rsid w:val="00EB3A6B"/>
    <w:rsid w:val="00EB3FC5"/>
    <w:rsid w:val="00EB4079"/>
    <w:rsid w:val="00EB4121"/>
    <w:rsid w:val="00EB4187"/>
    <w:rsid w:val="00EB4238"/>
    <w:rsid w:val="00EB437D"/>
    <w:rsid w:val="00EB4471"/>
    <w:rsid w:val="00EB4624"/>
    <w:rsid w:val="00EB4678"/>
    <w:rsid w:val="00EB471B"/>
    <w:rsid w:val="00EB479D"/>
    <w:rsid w:val="00EB4B71"/>
    <w:rsid w:val="00EB4CFD"/>
    <w:rsid w:val="00EB51B9"/>
    <w:rsid w:val="00EB5235"/>
    <w:rsid w:val="00EB5359"/>
    <w:rsid w:val="00EB5590"/>
    <w:rsid w:val="00EB5655"/>
    <w:rsid w:val="00EB5715"/>
    <w:rsid w:val="00EB57B7"/>
    <w:rsid w:val="00EB57B9"/>
    <w:rsid w:val="00EB598A"/>
    <w:rsid w:val="00EB5D2E"/>
    <w:rsid w:val="00EB5F66"/>
    <w:rsid w:val="00EB62DF"/>
    <w:rsid w:val="00EB6407"/>
    <w:rsid w:val="00EB648F"/>
    <w:rsid w:val="00EB6520"/>
    <w:rsid w:val="00EB678E"/>
    <w:rsid w:val="00EB68AD"/>
    <w:rsid w:val="00EB6A76"/>
    <w:rsid w:val="00EB6ACA"/>
    <w:rsid w:val="00EB6AF9"/>
    <w:rsid w:val="00EB6FCC"/>
    <w:rsid w:val="00EB6FE7"/>
    <w:rsid w:val="00EB71E5"/>
    <w:rsid w:val="00EB7309"/>
    <w:rsid w:val="00EB7361"/>
    <w:rsid w:val="00EB73FF"/>
    <w:rsid w:val="00EB75AC"/>
    <w:rsid w:val="00EB7937"/>
    <w:rsid w:val="00EB7B95"/>
    <w:rsid w:val="00EB7C54"/>
    <w:rsid w:val="00EB7C99"/>
    <w:rsid w:val="00EB7F47"/>
    <w:rsid w:val="00EC01CF"/>
    <w:rsid w:val="00EC050A"/>
    <w:rsid w:val="00EC052C"/>
    <w:rsid w:val="00EC06A6"/>
    <w:rsid w:val="00EC0939"/>
    <w:rsid w:val="00EC0D01"/>
    <w:rsid w:val="00EC0DA8"/>
    <w:rsid w:val="00EC0E3B"/>
    <w:rsid w:val="00EC10DE"/>
    <w:rsid w:val="00EC111A"/>
    <w:rsid w:val="00EC1179"/>
    <w:rsid w:val="00EC1330"/>
    <w:rsid w:val="00EC1453"/>
    <w:rsid w:val="00EC1454"/>
    <w:rsid w:val="00EC1640"/>
    <w:rsid w:val="00EC1705"/>
    <w:rsid w:val="00EC179C"/>
    <w:rsid w:val="00EC1812"/>
    <w:rsid w:val="00EC1846"/>
    <w:rsid w:val="00EC18EE"/>
    <w:rsid w:val="00EC1B20"/>
    <w:rsid w:val="00EC1B3B"/>
    <w:rsid w:val="00EC1B60"/>
    <w:rsid w:val="00EC1BE6"/>
    <w:rsid w:val="00EC1C43"/>
    <w:rsid w:val="00EC1C54"/>
    <w:rsid w:val="00EC1D4D"/>
    <w:rsid w:val="00EC1D6E"/>
    <w:rsid w:val="00EC1DCE"/>
    <w:rsid w:val="00EC1F11"/>
    <w:rsid w:val="00EC1FC0"/>
    <w:rsid w:val="00EC2167"/>
    <w:rsid w:val="00EC22A2"/>
    <w:rsid w:val="00EC26D6"/>
    <w:rsid w:val="00EC272C"/>
    <w:rsid w:val="00EC277D"/>
    <w:rsid w:val="00EC27AB"/>
    <w:rsid w:val="00EC27BB"/>
    <w:rsid w:val="00EC285C"/>
    <w:rsid w:val="00EC288A"/>
    <w:rsid w:val="00EC294D"/>
    <w:rsid w:val="00EC29EE"/>
    <w:rsid w:val="00EC2A34"/>
    <w:rsid w:val="00EC2AB9"/>
    <w:rsid w:val="00EC2B27"/>
    <w:rsid w:val="00EC2B38"/>
    <w:rsid w:val="00EC2BA5"/>
    <w:rsid w:val="00EC2CD1"/>
    <w:rsid w:val="00EC2DF5"/>
    <w:rsid w:val="00EC2E00"/>
    <w:rsid w:val="00EC2E32"/>
    <w:rsid w:val="00EC2F04"/>
    <w:rsid w:val="00EC3197"/>
    <w:rsid w:val="00EC31D1"/>
    <w:rsid w:val="00EC3215"/>
    <w:rsid w:val="00EC32E7"/>
    <w:rsid w:val="00EC331C"/>
    <w:rsid w:val="00EC33F3"/>
    <w:rsid w:val="00EC3435"/>
    <w:rsid w:val="00EC3438"/>
    <w:rsid w:val="00EC35E8"/>
    <w:rsid w:val="00EC37DD"/>
    <w:rsid w:val="00EC3AC7"/>
    <w:rsid w:val="00EC3B04"/>
    <w:rsid w:val="00EC3F33"/>
    <w:rsid w:val="00EC40ED"/>
    <w:rsid w:val="00EC4188"/>
    <w:rsid w:val="00EC44E8"/>
    <w:rsid w:val="00EC4604"/>
    <w:rsid w:val="00EC461E"/>
    <w:rsid w:val="00EC49B9"/>
    <w:rsid w:val="00EC4AB7"/>
    <w:rsid w:val="00EC4ABC"/>
    <w:rsid w:val="00EC4C45"/>
    <w:rsid w:val="00EC4E9B"/>
    <w:rsid w:val="00EC5294"/>
    <w:rsid w:val="00EC541C"/>
    <w:rsid w:val="00EC543A"/>
    <w:rsid w:val="00EC56E4"/>
    <w:rsid w:val="00EC5749"/>
    <w:rsid w:val="00EC5A6D"/>
    <w:rsid w:val="00EC5B7A"/>
    <w:rsid w:val="00EC5BD0"/>
    <w:rsid w:val="00EC5C89"/>
    <w:rsid w:val="00EC5C8B"/>
    <w:rsid w:val="00EC5DE3"/>
    <w:rsid w:val="00EC5F33"/>
    <w:rsid w:val="00EC5FE1"/>
    <w:rsid w:val="00EC60E8"/>
    <w:rsid w:val="00EC6237"/>
    <w:rsid w:val="00EC63E8"/>
    <w:rsid w:val="00EC6455"/>
    <w:rsid w:val="00EC6477"/>
    <w:rsid w:val="00EC65A6"/>
    <w:rsid w:val="00EC65D1"/>
    <w:rsid w:val="00EC6762"/>
    <w:rsid w:val="00EC679B"/>
    <w:rsid w:val="00EC6990"/>
    <w:rsid w:val="00EC69C9"/>
    <w:rsid w:val="00EC6A85"/>
    <w:rsid w:val="00EC6AB7"/>
    <w:rsid w:val="00EC6B1F"/>
    <w:rsid w:val="00EC6B37"/>
    <w:rsid w:val="00EC6B3F"/>
    <w:rsid w:val="00EC6B56"/>
    <w:rsid w:val="00EC6CD5"/>
    <w:rsid w:val="00EC6F4C"/>
    <w:rsid w:val="00EC72B1"/>
    <w:rsid w:val="00EC746A"/>
    <w:rsid w:val="00EC776D"/>
    <w:rsid w:val="00EC77AE"/>
    <w:rsid w:val="00EC77D2"/>
    <w:rsid w:val="00EC786D"/>
    <w:rsid w:val="00EC795E"/>
    <w:rsid w:val="00EC79F9"/>
    <w:rsid w:val="00EC7A4C"/>
    <w:rsid w:val="00EC7AA9"/>
    <w:rsid w:val="00EC7B74"/>
    <w:rsid w:val="00EC7CD8"/>
    <w:rsid w:val="00EC7CEB"/>
    <w:rsid w:val="00EC7D5E"/>
    <w:rsid w:val="00EC7DFF"/>
    <w:rsid w:val="00ED038D"/>
    <w:rsid w:val="00ED07A7"/>
    <w:rsid w:val="00ED07AA"/>
    <w:rsid w:val="00ED0B43"/>
    <w:rsid w:val="00ED0BEA"/>
    <w:rsid w:val="00ED120C"/>
    <w:rsid w:val="00ED15E6"/>
    <w:rsid w:val="00ED1700"/>
    <w:rsid w:val="00ED1ACA"/>
    <w:rsid w:val="00ED1C45"/>
    <w:rsid w:val="00ED1CDD"/>
    <w:rsid w:val="00ED1DAF"/>
    <w:rsid w:val="00ED1F4E"/>
    <w:rsid w:val="00ED218D"/>
    <w:rsid w:val="00ED2215"/>
    <w:rsid w:val="00ED22D5"/>
    <w:rsid w:val="00ED22F4"/>
    <w:rsid w:val="00ED24D7"/>
    <w:rsid w:val="00ED2542"/>
    <w:rsid w:val="00ED25E5"/>
    <w:rsid w:val="00ED266F"/>
    <w:rsid w:val="00ED2723"/>
    <w:rsid w:val="00ED2A30"/>
    <w:rsid w:val="00ED2A43"/>
    <w:rsid w:val="00ED2AA3"/>
    <w:rsid w:val="00ED2ACF"/>
    <w:rsid w:val="00ED2D9B"/>
    <w:rsid w:val="00ED2EF7"/>
    <w:rsid w:val="00ED3011"/>
    <w:rsid w:val="00ED301F"/>
    <w:rsid w:val="00ED3113"/>
    <w:rsid w:val="00ED3272"/>
    <w:rsid w:val="00ED349F"/>
    <w:rsid w:val="00ED34A3"/>
    <w:rsid w:val="00ED34B3"/>
    <w:rsid w:val="00ED35A1"/>
    <w:rsid w:val="00ED35BD"/>
    <w:rsid w:val="00ED367D"/>
    <w:rsid w:val="00ED38E7"/>
    <w:rsid w:val="00ED398C"/>
    <w:rsid w:val="00ED39BF"/>
    <w:rsid w:val="00ED39F2"/>
    <w:rsid w:val="00ED47A7"/>
    <w:rsid w:val="00ED4991"/>
    <w:rsid w:val="00ED4BC8"/>
    <w:rsid w:val="00ED4C35"/>
    <w:rsid w:val="00ED4F90"/>
    <w:rsid w:val="00ED510D"/>
    <w:rsid w:val="00ED5220"/>
    <w:rsid w:val="00ED52D7"/>
    <w:rsid w:val="00ED5367"/>
    <w:rsid w:val="00ED53E1"/>
    <w:rsid w:val="00ED54C3"/>
    <w:rsid w:val="00ED557A"/>
    <w:rsid w:val="00ED57C9"/>
    <w:rsid w:val="00ED57F7"/>
    <w:rsid w:val="00ED582F"/>
    <w:rsid w:val="00ED594D"/>
    <w:rsid w:val="00ED5B0D"/>
    <w:rsid w:val="00ED5C63"/>
    <w:rsid w:val="00ED5C8D"/>
    <w:rsid w:val="00ED5D0B"/>
    <w:rsid w:val="00ED5D30"/>
    <w:rsid w:val="00ED5DD6"/>
    <w:rsid w:val="00ED5F37"/>
    <w:rsid w:val="00ED61F6"/>
    <w:rsid w:val="00ED63D5"/>
    <w:rsid w:val="00ED6591"/>
    <w:rsid w:val="00ED65CB"/>
    <w:rsid w:val="00ED66CB"/>
    <w:rsid w:val="00ED672A"/>
    <w:rsid w:val="00ED6763"/>
    <w:rsid w:val="00ED6A49"/>
    <w:rsid w:val="00ED6B44"/>
    <w:rsid w:val="00ED6D24"/>
    <w:rsid w:val="00ED6DF8"/>
    <w:rsid w:val="00ED6E50"/>
    <w:rsid w:val="00ED6E9D"/>
    <w:rsid w:val="00ED6EA4"/>
    <w:rsid w:val="00ED6EDE"/>
    <w:rsid w:val="00ED6FAE"/>
    <w:rsid w:val="00ED71B4"/>
    <w:rsid w:val="00ED71E9"/>
    <w:rsid w:val="00ED7256"/>
    <w:rsid w:val="00ED75AE"/>
    <w:rsid w:val="00ED75BF"/>
    <w:rsid w:val="00ED76BA"/>
    <w:rsid w:val="00ED7904"/>
    <w:rsid w:val="00ED79F8"/>
    <w:rsid w:val="00ED7A08"/>
    <w:rsid w:val="00ED7A4C"/>
    <w:rsid w:val="00ED7B23"/>
    <w:rsid w:val="00ED7BAB"/>
    <w:rsid w:val="00ED7C1B"/>
    <w:rsid w:val="00ED7D4F"/>
    <w:rsid w:val="00ED7D65"/>
    <w:rsid w:val="00ED7E79"/>
    <w:rsid w:val="00ED7FF6"/>
    <w:rsid w:val="00EE0026"/>
    <w:rsid w:val="00EE0276"/>
    <w:rsid w:val="00EE0683"/>
    <w:rsid w:val="00EE0782"/>
    <w:rsid w:val="00EE08F3"/>
    <w:rsid w:val="00EE09E7"/>
    <w:rsid w:val="00EE09E8"/>
    <w:rsid w:val="00EE0AF0"/>
    <w:rsid w:val="00EE0B53"/>
    <w:rsid w:val="00EE0BB5"/>
    <w:rsid w:val="00EE0F17"/>
    <w:rsid w:val="00EE1031"/>
    <w:rsid w:val="00EE103C"/>
    <w:rsid w:val="00EE107C"/>
    <w:rsid w:val="00EE10E1"/>
    <w:rsid w:val="00EE1280"/>
    <w:rsid w:val="00EE1347"/>
    <w:rsid w:val="00EE14CA"/>
    <w:rsid w:val="00EE1645"/>
    <w:rsid w:val="00EE1C90"/>
    <w:rsid w:val="00EE1CC5"/>
    <w:rsid w:val="00EE1D85"/>
    <w:rsid w:val="00EE1E54"/>
    <w:rsid w:val="00EE1EC6"/>
    <w:rsid w:val="00EE1EDA"/>
    <w:rsid w:val="00EE1F3F"/>
    <w:rsid w:val="00EE219E"/>
    <w:rsid w:val="00EE21D7"/>
    <w:rsid w:val="00EE234C"/>
    <w:rsid w:val="00EE23F0"/>
    <w:rsid w:val="00EE2673"/>
    <w:rsid w:val="00EE26C6"/>
    <w:rsid w:val="00EE275A"/>
    <w:rsid w:val="00EE27A8"/>
    <w:rsid w:val="00EE27FF"/>
    <w:rsid w:val="00EE29B8"/>
    <w:rsid w:val="00EE29BB"/>
    <w:rsid w:val="00EE2BB2"/>
    <w:rsid w:val="00EE2BD9"/>
    <w:rsid w:val="00EE2EB8"/>
    <w:rsid w:val="00EE31EC"/>
    <w:rsid w:val="00EE3391"/>
    <w:rsid w:val="00EE3406"/>
    <w:rsid w:val="00EE3496"/>
    <w:rsid w:val="00EE34C6"/>
    <w:rsid w:val="00EE35B8"/>
    <w:rsid w:val="00EE361B"/>
    <w:rsid w:val="00EE3633"/>
    <w:rsid w:val="00EE36A2"/>
    <w:rsid w:val="00EE370F"/>
    <w:rsid w:val="00EE3797"/>
    <w:rsid w:val="00EE3962"/>
    <w:rsid w:val="00EE3C29"/>
    <w:rsid w:val="00EE3F87"/>
    <w:rsid w:val="00EE4612"/>
    <w:rsid w:val="00EE46CA"/>
    <w:rsid w:val="00EE4880"/>
    <w:rsid w:val="00EE4956"/>
    <w:rsid w:val="00EE4990"/>
    <w:rsid w:val="00EE4A21"/>
    <w:rsid w:val="00EE4A33"/>
    <w:rsid w:val="00EE4AB9"/>
    <w:rsid w:val="00EE4BE1"/>
    <w:rsid w:val="00EE4E81"/>
    <w:rsid w:val="00EE4F89"/>
    <w:rsid w:val="00EE500A"/>
    <w:rsid w:val="00EE5513"/>
    <w:rsid w:val="00EE569C"/>
    <w:rsid w:val="00EE56D5"/>
    <w:rsid w:val="00EE593F"/>
    <w:rsid w:val="00EE5991"/>
    <w:rsid w:val="00EE59B1"/>
    <w:rsid w:val="00EE5AA1"/>
    <w:rsid w:val="00EE5B22"/>
    <w:rsid w:val="00EE5BFD"/>
    <w:rsid w:val="00EE5CF4"/>
    <w:rsid w:val="00EE5F4D"/>
    <w:rsid w:val="00EE601A"/>
    <w:rsid w:val="00EE60B3"/>
    <w:rsid w:val="00EE61FC"/>
    <w:rsid w:val="00EE6430"/>
    <w:rsid w:val="00EE64AA"/>
    <w:rsid w:val="00EE64BC"/>
    <w:rsid w:val="00EE64ED"/>
    <w:rsid w:val="00EE676C"/>
    <w:rsid w:val="00EE696B"/>
    <w:rsid w:val="00EE6A41"/>
    <w:rsid w:val="00EE6ADE"/>
    <w:rsid w:val="00EE6B16"/>
    <w:rsid w:val="00EE6BA5"/>
    <w:rsid w:val="00EE6CC4"/>
    <w:rsid w:val="00EE6CE8"/>
    <w:rsid w:val="00EE6ED3"/>
    <w:rsid w:val="00EE7089"/>
    <w:rsid w:val="00EE713B"/>
    <w:rsid w:val="00EE7204"/>
    <w:rsid w:val="00EE76AB"/>
    <w:rsid w:val="00EE7727"/>
    <w:rsid w:val="00EE78A5"/>
    <w:rsid w:val="00EE7A06"/>
    <w:rsid w:val="00EE7BD1"/>
    <w:rsid w:val="00EE7CDF"/>
    <w:rsid w:val="00EE7EAD"/>
    <w:rsid w:val="00EF0090"/>
    <w:rsid w:val="00EF02A1"/>
    <w:rsid w:val="00EF030B"/>
    <w:rsid w:val="00EF04FC"/>
    <w:rsid w:val="00EF0521"/>
    <w:rsid w:val="00EF079A"/>
    <w:rsid w:val="00EF0817"/>
    <w:rsid w:val="00EF0852"/>
    <w:rsid w:val="00EF0923"/>
    <w:rsid w:val="00EF097D"/>
    <w:rsid w:val="00EF0A95"/>
    <w:rsid w:val="00EF103E"/>
    <w:rsid w:val="00EF10CF"/>
    <w:rsid w:val="00EF124F"/>
    <w:rsid w:val="00EF13BD"/>
    <w:rsid w:val="00EF13E7"/>
    <w:rsid w:val="00EF149E"/>
    <w:rsid w:val="00EF155E"/>
    <w:rsid w:val="00EF170F"/>
    <w:rsid w:val="00EF1772"/>
    <w:rsid w:val="00EF1868"/>
    <w:rsid w:val="00EF1944"/>
    <w:rsid w:val="00EF1992"/>
    <w:rsid w:val="00EF1BEE"/>
    <w:rsid w:val="00EF1C8E"/>
    <w:rsid w:val="00EF1CAF"/>
    <w:rsid w:val="00EF1CC1"/>
    <w:rsid w:val="00EF1DB5"/>
    <w:rsid w:val="00EF1F08"/>
    <w:rsid w:val="00EF2217"/>
    <w:rsid w:val="00EF26B1"/>
    <w:rsid w:val="00EF28EA"/>
    <w:rsid w:val="00EF295B"/>
    <w:rsid w:val="00EF2C64"/>
    <w:rsid w:val="00EF2CE7"/>
    <w:rsid w:val="00EF2D85"/>
    <w:rsid w:val="00EF2E66"/>
    <w:rsid w:val="00EF2F23"/>
    <w:rsid w:val="00EF3082"/>
    <w:rsid w:val="00EF3340"/>
    <w:rsid w:val="00EF3434"/>
    <w:rsid w:val="00EF3717"/>
    <w:rsid w:val="00EF3805"/>
    <w:rsid w:val="00EF387E"/>
    <w:rsid w:val="00EF3A67"/>
    <w:rsid w:val="00EF3B1D"/>
    <w:rsid w:val="00EF3C36"/>
    <w:rsid w:val="00EF3D01"/>
    <w:rsid w:val="00EF3D03"/>
    <w:rsid w:val="00EF3FF2"/>
    <w:rsid w:val="00EF4130"/>
    <w:rsid w:val="00EF4131"/>
    <w:rsid w:val="00EF4165"/>
    <w:rsid w:val="00EF41E5"/>
    <w:rsid w:val="00EF42B6"/>
    <w:rsid w:val="00EF4356"/>
    <w:rsid w:val="00EF44A7"/>
    <w:rsid w:val="00EF457E"/>
    <w:rsid w:val="00EF45D9"/>
    <w:rsid w:val="00EF460D"/>
    <w:rsid w:val="00EF4680"/>
    <w:rsid w:val="00EF46D6"/>
    <w:rsid w:val="00EF47B2"/>
    <w:rsid w:val="00EF4B3A"/>
    <w:rsid w:val="00EF4BC8"/>
    <w:rsid w:val="00EF4E14"/>
    <w:rsid w:val="00EF4EB0"/>
    <w:rsid w:val="00EF4F15"/>
    <w:rsid w:val="00EF5275"/>
    <w:rsid w:val="00EF541A"/>
    <w:rsid w:val="00EF552A"/>
    <w:rsid w:val="00EF5574"/>
    <w:rsid w:val="00EF592A"/>
    <w:rsid w:val="00EF5A9D"/>
    <w:rsid w:val="00EF5AA6"/>
    <w:rsid w:val="00EF5B5F"/>
    <w:rsid w:val="00EF5C90"/>
    <w:rsid w:val="00EF5DAE"/>
    <w:rsid w:val="00EF5F6B"/>
    <w:rsid w:val="00EF6149"/>
    <w:rsid w:val="00EF638C"/>
    <w:rsid w:val="00EF6619"/>
    <w:rsid w:val="00EF66AD"/>
    <w:rsid w:val="00EF66C7"/>
    <w:rsid w:val="00EF671D"/>
    <w:rsid w:val="00EF672B"/>
    <w:rsid w:val="00EF6C09"/>
    <w:rsid w:val="00EF6EF8"/>
    <w:rsid w:val="00EF72CF"/>
    <w:rsid w:val="00EF73DC"/>
    <w:rsid w:val="00EF74A0"/>
    <w:rsid w:val="00EF74AF"/>
    <w:rsid w:val="00EF7855"/>
    <w:rsid w:val="00EF7AFF"/>
    <w:rsid w:val="00EF7D5D"/>
    <w:rsid w:val="00EF7D8B"/>
    <w:rsid w:val="00EF7FEE"/>
    <w:rsid w:val="00F00206"/>
    <w:rsid w:val="00F00223"/>
    <w:rsid w:val="00F0036B"/>
    <w:rsid w:val="00F00853"/>
    <w:rsid w:val="00F0095B"/>
    <w:rsid w:val="00F00B84"/>
    <w:rsid w:val="00F00D36"/>
    <w:rsid w:val="00F00DE4"/>
    <w:rsid w:val="00F00E48"/>
    <w:rsid w:val="00F00ECE"/>
    <w:rsid w:val="00F00F4B"/>
    <w:rsid w:val="00F010F6"/>
    <w:rsid w:val="00F011AF"/>
    <w:rsid w:val="00F01284"/>
    <w:rsid w:val="00F01356"/>
    <w:rsid w:val="00F0136C"/>
    <w:rsid w:val="00F014BA"/>
    <w:rsid w:val="00F014C4"/>
    <w:rsid w:val="00F015EC"/>
    <w:rsid w:val="00F0161A"/>
    <w:rsid w:val="00F01760"/>
    <w:rsid w:val="00F019BB"/>
    <w:rsid w:val="00F01A7F"/>
    <w:rsid w:val="00F01C1A"/>
    <w:rsid w:val="00F01DB2"/>
    <w:rsid w:val="00F01DB5"/>
    <w:rsid w:val="00F02365"/>
    <w:rsid w:val="00F0255F"/>
    <w:rsid w:val="00F025DB"/>
    <w:rsid w:val="00F028DE"/>
    <w:rsid w:val="00F028F3"/>
    <w:rsid w:val="00F02938"/>
    <w:rsid w:val="00F029FB"/>
    <w:rsid w:val="00F02AEF"/>
    <w:rsid w:val="00F02C4E"/>
    <w:rsid w:val="00F02E51"/>
    <w:rsid w:val="00F0307D"/>
    <w:rsid w:val="00F03286"/>
    <w:rsid w:val="00F03428"/>
    <w:rsid w:val="00F03611"/>
    <w:rsid w:val="00F039C9"/>
    <w:rsid w:val="00F03AA6"/>
    <w:rsid w:val="00F03D81"/>
    <w:rsid w:val="00F03F27"/>
    <w:rsid w:val="00F0402E"/>
    <w:rsid w:val="00F04072"/>
    <w:rsid w:val="00F0414B"/>
    <w:rsid w:val="00F042AF"/>
    <w:rsid w:val="00F042E2"/>
    <w:rsid w:val="00F043DD"/>
    <w:rsid w:val="00F048C9"/>
    <w:rsid w:val="00F0495E"/>
    <w:rsid w:val="00F04ADB"/>
    <w:rsid w:val="00F04CA8"/>
    <w:rsid w:val="00F04D41"/>
    <w:rsid w:val="00F04DE8"/>
    <w:rsid w:val="00F04E38"/>
    <w:rsid w:val="00F04E65"/>
    <w:rsid w:val="00F04F19"/>
    <w:rsid w:val="00F04F1D"/>
    <w:rsid w:val="00F05032"/>
    <w:rsid w:val="00F05159"/>
    <w:rsid w:val="00F0524E"/>
    <w:rsid w:val="00F0525B"/>
    <w:rsid w:val="00F05292"/>
    <w:rsid w:val="00F053ED"/>
    <w:rsid w:val="00F055AD"/>
    <w:rsid w:val="00F0565B"/>
    <w:rsid w:val="00F05672"/>
    <w:rsid w:val="00F0585B"/>
    <w:rsid w:val="00F05899"/>
    <w:rsid w:val="00F05920"/>
    <w:rsid w:val="00F05BD8"/>
    <w:rsid w:val="00F05C6C"/>
    <w:rsid w:val="00F06017"/>
    <w:rsid w:val="00F06125"/>
    <w:rsid w:val="00F061E7"/>
    <w:rsid w:val="00F063E2"/>
    <w:rsid w:val="00F0661A"/>
    <w:rsid w:val="00F06923"/>
    <w:rsid w:val="00F069D4"/>
    <w:rsid w:val="00F06A07"/>
    <w:rsid w:val="00F06AF3"/>
    <w:rsid w:val="00F06F37"/>
    <w:rsid w:val="00F06F4E"/>
    <w:rsid w:val="00F06FA5"/>
    <w:rsid w:val="00F07044"/>
    <w:rsid w:val="00F0724D"/>
    <w:rsid w:val="00F07350"/>
    <w:rsid w:val="00F07377"/>
    <w:rsid w:val="00F07563"/>
    <w:rsid w:val="00F075C4"/>
    <w:rsid w:val="00F075F6"/>
    <w:rsid w:val="00F0799D"/>
    <w:rsid w:val="00F079B2"/>
    <w:rsid w:val="00F07BA9"/>
    <w:rsid w:val="00F07CA5"/>
    <w:rsid w:val="00F07D58"/>
    <w:rsid w:val="00F07D90"/>
    <w:rsid w:val="00F07D97"/>
    <w:rsid w:val="00F07FA5"/>
    <w:rsid w:val="00F100AC"/>
    <w:rsid w:val="00F1036C"/>
    <w:rsid w:val="00F10491"/>
    <w:rsid w:val="00F1052C"/>
    <w:rsid w:val="00F10569"/>
    <w:rsid w:val="00F10706"/>
    <w:rsid w:val="00F107A0"/>
    <w:rsid w:val="00F10C5F"/>
    <w:rsid w:val="00F10CAE"/>
    <w:rsid w:val="00F10CED"/>
    <w:rsid w:val="00F10DF4"/>
    <w:rsid w:val="00F11098"/>
    <w:rsid w:val="00F11105"/>
    <w:rsid w:val="00F11295"/>
    <w:rsid w:val="00F1153A"/>
    <w:rsid w:val="00F11737"/>
    <w:rsid w:val="00F11884"/>
    <w:rsid w:val="00F11A8C"/>
    <w:rsid w:val="00F11B79"/>
    <w:rsid w:val="00F11E37"/>
    <w:rsid w:val="00F11F1D"/>
    <w:rsid w:val="00F11F80"/>
    <w:rsid w:val="00F11FC9"/>
    <w:rsid w:val="00F11FE8"/>
    <w:rsid w:val="00F120CF"/>
    <w:rsid w:val="00F120E7"/>
    <w:rsid w:val="00F12140"/>
    <w:rsid w:val="00F12228"/>
    <w:rsid w:val="00F122BB"/>
    <w:rsid w:val="00F12491"/>
    <w:rsid w:val="00F124B6"/>
    <w:rsid w:val="00F124FA"/>
    <w:rsid w:val="00F12564"/>
    <w:rsid w:val="00F127A8"/>
    <w:rsid w:val="00F128B2"/>
    <w:rsid w:val="00F12916"/>
    <w:rsid w:val="00F1296C"/>
    <w:rsid w:val="00F12A9B"/>
    <w:rsid w:val="00F12B57"/>
    <w:rsid w:val="00F12C80"/>
    <w:rsid w:val="00F12ED6"/>
    <w:rsid w:val="00F12F86"/>
    <w:rsid w:val="00F130C2"/>
    <w:rsid w:val="00F1319C"/>
    <w:rsid w:val="00F136D7"/>
    <w:rsid w:val="00F136EB"/>
    <w:rsid w:val="00F13D77"/>
    <w:rsid w:val="00F13D97"/>
    <w:rsid w:val="00F13E4D"/>
    <w:rsid w:val="00F13E8D"/>
    <w:rsid w:val="00F14010"/>
    <w:rsid w:val="00F14418"/>
    <w:rsid w:val="00F144C0"/>
    <w:rsid w:val="00F1462E"/>
    <w:rsid w:val="00F1471F"/>
    <w:rsid w:val="00F14836"/>
    <w:rsid w:val="00F148E4"/>
    <w:rsid w:val="00F14917"/>
    <w:rsid w:val="00F149A9"/>
    <w:rsid w:val="00F149F5"/>
    <w:rsid w:val="00F14BB2"/>
    <w:rsid w:val="00F14C6D"/>
    <w:rsid w:val="00F14D9B"/>
    <w:rsid w:val="00F14E84"/>
    <w:rsid w:val="00F15216"/>
    <w:rsid w:val="00F15316"/>
    <w:rsid w:val="00F153D8"/>
    <w:rsid w:val="00F153E7"/>
    <w:rsid w:val="00F1564D"/>
    <w:rsid w:val="00F1580A"/>
    <w:rsid w:val="00F15A9C"/>
    <w:rsid w:val="00F15BBA"/>
    <w:rsid w:val="00F15CCF"/>
    <w:rsid w:val="00F15F02"/>
    <w:rsid w:val="00F15FEA"/>
    <w:rsid w:val="00F16040"/>
    <w:rsid w:val="00F1605C"/>
    <w:rsid w:val="00F16133"/>
    <w:rsid w:val="00F1630B"/>
    <w:rsid w:val="00F1649D"/>
    <w:rsid w:val="00F16771"/>
    <w:rsid w:val="00F16898"/>
    <w:rsid w:val="00F16A94"/>
    <w:rsid w:val="00F16D05"/>
    <w:rsid w:val="00F16EA8"/>
    <w:rsid w:val="00F16F51"/>
    <w:rsid w:val="00F170A7"/>
    <w:rsid w:val="00F171E4"/>
    <w:rsid w:val="00F173B5"/>
    <w:rsid w:val="00F1743E"/>
    <w:rsid w:val="00F174EA"/>
    <w:rsid w:val="00F17689"/>
    <w:rsid w:val="00F176F9"/>
    <w:rsid w:val="00F177D1"/>
    <w:rsid w:val="00F17A51"/>
    <w:rsid w:val="00F17ABC"/>
    <w:rsid w:val="00F17CAE"/>
    <w:rsid w:val="00F17F57"/>
    <w:rsid w:val="00F20012"/>
    <w:rsid w:val="00F200B3"/>
    <w:rsid w:val="00F2016A"/>
    <w:rsid w:val="00F2026F"/>
    <w:rsid w:val="00F20304"/>
    <w:rsid w:val="00F2032C"/>
    <w:rsid w:val="00F2039C"/>
    <w:rsid w:val="00F203A4"/>
    <w:rsid w:val="00F2041B"/>
    <w:rsid w:val="00F20475"/>
    <w:rsid w:val="00F205ED"/>
    <w:rsid w:val="00F2064E"/>
    <w:rsid w:val="00F20737"/>
    <w:rsid w:val="00F208C8"/>
    <w:rsid w:val="00F20945"/>
    <w:rsid w:val="00F209AD"/>
    <w:rsid w:val="00F20B85"/>
    <w:rsid w:val="00F20C89"/>
    <w:rsid w:val="00F20D48"/>
    <w:rsid w:val="00F20E6C"/>
    <w:rsid w:val="00F20EC4"/>
    <w:rsid w:val="00F2112A"/>
    <w:rsid w:val="00F211D1"/>
    <w:rsid w:val="00F2127D"/>
    <w:rsid w:val="00F21280"/>
    <w:rsid w:val="00F21376"/>
    <w:rsid w:val="00F2147F"/>
    <w:rsid w:val="00F21595"/>
    <w:rsid w:val="00F215DE"/>
    <w:rsid w:val="00F21799"/>
    <w:rsid w:val="00F217A7"/>
    <w:rsid w:val="00F21AA5"/>
    <w:rsid w:val="00F21B23"/>
    <w:rsid w:val="00F21EBC"/>
    <w:rsid w:val="00F220A5"/>
    <w:rsid w:val="00F2217F"/>
    <w:rsid w:val="00F222F2"/>
    <w:rsid w:val="00F22343"/>
    <w:rsid w:val="00F2244C"/>
    <w:rsid w:val="00F22747"/>
    <w:rsid w:val="00F227AB"/>
    <w:rsid w:val="00F228F3"/>
    <w:rsid w:val="00F22AC6"/>
    <w:rsid w:val="00F22BF8"/>
    <w:rsid w:val="00F22CD0"/>
    <w:rsid w:val="00F22F75"/>
    <w:rsid w:val="00F2306B"/>
    <w:rsid w:val="00F23547"/>
    <w:rsid w:val="00F23717"/>
    <w:rsid w:val="00F23719"/>
    <w:rsid w:val="00F237B9"/>
    <w:rsid w:val="00F237C8"/>
    <w:rsid w:val="00F238EA"/>
    <w:rsid w:val="00F23A02"/>
    <w:rsid w:val="00F23A24"/>
    <w:rsid w:val="00F23A96"/>
    <w:rsid w:val="00F23DC6"/>
    <w:rsid w:val="00F23E09"/>
    <w:rsid w:val="00F23F95"/>
    <w:rsid w:val="00F24069"/>
    <w:rsid w:val="00F240FA"/>
    <w:rsid w:val="00F24212"/>
    <w:rsid w:val="00F2425D"/>
    <w:rsid w:val="00F24572"/>
    <w:rsid w:val="00F24762"/>
    <w:rsid w:val="00F24794"/>
    <w:rsid w:val="00F248DC"/>
    <w:rsid w:val="00F24A86"/>
    <w:rsid w:val="00F24EE2"/>
    <w:rsid w:val="00F25076"/>
    <w:rsid w:val="00F2519C"/>
    <w:rsid w:val="00F251AC"/>
    <w:rsid w:val="00F25392"/>
    <w:rsid w:val="00F254B2"/>
    <w:rsid w:val="00F256E4"/>
    <w:rsid w:val="00F2573D"/>
    <w:rsid w:val="00F25941"/>
    <w:rsid w:val="00F25A5A"/>
    <w:rsid w:val="00F25AC1"/>
    <w:rsid w:val="00F25B1D"/>
    <w:rsid w:val="00F25BE8"/>
    <w:rsid w:val="00F25C44"/>
    <w:rsid w:val="00F25D2D"/>
    <w:rsid w:val="00F25FFE"/>
    <w:rsid w:val="00F2623A"/>
    <w:rsid w:val="00F262F6"/>
    <w:rsid w:val="00F26501"/>
    <w:rsid w:val="00F2659A"/>
    <w:rsid w:val="00F266E5"/>
    <w:rsid w:val="00F26896"/>
    <w:rsid w:val="00F26DA3"/>
    <w:rsid w:val="00F26E05"/>
    <w:rsid w:val="00F26E3C"/>
    <w:rsid w:val="00F26F55"/>
    <w:rsid w:val="00F27039"/>
    <w:rsid w:val="00F27078"/>
    <w:rsid w:val="00F270B5"/>
    <w:rsid w:val="00F27100"/>
    <w:rsid w:val="00F2763D"/>
    <w:rsid w:val="00F27741"/>
    <w:rsid w:val="00F277FE"/>
    <w:rsid w:val="00F27822"/>
    <w:rsid w:val="00F278A8"/>
    <w:rsid w:val="00F278EB"/>
    <w:rsid w:val="00F278EC"/>
    <w:rsid w:val="00F27994"/>
    <w:rsid w:val="00F27CCC"/>
    <w:rsid w:val="00F27D56"/>
    <w:rsid w:val="00F27EC7"/>
    <w:rsid w:val="00F27F03"/>
    <w:rsid w:val="00F27F97"/>
    <w:rsid w:val="00F30038"/>
    <w:rsid w:val="00F300E8"/>
    <w:rsid w:val="00F301B7"/>
    <w:rsid w:val="00F304B1"/>
    <w:rsid w:val="00F30679"/>
    <w:rsid w:val="00F30AAF"/>
    <w:rsid w:val="00F30AED"/>
    <w:rsid w:val="00F30C79"/>
    <w:rsid w:val="00F30E08"/>
    <w:rsid w:val="00F30F2A"/>
    <w:rsid w:val="00F30F64"/>
    <w:rsid w:val="00F31347"/>
    <w:rsid w:val="00F3148B"/>
    <w:rsid w:val="00F314F2"/>
    <w:rsid w:val="00F3170C"/>
    <w:rsid w:val="00F3173D"/>
    <w:rsid w:val="00F317B1"/>
    <w:rsid w:val="00F31870"/>
    <w:rsid w:val="00F31A37"/>
    <w:rsid w:val="00F31AA0"/>
    <w:rsid w:val="00F31B0B"/>
    <w:rsid w:val="00F31D04"/>
    <w:rsid w:val="00F31D7D"/>
    <w:rsid w:val="00F31D9C"/>
    <w:rsid w:val="00F321FD"/>
    <w:rsid w:val="00F3243E"/>
    <w:rsid w:val="00F32444"/>
    <w:rsid w:val="00F324C2"/>
    <w:rsid w:val="00F3267C"/>
    <w:rsid w:val="00F32808"/>
    <w:rsid w:val="00F329EB"/>
    <w:rsid w:val="00F32C69"/>
    <w:rsid w:val="00F32DAD"/>
    <w:rsid w:val="00F32DB3"/>
    <w:rsid w:val="00F32DE7"/>
    <w:rsid w:val="00F32E03"/>
    <w:rsid w:val="00F32EC3"/>
    <w:rsid w:val="00F32FBB"/>
    <w:rsid w:val="00F33153"/>
    <w:rsid w:val="00F336B2"/>
    <w:rsid w:val="00F33922"/>
    <w:rsid w:val="00F33989"/>
    <w:rsid w:val="00F339FA"/>
    <w:rsid w:val="00F33A28"/>
    <w:rsid w:val="00F33A3B"/>
    <w:rsid w:val="00F33B76"/>
    <w:rsid w:val="00F33BE3"/>
    <w:rsid w:val="00F33CAA"/>
    <w:rsid w:val="00F33F99"/>
    <w:rsid w:val="00F34001"/>
    <w:rsid w:val="00F3403D"/>
    <w:rsid w:val="00F34078"/>
    <w:rsid w:val="00F34089"/>
    <w:rsid w:val="00F3412D"/>
    <w:rsid w:val="00F341A2"/>
    <w:rsid w:val="00F34329"/>
    <w:rsid w:val="00F34362"/>
    <w:rsid w:val="00F34464"/>
    <w:rsid w:val="00F3452E"/>
    <w:rsid w:val="00F349B8"/>
    <w:rsid w:val="00F34AF6"/>
    <w:rsid w:val="00F34BC9"/>
    <w:rsid w:val="00F34D68"/>
    <w:rsid w:val="00F34D8F"/>
    <w:rsid w:val="00F34DCA"/>
    <w:rsid w:val="00F34FA8"/>
    <w:rsid w:val="00F34FF6"/>
    <w:rsid w:val="00F35126"/>
    <w:rsid w:val="00F35207"/>
    <w:rsid w:val="00F3531E"/>
    <w:rsid w:val="00F3542B"/>
    <w:rsid w:val="00F35701"/>
    <w:rsid w:val="00F3570A"/>
    <w:rsid w:val="00F3572F"/>
    <w:rsid w:val="00F35A27"/>
    <w:rsid w:val="00F35A83"/>
    <w:rsid w:val="00F35F0E"/>
    <w:rsid w:val="00F36051"/>
    <w:rsid w:val="00F36190"/>
    <w:rsid w:val="00F3623E"/>
    <w:rsid w:val="00F36306"/>
    <w:rsid w:val="00F3632E"/>
    <w:rsid w:val="00F36489"/>
    <w:rsid w:val="00F364A6"/>
    <w:rsid w:val="00F365D6"/>
    <w:rsid w:val="00F36675"/>
    <w:rsid w:val="00F36952"/>
    <w:rsid w:val="00F36971"/>
    <w:rsid w:val="00F369EA"/>
    <w:rsid w:val="00F36A79"/>
    <w:rsid w:val="00F36A84"/>
    <w:rsid w:val="00F36BC1"/>
    <w:rsid w:val="00F36C39"/>
    <w:rsid w:val="00F36CCF"/>
    <w:rsid w:val="00F36DDF"/>
    <w:rsid w:val="00F36DF3"/>
    <w:rsid w:val="00F36FCE"/>
    <w:rsid w:val="00F37188"/>
    <w:rsid w:val="00F371C7"/>
    <w:rsid w:val="00F37379"/>
    <w:rsid w:val="00F37414"/>
    <w:rsid w:val="00F3767B"/>
    <w:rsid w:val="00F37943"/>
    <w:rsid w:val="00F37B62"/>
    <w:rsid w:val="00F37B69"/>
    <w:rsid w:val="00F37B73"/>
    <w:rsid w:val="00F37B84"/>
    <w:rsid w:val="00F37C21"/>
    <w:rsid w:val="00F37D06"/>
    <w:rsid w:val="00F37E0C"/>
    <w:rsid w:val="00F37E94"/>
    <w:rsid w:val="00F37EA9"/>
    <w:rsid w:val="00F40614"/>
    <w:rsid w:val="00F40814"/>
    <w:rsid w:val="00F40933"/>
    <w:rsid w:val="00F40CBC"/>
    <w:rsid w:val="00F40DDC"/>
    <w:rsid w:val="00F411F9"/>
    <w:rsid w:val="00F415FF"/>
    <w:rsid w:val="00F416F9"/>
    <w:rsid w:val="00F41703"/>
    <w:rsid w:val="00F41780"/>
    <w:rsid w:val="00F41832"/>
    <w:rsid w:val="00F419E7"/>
    <w:rsid w:val="00F41AD7"/>
    <w:rsid w:val="00F41AFC"/>
    <w:rsid w:val="00F41B53"/>
    <w:rsid w:val="00F4231D"/>
    <w:rsid w:val="00F42568"/>
    <w:rsid w:val="00F426A4"/>
    <w:rsid w:val="00F4270B"/>
    <w:rsid w:val="00F428FB"/>
    <w:rsid w:val="00F42B5F"/>
    <w:rsid w:val="00F42BAC"/>
    <w:rsid w:val="00F42D26"/>
    <w:rsid w:val="00F42E5A"/>
    <w:rsid w:val="00F42F83"/>
    <w:rsid w:val="00F4310D"/>
    <w:rsid w:val="00F4351E"/>
    <w:rsid w:val="00F43968"/>
    <w:rsid w:val="00F43A17"/>
    <w:rsid w:val="00F43A25"/>
    <w:rsid w:val="00F43B01"/>
    <w:rsid w:val="00F43CD9"/>
    <w:rsid w:val="00F43EA0"/>
    <w:rsid w:val="00F43F21"/>
    <w:rsid w:val="00F4415F"/>
    <w:rsid w:val="00F445DC"/>
    <w:rsid w:val="00F4484E"/>
    <w:rsid w:val="00F44C64"/>
    <w:rsid w:val="00F44CDC"/>
    <w:rsid w:val="00F44E7B"/>
    <w:rsid w:val="00F451ED"/>
    <w:rsid w:val="00F4524F"/>
    <w:rsid w:val="00F4564A"/>
    <w:rsid w:val="00F457CC"/>
    <w:rsid w:val="00F45A34"/>
    <w:rsid w:val="00F45E75"/>
    <w:rsid w:val="00F45EFC"/>
    <w:rsid w:val="00F46064"/>
    <w:rsid w:val="00F4613D"/>
    <w:rsid w:val="00F461C6"/>
    <w:rsid w:val="00F46236"/>
    <w:rsid w:val="00F463CF"/>
    <w:rsid w:val="00F463EA"/>
    <w:rsid w:val="00F4640F"/>
    <w:rsid w:val="00F46424"/>
    <w:rsid w:val="00F46430"/>
    <w:rsid w:val="00F4657F"/>
    <w:rsid w:val="00F465DA"/>
    <w:rsid w:val="00F46980"/>
    <w:rsid w:val="00F46A32"/>
    <w:rsid w:val="00F46B2E"/>
    <w:rsid w:val="00F46B43"/>
    <w:rsid w:val="00F46BA4"/>
    <w:rsid w:val="00F46C2D"/>
    <w:rsid w:val="00F46C34"/>
    <w:rsid w:val="00F46DB8"/>
    <w:rsid w:val="00F46F7F"/>
    <w:rsid w:val="00F47126"/>
    <w:rsid w:val="00F4738F"/>
    <w:rsid w:val="00F4746E"/>
    <w:rsid w:val="00F4757F"/>
    <w:rsid w:val="00F475A3"/>
    <w:rsid w:val="00F47A1C"/>
    <w:rsid w:val="00F47B40"/>
    <w:rsid w:val="00F47B9B"/>
    <w:rsid w:val="00F47B9C"/>
    <w:rsid w:val="00F47E3B"/>
    <w:rsid w:val="00F47ED8"/>
    <w:rsid w:val="00F47F1A"/>
    <w:rsid w:val="00F5001F"/>
    <w:rsid w:val="00F5017D"/>
    <w:rsid w:val="00F501CD"/>
    <w:rsid w:val="00F50229"/>
    <w:rsid w:val="00F5035F"/>
    <w:rsid w:val="00F5045B"/>
    <w:rsid w:val="00F505E5"/>
    <w:rsid w:val="00F50784"/>
    <w:rsid w:val="00F509A6"/>
    <w:rsid w:val="00F50A06"/>
    <w:rsid w:val="00F50AA2"/>
    <w:rsid w:val="00F50B18"/>
    <w:rsid w:val="00F50B54"/>
    <w:rsid w:val="00F50BE1"/>
    <w:rsid w:val="00F50C51"/>
    <w:rsid w:val="00F50EA5"/>
    <w:rsid w:val="00F50FE3"/>
    <w:rsid w:val="00F511C7"/>
    <w:rsid w:val="00F51225"/>
    <w:rsid w:val="00F51395"/>
    <w:rsid w:val="00F513AE"/>
    <w:rsid w:val="00F51437"/>
    <w:rsid w:val="00F518C0"/>
    <w:rsid w:val="00F51A7F"/>
    <w:rsid w:val="00F51B09"/>
    <w:rsid w:val="00F51C0F"/>
    <w:rsid w:val="00F51CCC"/>
    <w:rsid w:val="00F51D97"/>
    <w:rsid w:val="00F51ECD"/>
    <w:rsid w:val="00F51EE3"/>
    <w:rsid w:val="00F51F44"/>
    <w:rsid w:val="00F51F79"/>
    <w:rsid w:val="00F51FB0"/>
    <w:rsid w:val="00F52082"/>
    <w:rsid w:val="00F520E6"/>
    <w:rsid w:val="00F521A5"/>
    <w:rsid w:val="00F5224D"/>
    <w:rsid w:val="00F523BB"/>
    <w:rsid w:val="00F52876"/>
    <w:rsid w:val="00F52882"/>
    <w:rsid w:val="00F528AE"/>
    <w:rsid w:val="00F528CF"/>
    <w:rsid w:val="00F52A0B"/>
    <w:rsid w:val="00F52AB3"/>
    <w:rsid w:val="00F52AEC"/>
    <w:rsid w:val="00F52BBB"/>
    <w:rsid w:val="00F52FB5"/>
    <w:rsid w:val="00F53091"/>
    <w:rsid w:val="00F5316D"/>
    <w:rsid w:val="00F53175"/>
    <w:rsid w:val="00F53326"/>
    <w:rsid w:val="00F533DC"/>
    <w:rsid w:val="00F533EA"/>
    <w:rsid w:val="00F5344B"/>
    <w:rsid w:val="00F535F7"/>
    <w:rsid w:val="00F53606"/>
    <w:rsid w:val="00F53635"/>
    <w:rsid w:val="00F5388C"/>
    <w:rsid w:val="00F53BAA"/>
    <w:rsid w:val="00F53D43"/>
    <w:rsid w:val="00F53F2C"/>
    <w:rsid w:val="00F5422C"/>
    <w:rsid w:val="00F54424"/>
    <w:rsid w:val="00F54553"/>
    <w:rsid w:val="00F545B1"/>
    <w:rsid w:val="00F54602"/>
    <w:rsid w:val="00F54689"/>
    <w:rsid w:val="00F5477E"/>
    <w:rsid w:val="00F548DC"/>
    <w:rsid w:val="00F54A63"/>
    <w:rsid w:val="00F54B0E"/>
    <w:rsid w:val="00F54B85"/>
    <w:rsid w:val="00F54DDC"/>
    <w:rsid w:val="00F54E4E"/>
    <w:rsid w:val="00F54E91"/>
    <w:rsid w:val="00F54F0C"/>
    <w:rsid w:val="00F54F13"/>
    <w:rsid w:val="00F5503D"/>
    <w:rsid w:val="00F55102"/>
    <w:rsid w:val="00F5561B"/>
    <w:rsid w:val="00F559F4"/>
    <w:rsid w:val="00F55EBE"/>
    <w:rsid w:val="00F55EBF"/>
    <w:rsid w:val="00F55F28"/>
    <w:rsid w:val="00F561F4"/>
    <w:rsid w:val="00F56351"/>
    <w:rsid w:val="00F563DD"/>
    <w:rsid w:val="00F56608"/>
    <w:rsid w:val="00F56628"/>
    <w:rsid w:val="00F56633"/>
    <w:rsid w:val="00F5675C"/>
    <w:rsid w:val="00F56816"/>
    <w:rsid w:val="00F568B9"/>
    <w:rsid w:val="00F56924"/>
    <w:rsid w:val="00F569E4"/>
    <w:rsid w:val="00F56A4A"/>
    <w:rsid w:val="00F56B54"/>
    <w:rsid w:val="00F56C58"/>
    <w:rsid w:val="00F56D40"/>
    <w:rsid w:val="00F56F05"/>
    <w:rsid w:val="00F57026"/>
    <w:rsid w:val="00F572BD"/>
    <w:rsid w:val="00F572E0"/>
    <w:rsid w:val="00F57374"/>
    <w:rsid w:val="00F57818"/>
    <w:rsid w:val="00F5799C"/>
    <w:rsid w:val="00F57BE6"/>
    <w:rsid w:val="00F57C0C"/>
    <w:rsid w:val="00F57D52"/>
    <w:rsid w:val="00F57DCC"/>
    <w:rsid w:val="00F57E45"/>
    <w:rsid w:val="00F57F95"/>
    <w:rsid w:val="00F60202"/>
    <w:rsid w:val="00F60295"/>
    <w:rsid w:val="00F60339"/>
    <w:rsid w:val="00F6053E"/>
    <w:rsid w:val="00F6055B"/>
    <w:rsid w:val="00F6067D"/>
    <w:rsid w:val="00F60860"/>
    <w:rsid w:val="00F6090C"/>
    <w:rsid w:val="00F609BD"/>
    <w:rsid w:val="00F60A79"/>
    <w:rsid w:val="00F60BB9"/>
    <w:rsid w:val="00F60C71"/>
    <w:rsid w:val="00F60DEA"/>
    <w:rsid w:val="00F60F5F"/>
    <w:rsid w:val="00F60FAA"/>
    <w:rsid w:val="00F60FC5"/>
    <w:rsid w:val="00F61094"/>
    <w:rsid w:val="00F6113F"/>
    <w:rsid w:val="00F61204"/>
    <w:rsid w:val="00F612BF"/>
    <w:rsid w:val="00F6131E"/>
    <w:rsid w:val="00F614B5"/>
    <w:rsid w:val="00F614E9"/>
    <w:rsid w:val="00F61515"/>
    <w:rsid w:val="00F61753"/>
    <w:rsid w:val="00F617B0"/>
    <w:rsid w:val="00F61B94"/>
    <w:rsid w:val="00F61BC2"/>
    <w:rsid w:val="00F61DA1"/>
    <w:rsid w:val="00F61DAB"/>
    <w:rsid w:val="00F61E2D"/>
    <w:rsid w:val="00F62185"/>
    <w:rsid w:val="00F6219E"/>
    <w:rsid w:val="00F621AB"/>
    <w:rsid w:val="00F622DD"/>
    <w:rsid w:val="00F62512"/>
    <w:rsid w:val="00F62607"/>
    <w:rsid w:val="00F626CB"/>
    <w:rsid w:val="00F62849"/>
    <w:rsid w:val="00F629EE"/>
    <w:rsid w:val="00F62A34"/>
    <w:rsid w:val="00F62B49"/>
    <w:rsid w:val="00F62B82"/>
    <w:rsid w:val="00F62C65"/>
    <w:rsid w:val="00F62C69"/>
    <w:rsid w:val="00F6318E"/>
    <w:rsid w:val="00F631CB"/>
    <w:rsid w:val="00F631DC"/>
    <w:rsid w:val="00F6333A"/>
    <w:rsid w:val="00F63617"/>
    <w:rsid w:val="00F6373B"/>
    <w:rsid w:val="00F63853"/>
    <w:rsid w:val="00F63900"/>
    <w:rsid w:val="00F63C77"/>
    <w:rsid w:val="00F63CB0"/>
    <w:rsid w:val="00F63D35"/>
    <w:rsid w:val="00F64191"/>
    <w:rsid w:val="00F641FE"/>
    <w:rsid w:val="00F64294"/>
    <w:rsid w:val="00F644D6"/>
    <w:rsid w:val="00F64770"/>
    <w:rsid w:val="00F64817"/>
    <w:rsid w:val="00F64862"/>
    <w:rsid w:val="00F648D4"/>
    <w:rsid w:val="00F649C5"/>
    <w:rsid w:val="00F64A14"/>
    <w:rsid w:val="00F64F19"/>
    <w:rsid w:val="00F64F55"/>
    <w:rsid w:val="00F64F72"/>
    <w:rsid w:val="00F64FC2"/>
    <w:rsid w:val="00F65442"/>
    <w:rsid w:val="00F65588"/>
    <w:rsid w:val="00F65660"/>
    <w:rsid w:val="00F65894"/>
    <w:rsid w:val="00F65AB6"/>
    <w:rsid w:val="00F65DC4"/>
    <w:rsid w:val="00F66050"/>
    <w:rsid w:val="00F660D2"/>
    <w:rsid w:val="00F66184"/>
    <w:rsid w:val="00F66220"/>
    <w:rsid w:val="00F66284"/>
    <w:rsid w:val="00F66412"/>
    <w:rsid w:val="00F665FC"/>
    <w:rsid w:val="00F66610"/>
    <w:rsid w:val="00F6677B"/>
    <w:rsid w:val="00F66A28"/>
    <w:rsid w:val="00F66A99"/>
    <w:rsid w:val="00F66AD8"/>
    <w:rsid w:val="00F6746C"/>
    <w:rsid w:val="00F676D5"/>
    <w:rsid w:val="00F6789A"/>
    <w:rsid w:val="00F67A05"/>
    <w:rsid w:val="00F67D4E"/>
    <w:rsid w:val="00F700E7"/>
    <w:rsid w:val="00F7023A"/>
    <w:rsid w:val="00F70410"/>
    <w:rsid w:val="00F708AC"/>
    <w:rsid w:val="00F70969"/>
    <w:rsid w:val="00F70A22"/>
    <w:rsid w:val="00F70ADB"/>
    <w:rsid w:val="00F70B0C"/>
    <w:rsid w:val="00F70F67"/>
    <w:rsid w:val="00F711CC"/>
    <w:rsid w:val="00F712A6"/>
    <w:rsid w:val="00F71445"/>
    <w:rsid w:val="00F714AE"/>
    <w:rsid w:val="00F71563"/>
    <w:rsid w:val="00F7176A"/>
    <w:rsid w:val="00F71C2E"/>
    <w:rsid w:val="00F71D44"/>
    <w:rsid w:val="00F71F93"/>
    <w:rsid w:val="00F7205C"/>
    <w:rsid w:val="00F72081"/>
    <w:rsid w:val="00F7212A"/>
    <w:rsid w:val="00F72163"/>
    <w:rsid w:val="00F721F0"/>
    <w:rsid w:val="00F72234"/>
    <w:rsid w:val="00F725B6"/>
    <w:rsid w:val="00F725F2"/>
    <w:rsid w:val="00F728C5"/>
    <w:rsid w:val="00F72B19"/>
    <w:rsid w:val="00F72B98"/>
    <w:rsid w:val="00F72BFF"/>
    <w:rsid w:val="00F72DDA"/>
    <w:rsid w:val="00F73347"/>
    <w:rsid w:val="00F733D7"/>
    <w:rsid w:val="00F7355D"/>
    <w:rsid w:val="00F735D9"/>
    <w:rsid w:val="00F73667"/>
    <w:rsid w:val="00F73780"/>
    <w:rsid w:val="00F7386B"/>
    <w:rsid w:val="00F738F7"/>
    <w:rsid w:val="00F739F3"/>
    <w:rsid w:val="00F73CBE"/>
    <w:rsid w:val="00F73DD0"/>
    <w:rsid w:val="00F73EC1"/>
    <w:rsid w:val="00F74554"/>
    <w:rsid w:val="00F745B8"/>
    <w:rsid w:val="00F74617"/>
    <w:rsid w:val="00F747F2"/>
    <w:rsid w:val="00F748FC"/>
    <w:rsid w:val="00F74B73"/>
    <w:rsid w:val="00F74F35"/>
    <w:rsid w:val="00F7512A"/>
    <w:rsid w:val="00F7512E"/>
    <w:rsid w:val="00F7512F"/>
    <w:rsid w:val="00F75134"/>
    <w:rsid w:val="00F7513E"/>
    <w:rsid w:val="00F7579B"/>
    <w:rsid w:val="00F757BB"/>
    <w:rsid w:val="00F7587B"/>
    <w:rsid w:val="00F7595F"/>
    <w:rsid w:val="00F759F5"/>
    <w:rsid w:val="00F75A46"/>
    <w:rsid w:val="00F75A70"/>
    <w:rsid w:val="00F75AB1"/>
    <w:rsid w:val="00F7605B"/>
    <w:rsid w:val="00F7609B"/>
    <w:rsid w:val="00F760CD"/>
    <w:rsid w:val="00F76404"/>
    <w:rsid w:val="00F764BE"/>
    <w:rsid w:val="00F76A45"/>
    <w:rsid w:val="00F76A60"/>
    <w:rsid w:val="00F76F25"/>
    <w:rsid w:val="00F77006"/>
    <w:rsid w:val="00F776D0"/>
    <w:rsid w:val="00F77906"/>
    <w:rsid w:val="00F77958"/>
    <w:rsid w:val="00F77B88"/>
    <w:rsid w:val="00F77C7D"/>
    <w:rsid w:val="00F77E52"/>
    <w:rsid w:val="00F77E5D"/>
    <w:rsid w:val="00F77FA5"/>
    <w:rsid w:val="00F80079"/>
    <w:rsid w:val="00F800E5"/>
    <w:rsid w:val="00F80162"/>
    <w:rsid w:val="00F8024E"/>
    <w:rsid w:val="00F80309"/>
    <w:rsid w:val="00F80371"/>
    <w:rsid w:val="00F80547"/>
    <w:rsid w:val="00F806A4"/>
    <w:rsid w:val="00F806FB"/>
    <w:rsid w:val="00F808F0"/>
    <w:rsid w:val="00F809B8"/>
    <w:rsid w:val="00F80A94"/>
    <w:rsid w:val="00F80B4C"/>
    <w:rsid w:val="00F80D37"/>
    <w:rsid w:val="00F80DA9"/>
    <w:rsid w:val="00F80EBC"/>
    <w:rsid w:val="00F811A7"/>
    <w:rsid w:val="00F81458"/>
    <w:rsid w:val="00F815CA"/>
    <w:rsid w:val="00F81968"/>
    <w:rsid w:val="00F819C9"/>
    <w:rsid w:val="00F81A93"/>
    <w:rsid w:val="00F81F0D"/>
    <w:rsid w:val="00F8235D"/>
    <w:rsid w:val="00F8247B"/>
    <w:rsid w:val="00F82650"/>
    <w:rsid w:val="00F826CA"/>
    <w:rsid w:val="00F828C9"/>
    <w:rsid w:val="00F829DB"/>
    <w:rsid w:val="00F82C56"/>
    <w:rsid w:val="00F82CBA"/>
    <w:rsid w:val="00F82D50"/>
    <w:rsid w:val="00F82E5B"/>
    <w:rsid w:val="00F82F94"/>
    <w:rsid w:val="00F82FA3"/>
    <w:rsid w:val="00F8302E"/>
    <w:rsid w:val="00F8305B"/>
    <w:rsid w:val="00F832A7"/>
    <w:rsid w:val="00F833AD"/>
    <w:rsid w:val="00F8353B"/>
    <w:rsid w:val="00F838EA"/>
    <w:rsid w:val="00F83CA6"/>
    <w:rsid w:val="00F83D37"/>
    <w:rsid w:val="00F83E2C"/>
    <w:rsid w:val="00F83EE2"/>
    <w:rsid w:val="00F83FB7"/>
    <w:rsid w:val="00F841DA"/>
    <w:rsid w:val="00F84513"/>
    <w:rsid w:val="00F848F4"/>
    <w:rsid w:val="00F849DE"/>
    <w:rsid w:val="00F84D64"/>
    <w:rsid w:val="00F84DFC"/>
    <w:rsid w:val="00F84F40"/>
    <w:rsid w:val="00F850A9"/>
    <w:rsid w:val="00F851E0"/>
    <w:rsid w:val="00F85312"/>
    <w:rsid w:val="00F853B7"/>
    <w:rsid w:val="00F853D8"/>
    <w:rsid w:val="00F8544E"/>
    <w:rsid w:val="00F855F4"/>
    <w:rsid w:val="00F858F1"/>
    <w:rsid w:val="00F8597D"/>
    <w:rsid w:val="00F85A77"/>
    <w:rsid w:val="00F85A98"/>
    <w:rsid w:val="00F85C87"/>
    <w:rsid w:val="00F85D0D"/>
    <w:rsid w:val="00F85E8C"/>
    <w:rsid w:val="00F85F12"/>
    <w:rsid w:val="00F85F1A"/>
    <w:rsid w:val="00F85FD1"/>
    <w:rsid w:val="00F8637A"/>
    <w:rsid w:val="00F8661A"/>
    <w:rsid w:val="00F8669B"/>
    <w:rsid w:val="00F86A02"/>
    <w:rsid w:val="00F86BDA"/>
    <w:rsid w:val="00F86DAB"/>
    <w:rsid w:val="00F86EE5"/>
    <w:rsid w:val="00F86EEB"/>
    <w:rsid w:val="00F86F04"/>
    <w:rsid w:val="00F86FDE"/>
    <w:rsid w:val="00F87001"/>
    <w:rsid w:val="00F871CC"/>
    <w:rsid w:val="00F875B8"/>
    <w:rsid w:val="00F8772B"/>
    <w:rsid w:val="00F877CD"/>
    <w:rsid w:val="00F87867"/>
    <w:rsid w:val="00F879CF"/>
    <w:rsid w:val="00F87A4D"/>
    <w:rsid w:val="00F87A6E"/>
    <w:rsid w:val="00F87BC0"/>
    <w:rsid w:val="00F87CF4"/>
    <w:rsid w:val="00F87D06"/>
    <w:rsid w:val="00F87D4F"/>
    <w:rsid w:val="00F87D7B"/>
    <w:rsid w:val="00F900AD"/>
    <w:rsid w:val="00F90169"/>
    <w:rsid w:val="00F9024E"/>
    <w:rsid w:val="00F902EF"/>
    <w:rsid w:val="00F90817"/>
    <w:rsid w:val="00F908AF"/>
    <w:rsid w:val="00F90A3E"/>
    <w:rsid w:val="00F90A5E"/>
    <w:rsid w:val="00F90BB7"/>
    <w:rsid w:val="00F90F4D"/>
    <w:rsid w:val="00F90FEF"/>
    <w:rsid w:val="00F911C0"/>
    <w:rsid w:val="00F91470"/>
    <w:rsid w:val="00F914CE"/>
    <w:rsid w:val="00F917ED"/>
    <w:rsid w:val="00F91963"/>
    <w:rsid w:val="00F919AA"/>
    <w:rsid w:val="00F91C7B"/>
    <w:rsid w:val="00F91DF2"/>
    <w:rsid w:val="00F91EFF"/>
    <w:rsid w:val="00F91F89"/>
    <w:rsid w:val="00F921AE"/>
    <w:rsid w:val="00F921BE"/>
    <w:rsid w:val="00F9271E"/>
    <w:rsid w:val="00F92736"/>
    <w:rsid w:val="00F92970"/>
    <w:rsid w:val="00F929B2"/>
    <w:rsid w:val="00F92BC6"/>
    <w:rsid w:val="00F92EB1"/>
    <w:rsid w:val="00F92FA8"/>
    <w:rsid w:val="00F93081"/>
    <w:rsid w:val="00F93151"/>
    <w:rsid w:val="00F93159"/>
    <w:rsid w:val="00F93338"/>
    <w:rsid w:val="00F933BB"/>
    <w:rsid w:val="00F93621"/>
    <w:rsid w:val="00F93C96"/>
    <w:rsid w:val="00F93CF0"/>
    <w:rsid w:val="00F93D47"/>
    <w:rsid w:val="00F93D7D"/>
    <w:rsid w:val="00F93E29"/>
    <w:rsid w:val="00F93EA6"/>
    <w:rsid w:val="00F93F0D"/>
    <w:rsid w:val="00F93F19"/>
    <w:rsid w:val="00F94230"/>
    <w:rsid w:val="00F9425C"/>
    <w:rsid w:val="00F94283"/>
    <w:rsid w:val="00F943DC"/>
    <w:rsid w:val="00F944F2"/>
    <w:rsid w:val="00F9455E"/>
    <w:rsid w:val="00F945E4"/>
    <w:rsid w:val="00F9472B"/>
    <w:rsid w:val="00F94756"/>
    <w:rsid w:val="00F947F2"/>
    <w:rsid w:val="00F94853"/>
    <w:rsid w:val="00F94993"/>
    <w:rsid w:val="00F949F0"/>
    <w:rsid w:val="00F94A30"/>
    <w:rsid w:val="00F94ABE"/>
    <w:rsid w:val="00F94D59"/>
    <w:rsid w:val="00F94F17"/>
    <w:rsid w:val="00F94F3A"/>
    <w:rsid w:val="00F94F7C"/>
    <w:rsid w:val="00F950BC"/>
    <w:rsid w:val="00F953BA"/>
    <w:rsid w:val="00F9551E"/>
    <w:rsid w:val="00F955ED"/>
    <w:rsid w:val="00F956EE"/>
    <w:rsid w:val="00F95827"/>
    <w:rsid w:val="00F958FF"/>
    <w:rsid w:val="00F95976"/>
    <w:rsid w:val="00F95DCC"/>
    <w:rsid w:val="00F95F69"/>
    <w:rsid w:val="00F95F8A"/>
    <w:rsid w:val="00F961E8"/>
    <w:rsid w:val="00F9641E"/>
    <w:rsid w:val="00F9644E"/>
    <w:rsid w:val="00F9655F"/>
    <w:rsid w:val="00F9677E"/>
    <w:rsid w:val="00F967D0"/>
    <w:rsid w:val="00F967E4"/>
    <w:rsid w:val="00F96980"/>
    <w:rsid w:val="00F96B1E"/>
    <w:rsid w:val="00F96E2E"/>
    <w:rsid w:val="00F96F2E"/>
    <w:rsid w:val="00F96F54"/>
    <w:rsid w:val="00F97595"/>
    <w:rsid w:val="00F97616"/>
    <w:rsid w:val="00F97760"/>
    <w:rsid w:val="00F97807"/>
    <w:rsid w:val="00F978EF"/>
    <w:rsid w:val="00F979BE"/>
    <w:rsid w:val="00F97A85"/>
    <w:rsid w:val="00F97A8A"/>
    <w:rsid w:val="00F97C21"/>
    <w:rsid w:val="00F97C50"/>
    <w:rsid w:val="00F97C9A"/>
    <w:rsid w:val="00FA000B"/>
    <w:rsid w:val="00FA023F"/>
    <w:rsid w:val="00FA0327"/>
    <w:rsid w:val="00FA0425"/>
    <w:rsid w:val="00FA0469"/>
    <w:rsid w:val="00FA0581"/>
    <w:rsid w:val="00FA05A3"/>
    <w:rsid w:val="00FA0651"/>
    <w:rsid w:val="00FA0805"/>
    <w:rsid w:val="00FA085E"/>
    <w:rsid w:val="00FA0AB8"/>
    <w:rsid w:val="00FA0BD2"/>
    <w:rsid w:val="00FA0C17"/>
    <w:rsid w:val="00FA0CA2"/>
    <w:rsid w:val="00FA0D26"/>
    <w:rsid w:val="00FA0E19"/>
    <w:rsid w:val="00FA113C"/>
    <w:rsid w:val="00FA11F2"/>
    <w:rsid w:val="00FA1259"/>
    <w:rsid w:val="00FA125F"/>
    <w:rsid w:val="00FA12F3"/>
    <w:rsid w:val="00FA14D1"/>
    <w:rsid w:val="00FA1647"/>
    <w:rsid w:val="00FA17C9"/>
    <w:rsid w:val="00FA183B"/>
    <w:rsid w:val="00FA185A"/>
    <w:rsid w:val="00FA18AC"/>
    <w:rsid w:val="00FA18E7"/>
    <w:rsid w:val="00FA191F"/>
    <w:rsid w:val="00FA1BB0"/>
    <w:rsid w:val="00FA1BEE"/>
    <w:rsid w:val="00FA1C1F"/>
    <w:rsid w:val="00FA1C8B"/>
    <w:rsid w:val="00FA1D76"/>
    <w:rsid w:val="00FA1D99"/>
    <w:rsid w:val="00FA1F25"/>
    <w:rsid w:val="00FA1FBC"/>
    <w:rsid w:val="00FA2012"/>
    <w:rsid w:val="00FA201D"/>
    <w:rsid w:val="00FA20C7"/>
    <w:rsid w:val="00FA211D"/>
    <w:rsid w:val="00FA229B"/>
    <w:rsid w:val="00FA22A8"/>
    <w:rsid w:val="00FA24E2"/>
    <w:rsid w:val="00FA261E"/>
    <w:rsid w:val="00FA2729"/>
    <w:rsid w:val="00FA2779"/>
    <w:rsid w:val="00FA27F3"/>
    <w:rsid w:val="00FA289A"/>
    <w:rsid w:val="00FA28BD"/>
    <w:rsid w:val="00FA28F4"/>
    <w:rsid w:val="00FA2926"/>
    <w:rsid w:val="00FA292D"/>
    <w:rsid w:val="00FA2933"/>
    <w:rsid w:val="00FA2936"/>
    <w:rsid w:val="00FA29F6"/>
    <w:rsid w:val="00FA2ABF"/>
    <w:rsid w:val="00FA2B43"/>
    <w:rsid w:val="00FA2D0E"/>
    <w:rsid w:val="00FA2D61"/>
    <w:rsid w:val="00FA2DA9"/>
    <w:rsid w:val="00FA3062"/>
    <w:rsid w:val="00FA30AD"/>
    <w:rsid w:val="00FA31D7"/>
    <w:rsid w:val="00FA3256"/>
    <w:rsid w:val="00FA35B2"/>
    <w:rsid w:val="00FA3656"/>
    <w:rsid w:val="00FA3A4B"/>
    <w:rsid w:val="00FA46EA"/>
    <w:rsid w:val="00FA47B9"/>
    <w:rsid w:val="00FA4894"/>
    <w:rsid w:val="00FA4916"/>
    <w:rsid w:val="00FA4C9C"/>
    <w:rsid w:val="00FA4D35"/>
    <w:rsid w:val="00FA4E57"/>
    <w:rsid w:val="00FA521E"/>
    <w:rsid w:val="00FA5653"/>
    <w:rsid w:val="00FA5712"/>
    <w:rsid w:val="00FA5A0E"/>
    <w:rsid w:val="00FA5C46"/>
    <w:rsid w:val="00FA5DC7"/>
    <w:rsid w:val="00FA5E13"/>
    <w:rsid w:val="00FA5E6E"/>
    <w:rsid w:val="00FA5F44"/>
    <w:rsid w:val="00FA636B"/>
    <w:rsid w:val="00FA6467"/>
    <w:rsid w:val="00FA6642"/>
    <w:rsid w:val="00FA6698"/>
    <w:rsid w:val="00FA6749"/>
    <w:rsid w:val="00FA695D"/>
    <w:rsid w:val="00FA6AED"/>
    <w:rsid w:val="00FA6C42"/>
    <w:rsid w:val="00FA6D26"/>
    <w:rsid w:val="00FA6D9E"/>
    <w:rsid w:val="00FA6E39"/>
    <w:rsid w:val="00FA6EBC"/>
    <w:rsid w:val="00FA6EF3"/>
    <w:rsid w:val="00FA714E"/>
    <w:rsid w:val="00FA71A1"/>
    <w:rsid w:val="00FA7227"/>
    <w:rsid w:val="00FA788F"/>
    <w:rsid w:val="00FA789F"/>
    <w:rsid w:val="00FA7948"/>
    <w:rsid w:val="00FA79A7"/>
    <w:rsid w:val="00FA7A22"/>
    <w:rsid w:val="00FA7A5B"/>
    <w:rsid w:val="00FA7AB5"/>
    <w:rsid w:val="00FA7B11"/>
    <w:rsid w:val="00FA7B68"/>
    <w:rsid w:val="00FA7CA6"/>
    <w:rsid w:val="00FA7E5C"/>
    <w:rsid w:val="00FA7E6B"/>
    <w:rsid w:val="00FA7F72"/>
    <w:rsid w:val="00FB028C"/>
    <w:rsid w:val="00FB02C6"/>
    <w:rsid w:val="00FB03FF"/>
    <w:rsid w:val="00FB04D2"/>
    <w:rsid w:val="00FB05F1"/>
    <w:rsid w:val="00FB0851"/>
    <w:rsid w:val="00FB087A"/>
    <w:rsid w:val="00FB09C6"/>
    <w:rsid w:val="00FB0D71"/>
    <w:rsid w:val="00FB0F12"/>
    <w:rsid w:val="00FB1085"/>
    <w:rsid w:val="00FB11A7"/>
    <w:rsid w:val="00FB124E"/>
    <w:rsid w:val="00FB126A"/>
    <w:rsid w:val="00FB139B"/>
    <w:rsid w:val="00FB13FA"/>
    <w:rsid w:val="00FB1460"/>
    <w:rsid w:val="00FB148E"/>
    <w:rsid w:val="00FB1504"/>
    <w:rsid w:val="00FB167C"/>
    <w:rsid w:val="00FB193D"/>
    <w:rsid w:val="00FB1A09"/>
    <w:rsid w:val="00FB1AC0"/>
    <w:rsid w:val="00FB1ADB"/>
    <w:rsid w:val="00FB1B7D"/>
    <w:rsid w:val="00FB1BB1"/>
    <w:rsid w:val="00FB1CC7"/>
    <w:rsid w:val="00FB1E26"/>
    <w:rsid w:val="00FB1E75"/>
    <w:rsid w:val="00FB1FE6"/>
    <w:rsid w:val="00FB21AF"/>
    <w:rsid w:val="00FB22B3"/>
    <w:rsid w:val="00FB22DF"/>
    <w:rsid w:val="00FB2359"/>
    <w:rsid w:val="00FB241A"/>
    <w:rsid w:val="00FB2462"/>
    <w:rsid w:val="00FB2590"/>
    <w:rsid w:val="00FB2671"/>
    <w:rsid w:val="00FB2717"/>
    <w:rsid w:val="00FB271D"/>
    <w:rsid w:val="00FB2771"/>
    <w:rsid w:val="00FB278B"/>
    <w:rsid w:val="00FB27F3"/>
    <w:rsid w:val="00FB2815"/>
    <w:rsid w:val="00FB31F7"/>
    <w:rsid w:val="00FB3422"/>
    <w:rsid w:val="00FB3490"/>
    <w:rsid w:val="00FB35D4"/>
    <w:rsid w:val="00FB365A"/>
    <w:rsid w:val="00FB377B"/>
    <w:rsid w:val="00FB3896"/>
    <w:rsid w:val="00FB38CD"/>
    <w:rsid w:val="00FB3939"/>
    <w:rsid w:val="00FB3992"/>
    <w:rsid w:val="00FB3A9B"/>
    <w:rsid w:val="00FB3B4C"/>
    <w:rsid w:val="00FB3F93"/>
    <w:rsid w:val="00FB411B"/>
    <w:rsid w:val="00FB4132"/>
    <w:rsid w:val="00FB42A0"/>
    <w:rsid w:val="00FB4322"/>
    <w:rsid w:val="00FB4630"/>
    <w:rsid w:val="00FB4673"/>
    <w:rsid w:val="00FB479E"/>
    <w:rsid w:val="00FB4882"/>
    <w:rsid w:val="00FB4A09"/>
    <w:rsid w:val="00FB4A5F"/>
    <w:rsid w:val="00FB4DCE"/>
    <w:rsid w:val="00FB4F39"/>
    <w:rsid w:val="00FB5028"/>
    <w:rsid w:val="00FB5051"/>
    <w:rsid w:val="00FB5121"/>
    <w:rsid w:val="00FB52C1"/>
    <w:rsid w:val="00FB5AD0"/>
    <w:rsid w:val="00FB5C99"/>
    <w:rsid w:val="00FB5EB1"/>
    <w:rsid w:val="00FB5FA2"/>
    <w:rsid w:val="00FB612A"/>
    <w:rsid w:val="00FB6272"/>
    <w:rsid w:val="00FB64CE"/>
    <w:rsid w:val="00FB6565"/>
    <w:rsid w:val="00FB65AA"/>
    <w:rsid w:val="00FB676C"/>
    <w:rsid w:val="00FB683C"/>
    <w:rsid w:val="00FB6904"/>
    <w:rsid w:val="00FB6918"/>
    <w:rsid w:val="00FB697F"/>
    <w:rsid w:val="00FB6A58"/>
    <w:rsid w:val="00FB6AF1"/>
    <w:rsid w:val="00FB6B10"/>
    <w:rsid w:val="00FB6BF1"/>
    <w:rsid w:val="00FB6C32"/>
    <w:rsid w:val="00FB6CEB"/>
    <w:rsid w:val="00FB6E24"/>
    <w:rsid w:val="00FB6EAF"/>
    <w:rsid w:val="00FB725C"/>
    <w:rsid w:val="00FB733D"/>
    <w:rsid w:val="00FB74AA"/>
    <w:rsid w:val="00FB7502"/>
    <w:rsid w:val="00FB7801"/>
    <w:rsid w:val="00FB784F"/>
    <w:rsid w:val="00FB789D"/>
    <w:rsid w:val="00FB7999"/>
    <w:rsid w:val="00FB7D20"/>
    <w:rsid w:val="00FB7D94"/>
    <w:rsid w:val="00FB7E37"/>
    <w:rsid w:val="00FB7E50"/>
    <w:rsid w:val="00FB7F3E"/>
    <w:rsid w:val="00FC0015"/>
    <w:rsid w:val="00FC0351"/>
    <w:rsid w:val="00FC0424"/>
    <w:rsid w:val="00FC0478"/>
    <w:rsid w:val="00FC047A"/>
    <w:rsid w:val="00FC067D"/>
    <w:rsid w:val="00FC0D50"/>
    <w:rsid w:val="00FC0EF4"/>
    <w:rsid w:val="00FC0F4F"/>
    <w:rsid w:val="00FC1110"/>
    <w:rsid w:val="00FC11F6"/>
    <w:rsid w:val="00FC1247"/>
    <w:rsid w:val="00FC128D"/>
    <w:rsid w:val="00FC12E0"/>
    <w:rsid w:val="00FC12EC"/>
    <w:rsid w:val="00FC1486"/>
    <w:rsid w:val="00FC149C"/>
    <w:rsid w:val="00FC162A"/>
    <w:rsid w:val="00FC17B8"/>
    <w:rsid w:val="00FC1871"/>
    <w:rsid w:val="00FC1BDD"/>
    <w:rsid w:val="00FC1CA6"/>
    <w:rsid w:val="00FC1CB5"/>
    <w:rsid w:val="00FC1F4B"/>
    <w:rsid w:val="00FC1FFB"/>
    <w:rsid w:val="00FC203F"/>
    <w:rsid w:val="00FC2154"/>
    <w:rsid w:val="00FC24DD"/>
    <w:rsid w:val="00FC24E4"/>
    <w:rsid w:val="00FC2891"/>
    <w:rsid w:val="00FC28E8"/>
    <w:rsid w:val="00FC2A97"/>
    <w:rsid w:val="00FC2BB9"/>
    <w:rsid w:val="00FC2BFD"/>
    <w:rsid w:val="00FC2C2C"/>
    <w:rsid w:val="00FC2C7E"/>
    <w:rsid w:val="00FC2EC2"/>
    <w:rsid w:val="00FC2EF9"/>
    <w:rsid w:val="00FC317D"/>
    <w:rsid w:val="00FC32A2"/>
    <w:rsid w:val="00FC33AB"/>
    <w:rsid w:val="00FC33D3"/>
    <w:rsid w:val="00FC366E"/>
    <w:rsid w:val="00FC3755"/>
    <w:rsid w:val="00FC3960"/>
    <w:rsid w:val="00FC3DC3"/>
    <w:rsid w:val="00FC3E87"/>
    <w:rsid w:val="00FC40E3"/>
    <w:rsid w:val="00FC41B2"/>
    <w:rsid w:val="00FC43DC"/>
    <w:rsid w:val="00FC4434"/>
    <w:rsid w:val="00FC4456"/>
    <w:rsid w:val="00FC44AD"/>
    <w:rsid w:val="00FC44C2"/>
    <w:rsid w:val="00FC44CB"/>
    <w:rsid w:val="00FC4631"/>
    <w:rsid w:val="00FC48E2"/>
    <w:rsid w:val="00FC4A17"/>
    <w:rsid w:val="00FC4AA2"/>
    <w:rsid w:val="00FC4C45"/>
    <w:rsid w:val="00FC4E5E"/>
    <w:rsid w:val="00FC4E78"/>
    <w:rsid w:val="00FC4F69"/>
    <w:rsid w:val="00FC528A"/>
    <w:rsid w:val="00FC5290"/>
    <w:rsid w:val="00FC53DA"/>
    <w:rsid w:val="00FC5478"/>
    <w:rsid w:val="00FC5535"/>
    <w:rsid w:val="00FC55B4"/>
    <w:rsid w:val="00FC5677"/>
    <w:rsid w:val="00FC5784"/>
    <w:rsid w:val="00FC5886"/>
    <w:rsid w:val="00FC5A05"/>
    <w:rsid w:val="00FC5B42"/>
    <w:rsid w:val="00FC5BDC"/>
    <w:rsid w:val="00FC5D52"/>
    <w:rsid w:val="00FC5DEC"/>
    <w:rsid w:val="00FC61E6"/>
    <w:rsid w:val="00FC639B"/>
    <w:rsid w:val="00FC678F"/>
    <w:rsid w:val="00FC692E"/>
    <w:rsid w:val="00FC6969"/>
    <w:rsid w:val="00FC6995"/>
    <w:rsid w:val="00FC6B5B"/>
    <w:rsid w:val="00FC6BC1"/>
    <w:rsid w:val="00FC700F"/>
    <w:rsid w:val="00FC7116"/>
    <w:rsid w:val="00FC7561"/>
    <w:rsid w:val="00FC779E"/>
    <w:rsid w:val="00FC780F"/>
    <w:rsid w:val="00FC78B2"/>
    <w:rsid w:val="00FC7AA2"/>
    <w:rsid w:val="00FC7B64"/>
    <w:rsid w:val="00FC7B9C"/>
    <w:rsid w:val="00FC7C76"/>
    <w:rsid w:val="00FC7CE1"/>
    <w:rsid w:val="00FC7D4A"/>
    <w:rsid w:val="00FC7EB3"/>
    <w:rsid w:val="00FD01B5"/>
    <w:rsid w:val="00FD01C5"/>
    <w:rsid w:val="00FD0428"/>
    <w:rsid w:val="00FD055A"/>
    <w:rsid w:val="00FD0637"/>
    <w:rsid w:val="00FD06E6"/>
    <w:rsid w:val="00FD0946"/>
    <w:rsid w:val="00FD0A41"/>
    <w:rsid w:val="00FD0AA9"/>
    <w:rsid w:val="00FD0D54"/>
    <w:rsid w:val="00FD0FB7"/>
    <w:rsid w:val="00FD11DE"/>
    <w:rsid w:val="00FD128A"/>
    <w:rsid w:val="00FD1706"/>
    <w:rsid w:val="00FD1753"/>
    <w:rsid w:val="00FD191B"/>
    <w:rsid w:val="00FD1949"/>
    <w:rsid w:val="00FD199F"/>
    <w:rsid w:val="00FD19D7"/>
    <w:rsid w:val="00FD19F0"/>
    <w:rsid w:val="00FD1B9E"/>
    <w:rsid w:val="00FD2159"/>
    <w:rsid w:val="00FD22C4"/>
    <w:rsid w:val="00FD232F"/>
    <w:rsid w:val="00FD2377"/>
    <w:rsid w:val="00FD24AD"/>
    <w:rsid w:val="00FD2707"/>
    <w:rsid w:val="00FD28A6"/>
    <w:rsid w:val="00FD2AB5"/>
    <w:rsid w:val="00FD2ADA"/>
    <w:rsid w:val="00FD2EC6"/>
    <w:rsid w:val="00FD2FA4"/>
    <w:rsid w:val="00FD3048"/>
    <w:rsid w:val="00FD30C7"/>
    <w:rsid w:val="00FD3148"/>
    <w:rsid w:val="00FD3157"/>
    <w:rsid w:val="00FD31C1"/>
    <w:rsid w:val="00FD34D9"/>
    <w:rsid w:val="00FD3608"/>
    <w:rsid w:val="00FD399E"/>
    <w:rsid w:val="00FD3B6D"/>
    <w:rsid w:val="00FD4027"/>
    <w:rsid w:val="00FD4190"/>
    <w:rsid w:val="00FD42E9"/>
    <w:rsid w:val="00FD4409"/>
    <w:rsid w:val="00FD4422"/>
    <w:rsid w:val="00FD4557"/>
    <w:rsid w:val="00FD466A"/>
    <w:rsid w:val="00FD4870"/>
    <w:rsid w:val="00FD4A62"/>
    <w:rsid w:val="00FD4D54"/>
    <w:rsid w:val="00FD4D59"/>
    <w:rsid w:val="00FD4DE6"/>
    <w:rsid w:val="00FD4F85"/>
    <w:rsid w:val="00FD4FAB"/>
    <w:rsid w:val="00FD5047"/>
    <w:rsid w:val="00FD515B"/>
    <w:rsid w:val="00FD5230"/>
    <w:rsid w:val="00FD5553"/>
    <w:rsid w:val="00FD5A99"/>
    <w:rsid w:val="00FD5BF0"/>
    <w:rsid w:val="00FD5C35"/>
    <w:rsid w:val="00FD5D1E"/>
    <w:rsid w:val="00FD6139"/>
    <w:rsid w:val="00FD621A"/>
    <w:rsid w:val="00FD629D"/>
    <w:rsid w:val="00FD6379"/>
    <w:rsid w:val="00FD6381"/>
    <w:rsid w:val="00FD6475"/>
    <w:rsid w:val="00FD664B"/>
    <w:rsid w:val="00FD6E47"/>
    <w:rsid w:val="00FD6EC2"/>
    <w:rsid w:val="00FD6EE6"/>
    <w:rsid w:val="00FD6F8C"/>
    <w:rsid w:val="00FD709D"/>
    <w:rsid w:val="00FD70B4"/>
    <w:rsid w:val="00FD70FA"/>
    <w:rsid w:val="00FD7373"/>
    <w:rsid w:val="00FD77A0"/>
    <w:rsid w:val="00FD79A4"/>
    <w:rsid w:val="00FD7AE7"/>
    <w:rsid w:val="00FD7B2F"/>
    <w:rsid w:val="00FE0161"/>
    <w:rsid w:val="00FE02FC"/>
    <w:rsid w:val="00FE0308"/>
    <w:rsid w:val="00FE03FF"/>
    <w:rsid w:val="00FE0539"/>
    <w:rsid w:val="00FE062C"/>
    <w:rsid w:val="00FE090B"/>
    <w:rsid w:val="00FE0976"/>
    <w:rsid w:val="00FE09CB"/>
    <w:rsid w:val="00FE0C7B"/>
    <w:rsid w:val="00FE0CCE"/>
    <w:rsid w:val="00FE1377"/>
    <w:rsid w:val="00FE13AF"/>
    <w:rsid w:val="00FE142D"/>
    <w:rsid w:val="00FE155D"/>
    <w:rsid w:val="00FE195D"/>
    <w:rsid w:val="00FE1965"/>
    <w:rsid w:val="00FE197E"/>
    <w:rsid w:val="00FE1AD7"/>
    <w:rsid w:val="00FE1B8A"/>
    <w:rsid w:val="00FE1D73"/>
    <w:rsid w:val="00FE1EDF"/>
    <w:rsid w:val="00FE23E4"/>
    <w:rsid w:val="00FE25E7"/>
    <w:rsid w:val="00FE26C3"/>
    <w:rsid w:val="00FE26F9"/>
    <w:rsid w:val="00FE29E1"/>
    <w:rsid w:val="00FE29EA"/>
    <w:rsid w:val="00FE2A04"/>
    <w:rsid w:val="00FE2AC1"/>
    <w:rsid w:val="00FE2B20"/>
    <w:rsid w:val="00FE2DAD"/>
    <w:rsid w:val="00FE2E90"/>
    <w:rsid w:val="00FE2F3B"/>
    <w:rsid w:val="00FE2F6F"/>
    <w:rsid w:val="00FE2FC6"/>
    <w:rsid w:val="00FE30F2"/>
    <w:rsid w:val="00FE316E"/>
    <w:rsid w:val="00FE317C"/>
    <w:rsid w:val="00FE33BE"/>
    <w:rsid w:val="00FE3437"/>
    <w:rsid w:val="00FE34A9"/>
    <w:rsid w:val="00FE35B9"/>
    <w:rsid w:val="00FE3756"/>
    <w:rsid w:val="00FE378C"/>
    <w:rsid w:val="00FE3983"/>
    <w:rsid w:val="00FE3A9F"/>
    <w:rsid w:val="00FE3B21"/>
    <w:rsid w:val="00FE3B35"/>
    <w:rsid w:val="00FE3BB1"/>
    <w:rsid w:val="00FE3CBD"/>
    <w:rsid w:val="00FE3CCC"/>
    <w:rsid w:val="00FE3D4C"/>
    <w:rsid w:val="00FE3F65"/>
    <w:rsid w:val="00FE4086"/>
    <w:rsid w:val="00FE40A1"/>
    <w:rsid w:val="00FE4345"/>
    <w:rsid w:val="00FE4588"/>
    <w:rsid w:val="00FE4672"/>
    <w:rsid w:val="00FE47AA"/>
    <w:rsid w:val="00FE4849"/>
    <w:rsid w:val="00FE4892"/>
    <w:rsid w:val="00FE4953"/>
    <w:rsid w:val="00FE4CF5"/>
    <w:rsid w:val="00FE4F1D"/>
    <w:rsid w:val="00FE4F7D"/>
    <w:rsid w:val="00FE53AE"/>
    <w:rsid w:val="00FE5413"/>
    <w:rsid w:val="00FE5749"/>
    <w:rsid w:val="00FE59A9"/>
    <w:rsid w:val="00FE5A10"/>
    <w:rsid w:val="00FE5CCD"/>
    <w:rsid w:val="00FE6004"/>
    <w:rsid w:val="00FE6005"/>
    <w:rsid w:val="00FE6113"/>
    <w:rsid w:val="00FE62BE"/>
    <w:rsid w:val="00FE6360"/>
    <w:rsid w:val="00FE63D2"/>
    <w:rsid w:val="00FE6479"/>
    <w:rsid w:val="00FE659E"/>
    <w:rsid w:val="00FE65EA"/>
    <w:rsid w:val="00FE67F9"/>
    <w:rsid w:val="00FE696C"/>
    <w:rsid w:val="00FE6D46"/>
    <w:rsid w:val="00FE6E34"/>
    <w:rsid w:val="00FE6EA7"/>
    <w:rsid w:val="00FE71D1"/>
    <w:rsid w:val="00FE7629"/>
    <w:rsid w:val="00FE76B9"/>
    <w:rsid w:val="00FE7706"/>
    <w:rsid w:val="00FE7911"/>
    <w:rsid w:val="00FE7935"/>
    <w:rsid w:val="00FE7A7E"/>
    <w:rsid w:val="00FE7D38"/>
    <w:rsid w:val="00FE7E74"/>
    <w:rsid w:val="00FE7FA9"/>
    <w:rsid w:val="00FF01A7"/>
    <w:rsid w:val="00FF026F"/>
    <w:rsid w:val="00FF03A0"/>
    <w:rsid w:val="00FF0437"/>
    <w:rsid w:val="00FF04EA"/>
    <w:rsid w:val="00FF0685"/>
    <w:rsid w:val="00FF0724"/>
    <w:rsid w:val="00FF073A"/>
    <w:rsid w:val="00FF0A21"/>
    <w:rsid w:val="00FF0A4F"/>
    <w:rsid w:val="00FF0D72"/>
    <w:rsid w:val="00FF101D"/>
    <w:rsid w:val="00FF1088"/>
    <w:rsid w:val="00FF1100"/>
    <w:rsid w:val="00FF11CF"/>
    <w:rsid w:val="00FF135B"/>
    <w:rsid w:val="00FF14B5"/>
    <w:rsid w:val="00FF1643"/>
    <w:rsid w:val="00FF170D"/>
    <w:rsid w:val="00FF17D5"/>
    <w:rsid w:val="00FF19C6"/>
    <w:rsid w:val="00FF1A6B"/>
    <w:rsid w:val="00FF1C69"/>
    <w:rsid w:val="00FF1C8D"/>
    <w:rsid w:val="00FF1DC6"/>
    <w:rsid w:val="00FF1EA8"/>
    <w:rsid w:val="00FF1FF4"/>
    <w:rsid w:val="00FF201A"/>
    <w:rsid w:val="00FF2194"/>
    <w:rsid w:val="00FF2211"/>
    <w:rsid w:val="00FF2227"/>
    <w:rsid w:val="00FF2400"/>
    <w:rsid w:val="00FF25CE"/>
    <w:rsid w:val="00FF2603"/>
    <w:rsid w:val="00FF2923"/>
    <w:rsid w:val="00FF2925"/>
    <w:rsid w:val="00FF2C51"/>
    <w:rsid w:val="00FF2C77"/>
    <w:rsid w:val="00FF2DDA"/>
    <w:rsid w:val="00FF329B"/>
    <w:rsid w:val="00FF33D5"/>
    <w:rsid w:val="00FF34D8"/>
    <w:rsid w:val="00FF369C"/>
    <w:rsid w:val="00FF377B"/>
    <w:rsid w:val="00FF38AE"/>
    <w:rsid w:val="00FF38B1"/>
    <w:rsid w:val="00FF38E2"/>
    <w:rsid w:val="00FF38F3"/>
    <w:rsid w:val="00FF3BAB"/>
    <w:rsid w:val="00FF3DA9"/>
    <w:rsid w:val="00FF3F37"/>
    <w:rsid w:val="00FF40C8"/>
    <w:rsid w:val="00FF413E"/>
    <w:rsid w:val="00FF416A"/>
    <w:rsid w:val="00FF4214"/>
    <w:rsid w:val="00FF4319"/>
    <w:rsid w:val="00FF4501"/>
    <w:rsid w:val="00FF456E"/>
    <w:rsid w:val="00FF4717"/>
    <w:rsid w:val="00FF4815"/>
    <w:rsid w:val="00FF4A23"/>
    <w:rsid w:val="00FF4C3D"/>
    <w:rsid w:val="00FF4CE6"/>
    <w:rsid w:val="00FF4E4A"/>
    <w:rsid w:val="00FF4EBA"/>
    <w:rsid w:val="00FF53AA"/>
    <w:rsid w:val="00FF5445"/>
    <w:rsid w:val="00FF5492"/>
    <w:rsid w:val="00FF54F3"/>
    <w:rsid w:val="00FF56E1"/>
    <w:rsid w:val="00FF5744"/>
    <w:rsid w:val="00FF588A"/>
    <w:rsid w:val="00FF589C"/>
    <w:rsid w:val="00FF5AB2"/>
    <w:rsid w:val="00FF5BEB"/>
    <w:rsid w:val="00FF5C31"/>
    <w:rsid w:val="00FF5CB8"/>
    <w:rsid w:val="00FF5D46"/>
    <w:rsid w:val="00FF5D4C"/>
    <w:rsid w:val="00FF6210"/>
    <w:rsid w:val="00FF6312"/>
    <w:rsid w:val="00FF6429"/>
    <w:rsid w:val="00FF657B"/>
    <w:rsid w:val="00FF6656"/>
    <w:rsid w:val="00FF67E1"/>
    <w:rsid w:val="00FF686F"/>
    <w:rsid w:val="00FF6969"/>
    <w:rsid w:val="00FF69AE"/>
    <w:rsid w:val="00FF6B0D"/>
    <w:rsid w:val="00FF6CEA"/>
    <w:rsid w:val="00FF6DB2"/>
    <w:rsid w:val="00FF6E1D"/>
    <w:rsid w:val="00FF70B4"/>
    <w:rsid w:val="00FF71E4"/>
    <w:rsid w:val="00FF750D"/>
    <w:rsid w:val="00FF75BD"/>
    <w:rsid w:val="00FF75D6"/>
    <w:rsid w:val="00FF7731"/>
    <w:rsid w:val="00FF773E"/>
    <w:rsid w:val="00FF780A"/>
    <w:rsid w:val="00FF78D5"/>
    <w:rsid w:val="00FF78F7"/>
    <w:rsid w:val="00FF79D3"/>
    <w:rsid w:val="00FF7A3E"/>
    <w:rsid w:val="00FF7A5F"/>
    <w:rsid w:val="00FF7A66"/>
    <w:rsid w:val="00FF7A67"/>
    <w:rsid w:val="00FF7AF9"/>
    <w:rsid w:val="00FF7C3F"/>
    <w:rsid w:val="00FF7F8C"/>
    <w:rsid w:val="01031C09"/>
    <w:rsid w:val="01154679"/>
    <w:rsid w:val="01502A67"/>
    <w:rsid w:val="017B6F4F"/>
    <w:rsid w:val="018B08FA"/>
    <w:rsid w:val="018ECC77"/>
    <w:rsid w:val="019B4EDF"/>
    <w:rsid w:val="01ADDCDC"/>
    <w:rsid w:val="01BE46D6"/>
    <w:rsid w:val="01D7B5CC"/>
    <w:rsid w:val="01D82CDA"/>
    <w:rsid w:val="021B4A5D"/>
    <w:rsid w:val="023D442D"/>
    <w:rsid w:val="0249A8C6"/>
    <w:rsid w:val="027B19F5"/>
    <w:rsid w:val="02819FCD"/>
    <w:rsid w:val="02B83991"/>
    <w:rsid w:val="02C7A12B"/>
    <w:rsid w:val="02DE851D"/>
    <w:rsid w:val="03008B8B"/>
    <w:rsid w:val="031BF3A1"/>
    <w:rsid w:val="031FCCFC"/>
    <w:rsid w:val="0321CBA3"/>
    <w:rsid w:val="032F75BD"/>
    <w:rsid w:val="0350BDB4"/>
    <w:rsid w:val="03666D51"/>
    <w:rsid w:val="037536F5"/>
    <w:rsid w:val="0386ADB4"/>
    <w:rsid w:val="038AEFE0"/>
    <w:rsid w:val="03AFC3AC"/>
    <w:rsid w:val="03C028C0"/>
    <w:rsid w:val="03D46707"/>
    <w:rsid w:val="03E859CB"/>
    <w:rsid w:val="03FC9422"/>
    <w:rsid w:val="04110F20"/>
    <w:rsid w:val="04166DFF"/>
    <w:rsid w:val="0416E02B"/>
    <w:rsid w:val="041E17C3"/>
    <w:rsid w:val="041EB606"/>
    <w:rsid w:val="042BBBBA"/>
    <w:rsid w:val="0446EDDB"/>
    <w:rsid w:val="044F5B46"/>
    <w:rsid w:val="0455A0E9"/>
    <w:rsid w:val="04658FD4"/>
    <w:rsid w:val="048096CA"/>
    <w:rsid w:val="048C45AB"/>
    <w:rsid w:val="049DE36A"/>
    <w:rsid w:val="04B21515"/>
    <w:rsid w:val="04BA2F23"/>
    <w:rsid w:val="04C64A5F"/>
    <w:rsid w:val="04E09C24"/>
    <w:rsid w:val="04E3DB90"/>
    <w:rsid w:val="050759C8"/>
    <w:rsid w:val="053C409F"/>
    <w:rsid w:val="054BDFA5"/>
    <w:rsid w:val="0566B136"/>
    <w:rsid w:val="056BD124"/>
    <w:rsid w:val="056C2F1C"/>
    <w:rsid w:val="05F4AFB6"/>
    <w:rsid w:val="06190C19"/>
    <w:rsid w:val="0637EE5E"/>
    <w:rsid w:val="06528219"/>
    <w:rsid w:val="0658A746"/>
    <w:rsid w:val="0665AACF"/>
    <w:rsid w:val="06710D24"/>
    <w:rsid w:val="0673AD2C"/>
    <w:rsid w:val="06AC3FB4"/>
    <w:rsid w:val="06C0210B"/>
    <w:rsid w:val="06C5914B"/>
    <w:rsid w:val="06DB71E7"/>
    <w:rsid w:val="07058B6C"/>
    <w:rsid w:val="07437BDA"/>
    <w:rsid w:val="076C66C0"/>
    <w:rsid w:val="07A104D1"/>
    <w:rsid w:val="07BE87D9"/>
    <w:rsid w:val="07C33E37"/>
    <w:rsid w:val="07C7AADD"/>
    <w:rsid w:val="07E728E4"/>
    <w:rsid w:val="0805125F"/>
    <w:rsid w:val="080CECDC"/>
    <w:rsid w:val="080E5DF1"/>
    <w:rsid w:val="0820D50A"/>
    <w:rsid w:val="08252067"/>
    <w:rsid w:val="0847AA78"/>
    <w:rsid w:val="0861C3D2"/>
    <w:rsid w:val="0862AAEA"/>
    <w:rsid w:val="086B948F"/>
    <w:rsid w:val="0887E957"/>
    <w:rsid w:val="08A5033D"/>
    <w:rsid w:val="08AE2684"/>
    <w:rsid w:val="08B70278"/>
    <w:rsid w:val="08D429CB"/>
    <w:rsid w:val="08D67881"/>
    <w:rsid w:val="08D7BE79"/>
    <w:rsid w:val="08F96893"/>
    <w:rsid w:val="09027A92"/>
    <w:rsid w:val="091072BF"/>
    <w:rsid w:val="09137E3D"/>
    <w:rsid w:val="091BDFD4"/>
    <w:rsid w:val="0924601A"/>
    <w:rsid w:val="0924EF64"/>
    <w:rsid w:val="093EDD90"/>
    <w:rsid w:val="0941AAAF"/>
    <w:rsid w:val="095143C0"/>
    <w:rsid w:val="099A121C"/>
    <w:rsid w:val="099AAB57"/>
    <w:rsid w:val="09AB8F38"/>
    <w:rsid w:val="09B2E441"/>
    <w:rsid w:val="09C61F3E"/>
    <w:rsid w:val="09CFB7AC"/>
    <w:rsid w:val="09E08772"/>
    <w:rsid w:val="09E1061B"/>
    <w:rsid w:val="09E410A3"/>
    <w:rsid w:val="09E4363C"/>
    <w:rsid w:val="09E60653"/>
    <w:rsid w:val="09F7C1CD"/>
    <w:rsid w:val="0A0BE882"/>
    <w:rsid w:val="0A343BBC"/>
    <w:rsid w:val="0A3AF23B"/>
    <w:rsid w:val="0A47D3D2"/>
    <w:rsid w:val="0A47F40F"/>
    <w:rsid w:val="0A5218E2"/>
    <w:rsid w:val="0A54440A"/>
    <w:rsid w:val="0A6C1E17"/>
    <w:rsid w:val="0AA2053E"/>
    <w:rsid w:val="0AA55417"/>
    <w:rsid w:val="0AC6EA92"/>
    <w:rsid w:val="0AC7EC09"/>
    <w:rsid w:val="0B150051"/>
    <w:rsid w:val="0B373854"/>
    <w:rsid w:val="0B63D982"/>
    <w:rsid w:val="0B90A109"/>
    <w:rsid w:val="0B9FF183"/>
    <w:rsid w:val="0BC72669"/>
    <w:rsid w:val="0BDCBF5A"/>
    <w:rsid w:val="0C172200"/>
    <w:rsid w:val="0C25F868"/>
    <w:rsid w:val="0C3586CE"/>
    <w:rsid w:val="0C532AC8"/>
    <w:rsid w:val="0C5789E1"/>
    <w:rsid w:val="0C9B0269"/>
    <w:rsid w:val="0C9FBD2E"/>
    <w:rsid w:val="0CB24AC3"/>
    <w:rsid w:val="0CE0F650"/>
    <w:rsid w:val="0CEC6DFF"/>
    <w:rsid w:val="0CECCAE9"/>
    <w:rsid w:val="0D02F4AE"/>
    <w:rsid w:val="0D22F472"/>
    <w:rsid w:val="0D2D6B5D"/>
    <w:rsid w:val="0D5285DA"/>
    <w:rsid w:val="0D621656"/>
    <w:rsid w:val="0D71860A"/>
    <w:rsid w:val="0DA2C256"/>
    <w:rsid w:val="0DA5A806"/>
    <w:rsid w:val="0DAA79D8"/>
    <w:rsid w:val="0DD93665"/>
    <w:rsid w:val="0DE3B016"/>
    <w:rsid w:val="0DE49628"/>
    <w:rsid w:val="0DF400C3"/>
    <w:rsid w:val="0E038001"/>
    <w:rsid w:val="0E0AD639"/>
    <w:rsid w:val="0E11DE79"/>
    <w:rsid w:val="0E2E4141"/>
    <w:rsid w:val="0E40EB5F"/>
    <w:rsid w:val="0E426305"/>
    <w:rsid w:val="0E716232"/>
    <w:rsid w:val="0E87F541"/>
    <w:rsid w:val="0E8DB60A"/>
    <w:rsid w:val="0EA7812A"/>
    <w:rsid w:val="0EA8EB37"/>
    <w:rsid w:val="0EC31E88"/>
    <w:rsid w:val="0ED7EFCC"/>
    <w:rsid w:val="0EE24BEC"/>
    <w:rsid w:val="0EEE55A2"/>
    <w:rsid w:val="0EF9651C"/>
    <w:rsid w:val="0EFF7A4E"/>
    <w:rsid w:val="0F298F65"/>
    <w:rsid w:val="0F3FABE0"/>
    <w:rsid w:val="0F6FDB28"/>
    <w:rsid w:val="0F81AB0C"/>
    <w:rsid w:val="0F9E19A5"/>
    <w:rsid w:val="0FB68F96"/>
    <w:rsid w:val="0FC40AE1"/>
    <w:rsid w:val="0FD0BD72"/>
    <w:rsid w:val="0FE6F61F"/>
    <w:rsid w:val="1000DB30"/>
    <w:rsid w:val="1009AB3A"/>
    <w:rsid w:val="104AEACA"/>
    <w:rsid w:val="1050E2A9"/>
    <w:rsid w:val="105BF991"/>
    <w:rsid w:val="1064349D"/>
    <w:rsid w:val="1064739B"/>
    <w:rsid w:val="107B12A4"/>
    <w:rsid w:val="10871B27"/>
    <w:rsid w:val="108B4696"/>
    <w:rsid w:val="10A2FA2A"/>
    <w:rsid w:val="10BA93E4"/>
    <w:rsid w:val="10D2F64D"/>
    <w:rsid w:val="10E01A60"/>
    <w:rsid w:val="10F29555"/>
    <w:rsid w:val="11074094"/>
    <w:rsid w:val="111916A7"/>
    <w:rsid w:val="112B0D98"/>
    <w:rsid w:val="112CE896"/>
    <w:rsid w:val="11346FEC"/>
    <w:rsid w:val="1138A92F"/>
    <w:rsid w:val="114BEE52"/>
    <w:rsid w:val="114E7082"/>
    <w:rsid w:val="11827D70"/>
    <w:rsid w:val="1193E60A"/>
    <w:rsid w:val="119A5D6B"/>
    <w:rsid w:val="11ABA396"/>
    <w:rsid w:val="11C6E68C"/>
    <w:rsid w:val="11D78ECD"/>
    <w:rsid w:val="11E67FC4"/>
    <w:rsid w:val="11F0ED21"/>
    <w:rsid w:val="12004DF5"/>
    <w:rsid w:val="12058688"/>
    <w:rsid w:val="1219998B"/>
    <w:rsid w:val="123B7AD0"/>
    <w:rsid w:val="125E73DA"/>
    <w:rsid w:val="12642425"/>
    <w:rsid w:val="1269371D"/>
    <w:rsid w:val="12AAEC14"/>
    <w:rsid w:val="12DD5E87"/>
    <w:rsid w:val="12FA4770"/>
    <w:rsid w:val="130659BB"/>
    <w:rsid w:val="1318571C"/>
    <w:rsid w:val="132CBB0C"/>
    <w:rsid w:val="134AE230"/>
    <w:rsid w:val="135B32E0"/>
    <w:rsid w:val="1370E4A6"/>
    <w:rsid w:val="13780A79"/>
    <w:rsid w:val="13979F54"/>
    <w:rsid w:val="139E1EE8"/>
    <w:rsid w:val="13A95190"/>
    <w:rsid w:val="13F0E52B"/>
    <w:rsid w:val="140B9418"/>
    <w:rsid w:val="144A4724"/>
    <w:rsid w:val="144BF6BA"/>
    <w:rsid w:val="145E7400"/>
    <w:rsid w:val="14699750"/>
    <w:rsid w:val="146ADFBC"/>
    <w:rsid w:val="1471C6C8"/>
    <w:rsid w:val="1473DCBC"/>
    <w:rsid w:val="148B03E2"/>
    <w:rsid w:val="149C3FA2"/>
    <w:rsid w:val="14A87A4B"/>
    <w:rsid w:val="14DCD42D"/>
    <w:rsid w:val="14E6B291"/>
    <w:rsid w:val="14F46265"/>
    <w:rsid w:val="1500206A"/>
    <w:rsid w:val="1511AB69"/>
    <w:rsid w:val="1526D086"/>
    <w:rsid w:val="1533B3AD"/>
    <w:rsid w:val="155AE86C"/>
    <w:rsid w:val="156C4247"/>
    <w:rsid w:val="15A72589"/>
    <w:rsid w:val="15C5D1E3"/>
    <w:rsid w:val="15CF840A"/>
    <w:rsid w:val="15D20049"/>
    <w:rsid w:val="16027032"/>
    <w:rsid w:val="1613D3ED"/>
    <w:rsid w:val="16167DB3"/>
    <w:rsid w:val="161C322E"/>
    <w:rsid w:val="162A39C3"/>
    <w:rsid w:val="16587A01"/>
    <w:rsid w:val="165ABB82"/>
    <w:rsid w:val="1662AFA5"/>
    <w:rsid w:val="16667332"/>
    <w:rsid w:val="167CA9FD"/>
    <w:rsid w:val="16B22BE0"/>
    <w:rsid w:val="16D1AD75"/>
    <w:rsid w:val="16D9CF15"/>
    <w:rsid w:val="16FC329A"/>
    <w:rsid w:val="16FE8057"/>
    <w:rsid w:val="171B8D5A"/>
    <w:rsid w:val="17232FAC"/>
    <w:rsid w:val="17288A7E"/>
    <w:rsid w:val="1779D448"/>
    <w:rsid w:val="177EC5CD"/>
    <w:rsid w:val="17887A18"/>
    <w:rsid w:val="178F7623"/>
    <w:rsid w:val="179F4EB8"/>
    <w:rsid w:val="17AB86C9"/>
    <w:rsid w:val="17C23FEB"/>
    <w:rsid w:val="17CB878F"/>
    <w:rsid w:val="17D8D988"/>
    <w:rsid w:val="17E1EAC4"/>
    <w:rsid w:val="17F1D063"/>
    <w:rsid w:val="17F5A35F"/>
    <w:rsid w:val="1833454C"/>
    <w:rsid w:val="1838ED97"/>
    <w:rsid w:val="18516229"/>
    <w:rsid w:val="18598034"/>
    <w:rsid w:val="188CC6F4"/>
    <w:rsid w:val="188D7D33"/>
    <w:rsid w:val="188F6BC4"/>
    <w:rsid w:val="1890349C"/>
    <w:rsid w:val="1892876F"/>
    <w:rsid w:val="18A726DD"/>
    <w:rsid w:val="18ACF7C3"/>
    <w:rsid w:val="18B47FA7"/>
    <w:rsid w:val="18B88465"/>
    <w:rsid w:val="18C11792"/>
    <w:rsid w:val="18D33DF7"/>
    <w:rsid w:val="18E2B2DA"/>
    <w:rsid w:val="18F5F041"/>
    <w:rsid w:val="1913F309"/>
    <w:rsid w:val="19302B30"/>
    <w:rsid w:val="1961E3A6"/>
    <w:rsid w:val="196FBB81"/>
    <w:rsid w:val="1987F485"/>
    <w:rsid w:val="1988C80A"/>
    <w:rsid w:val="19921656"/>
    <w:rsid w:val="199297A3"/>
    <w:rsid w:val="199CE20E"/>
    <w:rsid w:val="19C84BF9"/>
    <w:rsid w:val="19D3766A"/>
    <w:rsid w:val="19DD9249"/>
    <w:rsid w:val="19DE1088"/>
    <w:rsid w:val="19E33BC8"/>
    <w:rsid w:val="19EAA05A"/>
    <w:rsid w:val="19EF7E17"/>
    <w:rsid w:val="19F18878"/>
    <w:rsid w:val="19FF2ECF"/>
    <w:rsid w:val="1A13C2D5"/>
    <w:rsid w:val="1A1D4247"/>
    <w:rsid w:val="1A3FB6DA"/>
    <w:rsid w:val="1A49BBF3"/>
    <w:rsid w:val="1A49FDD5"/>
    <w:rsid w:val="1A578071"/>
    <w:rsid w:val="1A69CDA2"/>
    <w:rsid w:val="1A71A6DA"/>
    <w:rsid w:val="1A751BF1"/>
    <w:rsid w:val="1AA92467"/>
    <w:rsid w:val="1B013A6B"/>
    <w:rsid w:val="1B14196F"/>
    <w:rsid w:val="1B23E198"/>
    <w:rsid w:val="1B34B7DC"/>
    <w:rsid w:val="1B486447"/>
    <w:rsid w:val="1B550376"/>
    <w:rsid w:val="1B5F54DC"/>
    <w:rsid w:val="1B819A33"/>
    <w:rsid w:val="1B8E37FA"/>
    <w:rsid w:val="1BB893B8"/>
    <w:rsid w:val="1BBF8645"/>
    <w:rsid w:val="1BDDCD92"/>
    <w:rsid w:val="1BE78032"/>
    <w:rsid w:val="1BFD4197"/>
    <w:rsid w:val="1C1E2295"/>
    <w:rsid w:val="1C1EBFE5"/>
    <w:rsid w:val="1C44F0A2"/>
    <w:rsid w:val="1C6DD528"/>
    <w:rsid w:val="1C74B442"/>
    <w:rsid w:val="1C790A04"/>
    <w:rsid w:val="1C8A3DC4"/>
    <w:rsid w:val="1C912003"/>
    <w:rsid w:val="1CD9DFA5"/>
    <w:rsid w:val="1CE93869"/>
    <w:rsid w:val="1D177647"/>
    <w:rsid w:val="1D1CC124"/>
    <w:rsid w:val="1D278BC2"/>
    <w:rsid w:val="1D2AA7C9"/>
    <w:rsid w:val="1D536511"/>
    <w:rsid w:val="1D84C329"/>
    <w:rsid w:val="1D8C9440"/>
    <w:rsid w:val="1D9775CD"/>
    <w:rsid w:val="1DA5D95B"/>
    <w:rsid w:val="1DAEC16D"/>
    <w:rsid w:val="1DD00697"/>
    <w:rsid w:val="1DD5ED4F"/>
    <w:rsid w:val="1DDF95EA"/>
    <w:rsid w:val="1DE6D114"/>
    <w:rsid w:val="1DF0F8F8"/>
    <w:rsid w:val="1E134E7C"/>
    <w:rsid w:val="1E171A34"/>
    <w:rsid w:val="1E42C790"/>
    <w:rsid w:val="1E507B26"/>
    <w:rsid w:val="1E5EF1A2"/>
    <w:rsid w:val="1E69D10E"/>
    <w:rsid w:val="1E6EBF9A"/>
    <w:rsid w:val="1E7F4E06"/>
    <w:rsid w:val="1E8407EC"/>
    <w:rsid w:val="1E9AC185"/>
    <w:rsid w:val="1EBBC3FA"/>
    <w:rsid w:val="1EC3A32E"/>
    <w:rsid w:val="1EC5D7AD"/>
    <w:rsid w:val="1EDF58F0"/>
    <w:rsid w:val="1F0D3DB0"/>
    <w:rsid w:val="1F18CEE8"/>
    <w:rsid w:val="1F403EB5"/>
    <w:rsid w:val="1F4852D7"/>
    <w:rsid w:val="1F6CDE64"/>
    <w:rsid w:val="1F7A7047"/>
    <w:rsid w:val="1FAE4D42"/>
    <w:rsid w:val="1FB3FB2B"/>
    <w:rsid w:val="1FC913CE"/>
    <w:rsid w:val="1FD62765"/>
    <w:rsid w:val="1FD81F0A"/>
    <w:rsid w:val="20003A56"/>
    <w:rsid w:val="20308442"/>
    <w:rsid w:val="203742D8"/>
    <w:rsid w:val="206554D8"/>
    <w:rsid w:val="2067337A"/>
    <w:rsid w:val="20BF6677"/>
    <w:rsid w:val="20C98D7B"/>
    <w:rsid w:val="20DD7A1D"/>
    <w:rsid w:val="2120CCE1"/>
    <w:rsid w:val="21224393"/>
    <w:rsid w:val="212D5E7D"/>
    <w:rsid w:val="212D71A9"/>
    <w:rsid w:val="212F53A7"/>
    <w:rsid w:val="2160D1F5"/>
    <w:rsid w:val="21B94B0F"/>
    <w:rsid w:val="21F51C4C"/>
    <w:rsid w:val="21FFCB02"/>
    <w:rsid w:val="22005026"/>
    <w:rsid w:val="220F670F"/>
    <w:rsid w:val="222251DE"/>
    <w:rsid w:val="22285472"/>
    <w:rsid w:val="223C8413"/>
    <w:rsid w:val="2246137C"/>
    <w:rsid w:val="224E1523"/>
    <w:rsid w:val="2266FF5F"/>
    <w:rsid w:val="2269CAD8"/>
    <w:rsid w:val="227CFDED"/>
    <w:rsid w:val="227D2210"/>
    <w:rsid w:val="2288DD3E"/>
    <w:rsid w:val="22A98062"/>
    <w:rsid w:val="22BD8409"/>
    <w:rsid w:val="22C6DFDA"/>
    <w:rsid w:val="22C7221A"/>
    <w:rsid w:val="22D75D98"/>
    <w:rsid w:val="22F2C825"/>
    <w:rsid w:val="2307D30E"/>
    <w:rsid w:val="2310E533"/>
    <w:rsid w:val="23253E2C"/>
    <w:rsid w:val="2328A521"/>
    <w:rsid w:val="232AE15C"/>
    <w:rsid w:val="23336CCD"/>
    <w:rsid w:val="233652BB"/>
    <w:rsid w:val="2339ABE6"/>
    <w:rsid w:val="2351A7E6"/>
    <w:rsid w:val="236284FE"/>
    <w:rsid w:val="2367EFC6"/>
    <w:rsid w:val="237A30E5"/>
    <w:rsid w:val="23815EBA"/>
    <w:rsid w:val="23976BC2"/>
    <w:rsid w:val="23A19B39"/>
    <w:rsid w:val="23B04746"/>
    <w:rsid w:val="23C5420D"/>
    <w:rsid w:val="23CB2D0B"/>
    <w:rsid w:val="23F61DA9"/>
    <w:rsid w:val="2427A355"/>
    <w:rsid w:val="245037F4"/>
    <w:rsid w:val="245647F1"/>
    <w:rsid w:val="24590B6E"/>
    <w:rsid w:val="246C7154"/>
    <w:rsid w:val="246FAF33"/>
    <w:rsid w:val="2473951C"/>
    <w:rsid w:val="24849D92"/>
    <w:rsid w:val="249E9965"/>
    <w:rsid w:val="24DBCF9A"/>
    <w:rsid w:val="24E062E1"/>
    <w:rsid w:val="24ECC503"/>
    <w:rsid w:val="25212092"/>
    <w:rsid w:val="253B7DB8"/>
    <w:rsid w:val="25473EBB"/>
    <w:rsid w:val="25694B1A"/>
    <w:rsid w:val="256A8854"/>
    <w:rsid w:val="256DD80F"/>
    <w:rsid w:val="2576D945"/>
    <w:rsid w:val="25B055A0"/>
    <w:rsid w:val="25B05A2D"/>
    <w:rsid w:val="25B151BF"/>
    <w:rsid w:val="25B653B7"/>
    <w:rsid w:val="25D28C69"/>
    <w:rsid w:val="25D33B02"/>
    <w:rsid w:val="25F26918"/>
    <w:rsid w:val="260E9288"/>
    <w:rsid w:val="261D15B3"/>
    <w:rsid w:val="2624AA11"/>
    <w:rsid w:val="263955E3"/>
    <w:rsid w:val="263E61C8"/>
    <w:rsid w:val="265600E4"/>
    <w:rsid w:val="267BB513"/>
    <w:rsid w:val="2688E3E8"/>
    <w:rsid w:val="26895353"/>
    <w:rsid w:val="268EEF96"/>
    <w:rsid w:val="269EE085"/>
    <w:rsid w:val="26B47B5F"/>
    <w:rsid w:val="26BDC115"/>
    <w:rsid w:val="26DC2C19"/>
    <w:rsid w:val="26E25EC2"/>
    <w:rsid w:val="26E81268"/>
    <w:rsid w:val="2702AA45"/>
    <w:rsid w:val="27180D9F"/>
    <w:rsid w:val="2718EB09"/>
    <w:rsid w:val="272276C1"/>
    <w:rsid w:val="2728D6EA"/>
    <w:rsid w:val="27371B58"/>
    <w:rsid w:val="27779360"/>
    <w:rsid w:val="27A6F560"/>
    <w:rsid w:val="27C54100"/>
    <w:rsid w:val="27E56C44"/>
    <w:rsid w:val="27EB3EAC"/>
    <w:rsid w:val="27F661FE"/>
    <w:rsid w:val="281773BD"/>
    <w:rsid w:val="284D5A1D"/>
    <w:rsid w:val="284E87FC"/>
    <w:rsid w:val="285DE0C0"/>
    <w:rsid w:val="28DD7988"/>
    <w:rsid w:val="28EF4057"/>
    <w:rsid w:val="28F96236"/>
    <w:rsid w:val="293176FE"/>
    <w:rsid w:val="29408487"/>
    <w:rsid w:val="2946B077"/>
    <w:rsid w:val="2956E89D"/>
    <w:rsid w:val="296A60C2"/>
    <w:rsid w:val="2983478E"/>
    <w:rsid w:val="29B16E9B"/>
    <w:rsid w:val="2A09A7D8"/>
    <w:rsid w:val="2A1F88CA"/>
    <w:rsid w:val="2A25D726"/>
    <w:rsid w:val="2A34AB2B"/>
    <w:rsid w:val="2A4BB8D9"/>
    <w:rsid w:val="2A4E59E8"/>
    <w:rsid w:val="2A4EA9E5"/>
    <w:rsid w:val="2A858112"/>
    <w:rsid w:val="2A8D559F"/>
    <w:rsid w:val="2A8E27C6"/>
    <w:rsid w:val="2A9168B6"/>
    <w:rsid w:val="2AA24BF5"/>
    <w:rsid w:val="2AA35226"/>
    <w:rsid w:val="2AAC4A3A"/>
    <w:rsid w:val="2ABD5B12"/>
    <w:rsid w:val="2AC456EE"/>
    <w:rsid w:val="2AD744E6"/>
    <w:rsid w:val="2B03F49F"/>
    <w:rsid w:val="2B097220"/>
    <w:rsid w:val="2B123177"/>
    <w:rsid w:val="2B3B97EA"/>
    <w:rsid w:val="2B3D9B62"/>
    <w:rsid w:val="2B4A4EB2"/>
    <w:rsid w:val="2B5278C6"/>
    <w:rsid w:val="2B6D87CD"/>
    <w:rsid w:val="2B6FCBDF"/>
    <w:rsid w:val="2B768088"/>
    <w:rsid w:val="2B81469E"/>
    <w:rsid w:val="2BAC9A7B"/>
    <w:rsid w:val="2BCC8C06"/>
    <w:rsid w:val="2BD21019"/>
    <w:rsid w:val="2BDC8019"/>
    <w:rsid w:val="2BE337BF"/>
    <w:rsid w:val="2BE42B6C"/>
    <w:rsid w:val="2C05404C"/>
    <w:rsid w:val="2C5744F3"/>
    <w:rsid w:val="2C632C52"/>
    <w:rsid w:val="2C73AE98"/>
    <w:rsid w:val="2C74FA9D"/>
    <w:rsid w:val="2C79B265"/>
    <w:rsid w:val="2C90EAF4"/>
    <w:rsid w:val="2CB636EA"/>
    <w:rsid w:val="2CBA4F19"/>
    <w:rsid w:val="2CE38CFF"/>
    <w:rsid w:val="2CF9FF5E"/>
    <w:rsid w:val="2D05F167"/>
    <w:rsid w:val="2D260065"/>
    <w:rsid w:val="2D261D72"/>
    <w:rsid w:val="2D3EE626"/>
    <w:rsid w:val="2D40A15B"/>
    <w:rsid w:val="2D50F6FC"/>
    <w:rsid w:val="2D65615A"/>
    <w:rsid w:val="2D6C2453"/>
    <w:rsid w:val="2D92B570"/>
    <w:rsid w:val="2DB9F9B0"/>
    <w:rsid w:val="2DFA9A69"/>
    <w:rsid w:val="2DFE4CE1"/>
    <w:rsid w:val="2E066F05"/>
    <w:rsid w:val="2E0DB2E1"/>
    <w:rsid w:val="2E29BF06"/>
    <w:rsid w:val="2E351A77"/>
    <w:rsid w:val="2E436AE4"/>
    <w:rsid w:val="2E9BC40C"/>
    <w:rsid w:val="2EAC9E13"/>
    <w:rsid w:val="2EE2DC6A"/>
    <w:rsid w:val="2EEB0C67"/>
    <w:rsid w:val="2EF5DBBB"/>
    <w:rsid w:val="2EFAD451"/>
    <w:rsid w:val="2F07F4B4"/>
    <w:rsid w:val="2F1EC122"/>
    <w:rsid w:val="2F3822B2"/>
    <w:rsid w:val="2F3D3244"/>
    <w:rsid w:val="2F52FEBF"/>
    <w:rsid w:val="2F553C7E"/>
    <w:rsid w:val="2F57D2AF"/>
    <w:rsid w:val="2F5955E6"/>
    <w:rsid w:val="2F9B6191"/>
    <w:rsid w:val="2FA7451D"/>
    <w:rsid w:val="2FADA633"/>
    <w:rsid w:val="2FBD6814"/>
    <w:rsid w:val="2FD00962"/>
    <w:rsid w:val="2FF06056"/>
    <w:rsid w:val="2FF725F8"/>
    <w:rsid w:val="3000A715"/>
    <w:rsid w:val="300161BF"/>
    <w:rsid w:val="300DF075"/>
    <w:rsid w:val="301B4246"/>
    <w:rsid w:val="304F4111"/>
    <w:rsid w:val="30547B14"/>
    <w:rsid w:val="305A3159"/>
    <w:rsid w:val="306E0433"/>
    <w:rsid w:val="3073F2ED"/>
    <w:rsid w:val="307D4821"/>
    <w:rsid w:val="30811894"/>
    <w:rsid w:val="3085C0D9"/>
    <w:rsid w:val="309B3476"/>
    <w:rsid w:val="30A3C515"/>
    <w:rsid w:val="30C227DB"/>
    <w:rsid w:val="30FFF971"/>
    <w:rsid w:val="3121D643"/>
    <w:rsid w:val="3137A4A1"/>
    <w:rsid w:val="314B28B6"/>
    <w:rsid w:val="317D8914"/>
    <w:rsid w:val="318F2D02"/>
    <w:rsid w:val="319CA394"/>
    <w:rsid w:val="31BD6103"/>
    <w:rsid w:val="31D4FAFF"/>
    <w:rsid w:val="31DC73C0"/>
    <w:rsid w:val="31EA7737"/>
    <w:rsid w:val="32171517"/>
    <w:rsid w:val="322D87AF"/>
    <w:rsid w:val="3246464D"/>
    <w:rsid w:val="326C6274"/>
    <w:rsid w:val="32A4A624"/>
    <w:rsid w:val="32A8A666"/>
    <w:rsid w:val="32B22AAD"/>
    <w:rsid w:val="32B24108"/>
    <w:rsid w:val="32E1EAB6"/>
    <w:rsid w:val="3315DC3B"/>
    <w:rsid w:val="331E3010"/>
    <w:rsid w:val="3339BB03"/>
    <w:rsid w:val="3348D797"/>
    <w:rsid w:val="335AEE27"/>
    <w:rsid w:val="3390D506"/>
    <w:rsid w:val="33A4F118"/>
    <w:rsid w:val="33AA726A"/>
    <w:rsid w:val="33AB59A6"/>
    <w:rsid w:val="33AF018C"/>
    <w:rsid w:val="33DB999E"/>
    <w:rsid w:val="33DDDCD1"/>
    <w:rsid w:val="33E45072"/>
    <w:rsid w:val="33E9DCDD"/>
    <w:rsid w:val="33FAAB30"/>
    <w:rsid w:val="33FB58B4"/>
    <w:rsid w:val="3411647B"/>
    <w:rsid w:val="3411D716"/>
    <w:rsid w:val="341450F2"/>
    <w:rsid w:val="341EBB11"/>
    <w:rsid w:val="341FC404"/>
    <w:rsid w:val="342CD359"/>
    <w:rsid w:val="342FFE33"/>
    <w:rsid w:val="343CCAAC"/>
    <w:rsid w:val="34A4EAA8"/>
    <w:rsid w:val="34C563B8"/>
    <w:rsid w:val="34E61BD7"/>
    <w:rsid w:val="350386D8"/>
    <w:rsid w:val="3508989F"/>
    <w:rsid w:val="35092BB7"/>
    <w:rsid w:val="35170AD0"/>
    <w:rsid w:val="352234FC"/>
    <w:rsid w:val="3569BB59"/>
    <w:rsid w:val="35779199"/>
    <w:rsid w:val="3583853F"/>
    <w:rsid w:val="3586B732"/>
    <w:rsid w:val="358809AA"/>
    <w:rsid w:val="359DB143"/>
    <w:rsid w:val="35E76D33"/>
    <w:rsid w:val="360D2AA8"/>
    <w:rsid w:val="36261971"/>
    <w:rsid w:val="36301BC7"/>
    <w:rsid w:val="363CD607"/>
    <w:rsid w:val="364A643E"/>
    <w:rsid w:val="36676B11"/>
    <w:rsid w:val="368B8959"/>
    <w:rsid w:val="36A4F3F6"/>
    <w:rsid w:val="36BC20E4"/>
    <w:rsid w:val="36BCD3E8"/>
    <w:rsid w:val="36DB5B57"/>
    <w:rsid w:val="36DBAA5E"/>
    <w:rsid w:val="36DD1E28"/>
    <w:rsid w:val="36F2C115"/>
    <w:rsid w:val="36FC4BB3"/>
    <w:rsid w:val="3707F432"/>
    <w:rsid w:val="371D3486"/>
    <w:rsid w:val="37218FA5"/>
    <w:rsid w:val="3734AB72"/>
    <w:rsid w:val="374A0174"/>
    <w:rsid w:val="3750BB6E"/>
    <w:rsid w:val="376EBF87"/>
    <w:rsid w:val="377329FB"/>
    <w:rsid w:val="3783EC3D"/>
    <w:rsid w:val="378C097F"/>
    <w:rsid w:val="3793C32D"/>
    <w:rsid w:val="37968E64"/>
    <w:rsid w:val="37BE1A1B"/>
    <w:rsid w:val="37CD694E"/>
    <w:rsid w:val="37F3140A"/>
    <w:rsid w:val="37F79EC9"/>
    <w:rsid w:val="37FD047A"/>
    <w:rsid w:val="38003BA9"/>
    <w:rsid w:val="3807FC75"/>
    <w:rsid w:val="380B6D12"/>
    <w:rsid w:val="381FE7A8"/>
    <w:rsid w:val="382DE37D"/>
    <w:rsid w:val="38364E5B"/>
    <w:rsid w:val="385CF82B"/>
    <w:rsid w:val="386423B8"/>
    <w:rsid w:val="38666773"/>
    <w:rsid w:val="3879615F"/>
    <w:rsid w:val="38F98BA2"/>
    <w:rsid w:val="39400FAF"/>
    <w:rsid w:val="397E83F2"/>
    <w:rsid w:val="397FBD53"/>
    <w:rsid w:val="398799D0"/>
    <w:rsid w:val="39C69748"/>
    <w:rsid w:val="39C8B2ED"/>
    <w:rsid w:val="39CEA0E5"/>
    <w:rsid w:val="39D561DD"/>
    <w:rsid w:val="39EAD651"/>
    <w:rsid w:val="39EB5D5A"/>
    <w:rsid w:val="39FD5403"/>
    <w:rsid w:val="3A0ADFB1"/>
    <w:rsid w:val="3A0BF48C"/>
    <w:rsid w:val="3A12B86B"/>
    <w:rsid w:val="3A22C69E"/>
    <w:rsid w:val="3A7C411C"/>
    <w:rsid w:val="3A85C22F"/>
    <w:rsid w:val="3AC08632"/>
    <w:rsid w:val="3ADCC07F"/>
    <w:rsid w:val="3B0F5FD6"/>
    <w:rsid w:val="3B17EFB8"/>
    <w:rsid w:val="3B1E6E87"/>
    <w:rsid w:val="3B21E715"/>
    <w:rsid w:val="3B273956"/>
    <w:rsid w:val="3B356833"/>
    <w:rsid w:val="3B3ADC34"/>
    <w:rsid w:val="3B464716"/>
    <w:rsid w:val="3B4782A2"/>
    <w:rsid w:val="3B54BA55"/>
    <w:rsid w:val="3B600C6D"/>
    <w:rsid w:val="3B63071E"/>
    <w:rsid w:val="3B73FB7C"/>
    <w:rsid w:val="3B7DE6D9"/>
    <w:rsid w:val="3B861D70"/>
    <w:rsid w:val="3B93BD4B"/>
    <w:rsid w:val="3B950DA0"/>
    <w:rsid w:val="3BAD88DD"/>
    <w:rsid w:val="3BE41BCD"/>
    <w:rsid w:val="3BEE6542"/>
    <w:rsid w:val="3BF08A06"/>
    <w:rsid w:val="3BFD0CF6"/>
    <w:rsid w:val="3C36B0C3"/>
    <w:rsid w:val="3C3B17C3"/>
    <w:rsid w:val="3C45D8F8"/>
    <w:rsid w:val="3C4E066E"/>
    <w:rsid w:val="3C562B4F"/>
    <w:rsid w:val="3C601421"/>
    <w:rsid w:val="3C6017DA"/>
    <w:rsid w:val="3C64D5BD"/>
    <w:rsid w:val="3C6AC5C3"/>
    <w:rsid w:val="3C7853FD"/>
    <w:rsid w:val="3C7AA5C4"/>
    <w:rsid w:val="3CD56B11"/>
    <w:rsid w:val="3CD618B4"/>
    <w:rsid w:val="3CDCCBB7"/>
    <w:rsid w:val="3CE67412"/>
    <w:rsid w:val="3D2AD198"/>
    <w:rsid w:val="3D31BFB7"/>
    <w:rsid w:val="3D4EF2F9"/>
    <w:rsid w:val="3D50400B"/>
    <w:rsid w:val="3D5DD076"/>
    <w:rsid w:val="3D61F458"/>
    <w:rsid w:val="3D63B8AF"/>
    <w:rsid w:val="3D99AB64"/>
    <w:rsid w:val="3DA06C10"/>
    <w:rsid w:val="3DAC4383"/>
    <w:rsid w:val="3DBC18F3"/>
    <w:rsid w:val="3DBFC7E4"/>
    <w:rsid w:val="3DC8C546"/>
    <w:rsid w:val="3DCDB6C1"/>
    <w:rsid w:val="3DD001CA"/>
    <w:rsid w:val="3DDC4CBB"/>
    <w:rsid w:val="3E2FE722"/>
    <w:rsid w:val="3E4E3648"/>
    <w:rsid w:val="3E5B17C5"/>
    <w:rsid w:val="3E8786EA"/>
    <w:rsid w:val="3E8E1FD1"/>
    <w:rsid w:val="3EA46D0D"/>
    <w:rsid w:val="3EAECA18"/>
    <w:rsid w:val="3EB0D32B"/>
    <w:rsid w:val="3EB644F5"/>
    <w:rsid w:val="3EB856F5"/>
    <w:rsid w:val="3ED3FF6E"/>
    <w:rsid w:val="3EF2E25A"/>
    <w:rsid w:val="3EFBA0D7"/>
    <w:rsid w:val="3F4F49A0"/>
    <w:rsid w:val="3F9EC695"/>
    <w:rsid w:val="3FA9F554"/>
    <w:rsid w:val="3FAA48E8"/>
    <w:rsid w:val="3FB2AC28"/>
    <w:rsid w:val="3FE16F17"/>
    <w:rsid w:val="3FFDDF65"/>
    <w:rsid w:val="407C4E2B"/>
    <w:rsid w:val="40855A33"/>
    <w:rsid w:val="4091D6AD"/>
    <w:rsid w:val="40C1D665"/>
    <w:rsid w:val="40D6EBB5"/>
    <w:rsid w:val="40EF9A0E"/>
    <w:rsid w:val="40F84175"/>
    <w:rsid w:val="410F1E86"/>
    <w:rsid w:val="4120E94E"/>
    <w:rsid w:val="413759EC"/>
    <w:rsid w:val="413A924F"/>
    <w:rsid w:val="414164FF"/>
    <w:rsid w:val="4172B5FB"/>
    <w:rsid w:val="41822821"/>
    <w:rsid w:val="418ABE63"/>
    <w:rsid w:val="41971883"/>
    <w:rsid w:val="419A11D1"/>
    <w:rsid w:val="419F2941"/>
    <w:rsid w:val="41C37E10"/>
    <w:rsid w:val="41D86BB0"/>
    <w:rsid w:val="4204C537"/>
    <w:rsid w:val="42064CC2"/>
    <w:rsid w:val="421D3D23"/>
    <w:rsid w:val="42254718"/>
    <w:rsid w:val="42278A5C"/>
    <w:rsid w:val="4231EEB6"/>
    <w:rsid w:val="4240ED25"/>
    <w:rsid w:val="4242FD90"/>
    <w:rsid w:val="431403FC"/>
    <w:rsid w:val="431C8A9B"/>
    <w:rsid w:val="431F870C"/>
    <w:rsid w:val="43252228"/>
    <w:rsid w:val="432C1BCE"/>
    <w:rsid w:val="432D91FC"/>
    <w:rsid w:val="434B4CAD"/>
    <w:rsid w:val="4370E02F"/>
    <w:rsid w:val="437B11B7"/>
    <w:rsid w:val="43824337"/>
    <w:rsid w:val="43A3D298"/>
    <w:rsid w:val="43B5A770"/>
    <w:rsid w:val="43CB7A19"/>
    <w:rsid w:val="43CCCAEF"/>
    <w:rsid w:val="43E6DDB3"/>
    <w:rsid w:val="449C03EE"/>
    <w:rsid w:val="44A2A944"/>
    <w:rsid w:val="44A9CA4C"/>
    <w:rsid w:val="44B64C93"/>
    <w:rsid w:val="44CA2B78"/>
    <w:rsid w:val="44DF3CF3"/>
    <w:rsid w:val="44EA8E15"/>
    <w:rsid w:val="44F11F5F"/>
    <w:rsid w:val="44F339D1"/>
    <w:rsid w:val="450A8485"/>
    <w:rsid w:val="4524127C"/>
    <w:rsid w:val="453F66F8"/>
    <w:rsid w:val="4564F530"/>
    <w:rsid w:val="4568ED68"/>
    <w:rsid w:val="45723BCE"/>
    <w:rsid w:val="45D41175"/>
    <w:rsid w:val="45D8FA62"/>
    <w:rsid w:val="45DCB8B2"/>
    <w:rsid w:val="460E0054"/>
    <w:rsid w:val="461950DA"/>
    <w:rsid w:val="461A3287"/>
    <w:rsid w:val="461E4AA2"/>
    <w:rsid w:val="4646AF2C"/>
    <w:rsid w:val="464AA7A4"/>
    <w:rsid w:val="46645224"/>
    <w:rsid w:val="4673ACAE"/>
    <w:rsid w:val="46759508"/>
    <w:rsid w:val="467E3146"/>
    <w:rsid w:val="46952B0F"/>
    <w:rsid w:val="46D04695"/>
    <w:rsid w:val="46E060F0"/>
    <w:rsid w:val="46E22629"/>
    <w:rsid w:val="46F7F28E"/>
    <w:rsid w:val="46FAFC6E"/>
    <w:rsid w:val="471015BF"/>
    <w:rsid w:val="471C1593"/>
    <w:rsid w:val="474BF0E6"/>
    <w:rsid w:val="4763B15D"/>
    <w:rsid w:val="47839032"/>
    <w:rsid w:val="4792C361"/>
    <w:rsid w:val="47A85360"/>
    <w:rsid w:val="47C4AE09"/>
    <w:rsid w:val="47E496AD"/>
    <w:rsid w:val="47FC40C0"/>
    <w:rsid w:val="4835BFA8"/>
    <w:rsid w:val="485CCA02"/>
    <w:rsid w:val="487F9FFA"/>
    <w:rsid w:val="487FA779"/>
    <w:rsid w:val="488CAB81"/>
    <w:rsid w:val="489EF763"/>
    <w:rsid w:val="48B3BFED"/>
    <w:rsid w:val="48B425E6"/>
    <w:rsid w:val="48DD9C65"/>
    <w:rsid w:val="48DF7F8A"/>
    <w:rsid w:val="48DF9771"/>
    <w:rsid w:val="49004B87"/>
    <w:rsid w:val="4902A5EE"/>
    <w:rsid w:val="4917AC9F"/>
    <w:rsid w:val="493E3573"/>
    <w:rsid w:val="49463ADB"/>
    <w:rsid w:val="4948F62D"/>
    <w:rsid w:val="495282F2"/>
    <w:rsid w:val="497AACF8"/>
    <w:rsid w:val="49A202D1"/>
    <w:rsid w:val="49AAF361"/>
    <w:rsid w:val="49D07D22"/>
    <w:rsid w:val="49F75BB2"/>
    <w:rsid w:val="49F8118F"/>
    <w:rsid w:val="4A13AB94"/>
    <w:rsid w:val="4A367BAA"/>
    <w:rsid w:val="4A4ADE11"/>
    <w:rsid w:val="4A51FDC5"/>
    <w:rsid w:val="4A8DEABC"/>
    <w:rsid w:val="4A93504A"/>
    <w:rsid w:val="4ABDC415"/>
    <w:rsid w:val="4AC1B54B"/>
    <w:rsid w:val="4AD7D4C6"/>
    <w:rsid w:val="4ADF5C9F"/>
    <w:rsid w:val="4AE08B9A"/>
    <w:rsid w:val="4AE25F4F"/>
    <w:rsid w:val="4AE3311F"/>
    <w:rsid w:val="4AE971B1"/>
    <w:rsid w:val="4B15301D"/>
    <w:rsid w:val="4B3B538E"/>
    <w:rsid w:val="4B3CF00C"/>
    <w:rsid w:val="4B5ADBF4"/>
    <w:rsid w:val="4B78A6E7"/>
    <w:rsid w:val="4B80AEF5"/>
    <w:rsid w:val="4BBA39A5"/>
    <w:rsid w:val="4BE2D175"/>
    <w:rsid w:val="4BE39639"/>
    <w:rsid w:val="4BEB9476"/>
    <w:rsid w:val="4BEEB06D"/>
    <w:rsid w:val="4BF4AFC7"/>
    <w:rsid w:val="4BFFE446"/>
    <w:rsid w:val="4C230C20"/>
    <w:rsid w:val="4C3EB0D6"/>
    <w:rsid w:val="4C3FFEDE"/>
    <w:rsid w:val="4C59C5A5"/>
    <w:rsid w:val="4C5EA625"/>
    <w:rsid w:val="4C79F62A"/>
    <w:rsid w:val="4C814659"/>
    <w:rsid w:val="4C8849A8"/>
    <w:rsid w:val="4C88845C"/>
    <w:rsid w:val="4CA1BDE5"/>
    <w:rsid w:val="4CACAE59"/>
    <w:rsid w:val="4CAE8572"/>
    <w:rsid w:val="4CBFDDDA"/>
    <w:rsid w:val="4CC38987"/>
    <w:rsid w:val="4CC59A9F"/>
    <w:rsid w:val="4CCC23B5"/>
    <w:rsid w:val="4D025958"/>
    <w:rsid w:val="4D060354"/>
    <w:rsid w:val="4D387255"/>
    <w:rsid w:val="4D3DACBE"/>
    <w:rsid w:val="4D41C7BB"/>
    <w:rsid w:val="4D4C15A4"/>
    <w:rsid w:val="4D5453A3"/>
    <w:rsid w:val="4D72ACF6"/>
    <w:rsid w:val="4D759989"/>
    <w:rsid w:val="4D8043BD"/>
    <w:rsid w:val="4D899E87"/>
    <w:rsid w:val="4DA000B0"/>
    <w:rsid w:val="4DA5EE3C"/>
    <w:rsid w:val="4DB13F5E"/>
    <w:rsid w:val="4DFC122B"/>
    <w:rsid w:val="4DFCBE3B"/>
    <w:rsid w:val="4E020413"/>
    <w:rsid w:val="4E1A3123"/>
    <w:rsid w:val="4E449266"/>
    <w:rsid w:val="4E64F8F8"/>
    <w:rsid w:val="4E66187E"/>
    <w:rsid w:val="4E79AF44"/>
    <w:rsid w:val="4E85D2BF"/>
    <w:rsid w:val="4E9572E5"/>
    <w:rsid w:val="4E966E0E"/>
    <w:rsid w:val="4E96D380"/>
    <w:rsid w:val="4E9D030E"/>
    <w:rsid w:val="4EA592FC"/>
    <w:rsid w:val="4EBA5319"/>
    <w:rsid w:val="4ED0850B"/>
    <w:rsid w:val="4ED37968"/>
    <w:rsid w:val="4EDBA932"/>
    <w:rsid w:val="4EE15A40"/>
    <w:rsid w:val="4EF22EC7"/>
    <w:rsid w:val="4EF9F23F"/>
    <w:rsid w:val="4F3B64AE"/>
    <w:rsid w:val="4F43F7D0"/>
    <w:rsid w:val="4F8625BF"/>
    <w:rsid w:val="4FC4B963"/>
    <w:rsid w:val="4FC76F33"/>
    <w:rsid w:val="4FED0964"/>
    <w:rsid w:val="4FF1DBFD"/>
    <w:rsid w:val="4FF3E7CA"/>
    <w:rsid w:val="4FFE6B79"/>
    <w:rsid w:val="501EB547"/>
    <w:rsid w:val="50241868"/>
    <w:rsid w:val="5036C42E"/>
    <w:rsid w:val="504C1FFD"/>
    <w:rsid w:val="5053350B"/>
    <w:rsid w:val="50646EBA"/>
    <w:rsid w:val="5068BD0E"/>
    <w:rsid w:val="50981966"/>
    <w:rsid w:val="50A9F557"/>
    <w:rsid w:val="51110A43"/>
    <w:rsid w:val="51304CE2"/>
    <w:rsid w:val="513C1D89"/>
    <w:rsid w:val="51709857"/>
    <w:rsid w:val="517623CA"/>
    <w:rsid w:val="518CECA5"/>
    <w:rsid w:val="51B4E3EB"/>
    <w:rsid w:val="51D0345A"/>
    <w:rsid w:val="520A12D1"/>
    <w:rsid w:val="52117CB9"/>
    <w:rsid w:val="5225C410"/>
    <w:rsid w:val="522B6554"/>
    <w:rsid w:val="523A05AB"/>
    <w:rsid w:val="525329E6"/>
    <w:rsid w:val="525AC098"/>
    <w:rsid w:val="525C2A93"/>
    <w:rsid w:val="525CD19F"/>
    <w:rsid w:val="52638CCE"/>
    <w:rsid w:val="5297A786"/>
    <w:rsid w:val="52E71208"/>
    <w:rsid w:val="52EC1488"/>
    <w:rsid w:val="5311F42B"/>
    <w:rsid w:val="53166620"/>
    <w:rsid w:val="533DF859"/>
    <w:rsid w:val="534B86A5"/>
    <w:rsid w:val="5351CD94"/>
    <w:rsid w:val="53525BC6"/>
    <w:rsid w:val="5355CB42"/>
    <w:rsid w:val="537CB76C"/>
    <w:rsid w:val="538D3954"/>
    <w:rsid w:val="53A48F42"/>
    <w:rsid w:val="53A6B6C4"/>
    <w:rsid w:val="53A9BC8F"/>
    <w:rsid w:val="53BC4234"/>
    <w:rsid w:val="53C59C86"/>
    <w:rsid w:val="53CB8CB1"/>
    <w:rsid w:val="53D87B94"/>
    <w:rsid w:val="53E7A5D1"/>
    <w:rsid w:val="53F8EBC8"/>
    <w:rsid w:val="541618F1"/>
    <w:rsid w:val="541D78A2"/>
    <w:rsid w:val="5498C7D4"/>
    <w:rsid w:val="549EC1BD"/>
    <w:rsid w:val="54A7A862"/>
    <w:rsid w:val="54A929EB"/>
    <w:rsid w:val="54B82483"/>
    <w:rsid w:val="54BDC446"/>
    <w:rsid w:val="54BFA1CF"/>
    <w:rsid w:val="54E783D6"/>
    <w:rsid w:val="54F53B81"/>
    <w:rsid w:val="54F61548"/>
    <w:rsid w:val="54FB0BB7"/>
    <w:rsid w:val="55032C65"/>
    <w:rsid w:val="550BA5D0"/>
    <w:rsid w:val="551D454E"/>
    <w:rsid w:val="55273C7E"/>
    <w:rsid w:val="5564E529"/>
    <w:rsid w:val="5568EE3B"/>
    <w:rsid w:val="558E3484"/>
    <w:rsid w:val="559152C0"/>
    <w:rsid w:val="5591C767"/>
    <w:rsid w:val="5596CD18"/>
    <w:rsid w:val="5598F654"/>
    <w:rsid w:val="559ADD40"/>
    <w:rsid w:val="559B2D90"/>
    <w:rsid w:val="55A0428E"/>
    <w:rsid w:val="55B3B33E"/>
    <w:rsid w:val="55F96841"/>
    <w:rsid w:val="5639DA70"/>
    <w:rsid w:val="5640AB48"/>
    <w:rsid w:val="5649453B"/>
    <w:rsid w:val="566004BC"/>
    <w:rsid w:val="5668D836"/>
    <w:rsid w:val="566BF857"/>
    <w:rsid w:val="5684B082"/>
    <w:rsid w:val="56AEC470"/>
    <w:rsid w:val="56B32BFA"/>
    <w:rsid w:val="56C008D5"/>
    <w:rsid w:val="56F78B71"/>
    <w:rsid w:val="572AE8BB"/>
    <w:rsid w:val="573C3696"/>
    <w:rsid w:val="574A306C"/>
    <w:rsid w:val="574D1A84"/>
    <w:rsid w:val="576596EE"/>
    <w:rsid w:val="57BB31B0"/>
    <w:rsid w:val="57C81801"/>
    <w:rsid w:val="57DF97A0"/>
    <w:rsid w:val="57ECC3E6"/>
    <w:rsid w:val="5815AD1F"/>
    <w:rsid w:val="583BD3DE"/>
    <w:rsid w:val="583D6C6B"/>
    <w:rsid w:val="5848B5FB"/>
    <w:rsid w:val="5854CD41"/>
    <w:rsid w:val="586AED5E"/>
    <w:rsid w:val="58A3CD5B"/>
    <w:rsid w:val="58BC3A0D"/>
    <w:rsid w:val="58C0B549"/>
    <w:rsid w:val="59042CE6"/>
    <w:rsid w:val="590F155E"/>
    <w:rsid w:val="590F1F0D"/>
    <w:rsid w:val="59513BBD"/>
    <w:rsid w:val="595209E3"/>
    <w:rsid w:val="596CE318"/>
    <w:rsid w:val="597E2A88"/>
    <w:rsid w:val="59845765"/>
    <w:rsid w:val="59A28DF9"/>
    <w:rsid w:val="59E0DC60"/>
    <w:rsid w:val="59F74872"/>
    <w:rsid w:val="5A228F7B"/>
    <w:rsid w:val="5A241F4E"/>
    <w:rsid w:val="5A611E65"/>
    <w:rsid w:val="5A6E9EB3"/>
    <w:rsid w:val="5A7064CA"/>
    <w:rsid w:val="5A739A59"/>
    <w:rsid w:val="5A849C6C"/>
    <w:rsid w:val="5ABA22DE"/>
    <w:rsid w:val="5AF37307"/>
    <w:rsid w:val="5AFA0874"/>
    <w:rsid w:val="5B13138A"/>
    <w:rsid w:val="5B163218"/>
    <w:rsid w:val="5B24C3FD"/>
    <w:rsid w:val="5B24EF87"/>
    <w:rsid w:val="5B294136"/>
    <w:rsid w:val="5B391793"/>
    <w:rsid w:val="5B59AAD2"/>
    <w:rsid w:val="5B60F4CA"/>
    <w:rsid w:val="5B95EA4E"/>
    <w:rsid w:val="5BB1E34A"/>
    <w:rsid w:val="5BB8BB06"/>
    <w:rsid w:val="5BD43211"/>
    <w:rsid w:val="5BDCE272"/>
    <w:rsid w:val="5BF0ED64"/>
    <w:rsid w:val="5BF682D9"/>
    <w:rsid w:val="5BFD209C"/>
    <w:rsid w:val="5C02A00C"/>
    <w:rsid w:val="5C10DD0C"/>
    <w:rsid w:val="5C226FDE"/>
    <w:rsid w:val="5C31C77A"/>
    <w:rsid w:val="5C519C06"/>
    <w:rsid w:val="5C5C4D0C"/>
    <w:rsid w:val="5C613FAF"/>
    <w:rsid w:val="5C70D283"/>
    <w:rsid w:val="5C86EABA"/>
    <w:rsid w:val="5C92597D"/>
    <w:rsid w:val="5C92658F"/>
    <w:rsid w:val="5CF204EA"/>
    <w:rsid w:val="5CF7B4E3"/>
    <w:rsid w:val="5D003910"/>
    <w:rsid w:val="5D10DD4D"/>
    <w:rsid w:val="5D3EF881"/>
    <w:rsid w:val="5D5C79B1"/>
    <w:rsid w:val="5D5F827A"/>
    <w:rsid w:val="5D6BBA8B"/>
    <w:rsid w:val="5D7D9772"/>
    <w:rsid w:val="5D81EE59"/>
    <w:rsid w:val="5D82EB6E"/>
    <w:rsid w:val="5D8E7D0C"/>
    <w:rsid w:val="5DBA8C04"/>
    <w:rsid w:val="5DECBEC4"/>
    <w:rsid w:val="5DF50A59"/>
    <w:rsid w:val="5DF58BC3"/>
    <w:rsid w:val="5E0824C4"/>
    <w:rsid w:val="5E3024FC"/>
    <w:rsid w:val="5E397C68"/>
    <w:rsid w:val="5E6C89CE"/>
    <w:rsid w:val="5E7FEACE"/>
    <w:rsid w:val="5E914B94"/>
    <w:rsid w:val="5E953241"/>
    <w:rsid w:val="5E9F3B0D"/>
    <w:rsid w:val="5ECF1319"/>
    <w:rsid w:val="5ED0DA77"/>
    <w:rsid w:val="5EEF32F7"/>
    <w:rsid w:val="5EFD1943"/>
    <w:rsid w:val="5F000308"/>
    <w:rsid w:val="5F0CB3FA"/>
    <w:rsid w:val="5F432A73"/>
    <w:rsid w:val="5F695339"/>
    <w:rsid w:val="5F9A12F8"/>
    <w:rsid w:val="5FA2A193"/>
    <w:rsid w:val="5FB5322F"/>
    <w:rsid w:val="5FB5BF78"/>
    <w:rsid w:val="5FCC0DE4"/>
    <w:rsid w:val="5FD53ED8"/>
    <w:rsid w:val="5FDADB8D"/>
    <w:rsid w:val="5FF4C1AA"/>
    <w:rsid w:val="601B987E"/>
    <w:rsid w:val="602CE82E"/>
    <w:rsid w:val="6038A745"/>
    <w:rsid w:val="6052B345"/>
    <w:rsid w:val="605E96BF"/>
    <w:rsid w:val="6065D349"/>
    <w:rsid w:val="6084A254"/>
    <w:rsid w:val="60A5D8F5"/>
    <w:rsid w:val="60C82557"/>
    <w:rsid w:val="60E2124F"/>
    <w:rsid w:val="60FE1560"/>
    <w:rsid w:val="611BBEDD"/>
    <w:rsid w:val="611C060B"/>
    <w:rsid w:val="613A3C82"/>
    <w:rsid w:val="613B72D0"/>
    <w:rsid w:val="61455F68"/>
    <w:rsid w:val="614ACF16"/>
    <w:rsid w:val="614DC69B"/>
    <w:rsid w:val="615EB0A9"/>
    <w:rsid w:val="61676FA7"/>
    <w:rsid w:val="616D1EB3"/>
    <w:rsid w:val="61717CEB"/>
    <w:rsid w:val="6175A841"/>
    <w:rsid w:val="6183F99A"/>
    <w:rsid w:val="619D128D"/>
    <w:rsid w:val="61A681DD"/>
    <w:rsid w:val="61B4D6E8"/>
    <w:rsid w:val="61BBA562"/>
    <w:rsid w:val="61E96A49"/>
    <w:rsid w:val="61F3C4FE"/>
    <w:rsid w:val="61F65973"/>
    <w:rsid w:val="6201FB69"/>
    <w:rsid w:val="620A7377"/>
    <w:rsid w:val="6227D3C9"/>
    <w:rsid w:val="6231536A"/>
    <w:rsid w:val="623C3D70"/>
    <w:rsid w:val="623F1712"/>
    <w:rsid w:val="623F8F5F"/>
    <w:rsid w:val="624D6FF3"/>
    <w:rsid w:val="625537FB"/>
    <w:rsid w:val="62607348"/>
    <w:rsid w:val="626A78F3"/>
    <w:rsid w:val="6285BFD7"/>
    <w:rsid w:val="62997CA9"/>
    <w:rsid w:val="62A0C4C1"/>
    <w:rsid w:val="62AA16E4"/>
    <w:rsid w:val="62AA6F79"/>
    <w:rsid w:val="62CDB023"/>
    <w:rsid w:val="62F5B886"/>
    <w:rsid w:val="630035C2"/>
    <w:rsid w:val="6309EC33"/>
    <w:rsid w:val="63250A2A"/>
    <w:rsid w:val="632E2912"/>
    <w:rsid w:val="6339DD1C"/>
    <w:rsid w:val="63556DF1"/>
    <w:rsid w:val="636FDB64"/>
    <w:rsid w:val="6371E609"/>
    <w:rsid w:val="6372AC30"/>
    <w:rsid w:val="637CB310"/>
    <w:rsid w:val="639A6A84"/>
    <w:rsid w:val="63C7DE2A"/>
    <w:rsid w:val="63D2935B"/>
    <w:rsid w:val="6406DE30"/>
    <w:rsid w:val="6471A3AE"/>
    <w:rsid w:val="648EC200"/>
    <w:rsid w:val="6491E57E"/>
    <w:rsid w:val="64973708"/>
    <w:rsid w:val="64A9EC34"/>
    <w:rsid w:val="64B75ECC"/>
    <w:rsid w:val="64B840A1"/>
    <w:rsid w:val="64E6EBD2"/>
    <w:rsid w:val="651ED211"/>
    <w:rsid w:val="654972EE"/>
    <w:rsid w:val="65627FA0"/>
    <w:rsid w:val="656B152A"/>
    <w:rsid w:val="657DA036"/>
    <w:rsid w:val="658A3CEE"/>
    <w:rsid w:val="6599EE6F"/>
    <w:rsid w:val="65AFB28C"/>
    <w:rsid w:val="65BABAC5"/>
    <w:rsid w:val="65BC15E7"/>
    <w:rsid w:val="65E74E0D"/>
    <w:rsid w:val="6611CCEC"/>
    <w:rsid w:val="6622D1AE"/>
    <w:rsid w:val="6626CD83"/>
    <w:rsid w:val="662B59F0"/>
    <w:rsid w:val="662B93D8"/>
    <w:rsid w:val="662BE388"/>
    <w:rsid w:val="664A7CB9"/>
    <w:rsid w:val="669B53D1"/>
    <w:rsid w:val="66D6C3C9"/>
    <w:rsid w:val="67045561"/>
    <w:rsid w:val="67057AD9"/>
    <w:rsid w:val="671713B2"/>
    <w:rsid w:val="672AAC0D"/>
    <w:rsid w:val="672C17C7"/>
    <w:rsid w:val="6731EA5B"/>
    <w:rsid w:val="673D822D"/>
    <w:rsid w:val="674FB488"/>
    <w:rsid w:val="67815EDA"/>
    <w:rsid w:val="678AE66C"/>
    <w:rsid w:val="679CE2B7"/>
    <w:rsid w:val="67C53417"/>
    <w:rsid w:val="67F7AD2D"/>
    <w:rsid w:val="67FB8B8B"/>
    <w:rsid w:val="680211A2"/>
    <w:rsid w:val="6829D9B9"/>
    <w:rsid w:val="682C9F3B"/>
    <w:rsid w:val="683FB630"/>
    <w:rsid w:val="6845D0AF"/>
    <w:rsid w:val="684E8879"/>
    <w:rsid w:val="6853D67D"/>
    <w:rsid w:val="68785191"/>
    <w:rsid w:val="68818BB4"/>
    <w:rsid w:val="688447ED"/>
    <w:rsid w:val="68A5F038"/>
    <w:rsid w:val="68ABF010"/>
    <w:rsid w:val="68C1D074"/>
    <w:rsid w:val="68D19083"/>
    <w:rsid w:val="68D36229"/>
    <w:rsid w:val="68F4B376"/>
    <w:rsid w:val="690A02E7"/>
    <w:rsid w:val="691F6584"/>
    <w:rsid w:val="695104FC"/>
    <w:rsid w:val="695929C5"/>
    <w:rsid w:val="69626D7B"/>
    <w:rsid w:val="697B09E9"/>
    <w:rsid w:val="69A89450"/>
    <w:rsid w:val="69B84333"/>
    <w:rsid w:val="69BE1091"/>
    <w:rsid w:val="69C38CB2"/>
    <w:rsid w:val="69DA541B"/>
    <w:rsid w:val="69FE8F28"/>
    <w:rsid w:val="6A141E57"/>
    <w:rsid w:val="6A23B28E"/>
    <w:rsid w:val="6A2C72BB"/>
    <w:rsid w:val="6A3E2CC0"/>
    <w:rsid w:val="6A464C1C"/>
    <w:rsid w:val="6A55FB7F"/>
    <w:rsid w:val="6A56EBFD"/>
    <w:rsid w:val="6A7542D7"/>
    <w:rsid w:val="6A79D46D"/>
    <w:rsid w:val="6A95F127"/>
    <w:rsid w:val="6AEB36C2"/>
    <w:rsid w:val="6B15E924"/>
    <w:rsid w:val="6B332D41"/>
    <w:rsid w:val="6B58DC42"/>
    <w:rsid w:val="6B7DEA9D"/>
    <w:rsid w:val="6B9FC8D3"/>
    <w:rsid w:val="6BAC9A33"/>
    <w:rsid w:val="6BAFD4BA"/>
    <w:rsid w:val="6BB69442"/>
    <w:rsid w:val="6BBDBDFB"/>
    <w:rsid w:val="6BC411DD"/>
    <w:rsid w:val="6BC627FC"/>
    <w:rsid w:val="6BCF10A6"/>
    <w:rsid w:val="6BD1BAC3"/>
    <w:rsid w:val="6BDFD104"/>
    <w:rsid w:val="6BE6BCC1"/>
    <w:rsid w:val="6BFA7416"/>
    <w:rsid w:val="6CA3E9C0"/>
    <w:rsid w:val="6CCEF5D8"/>
    <w:rsid w:val="6CD35E53"/>
    <w:rsid w:val="6CF6D0A2"/>
    <w:rsid w:val="6CF74C64"/>
    <w:rsid w:val="6D0357C4"/>
    <w:rsid w:val="6D0C425C"/>
    <w:rsid w:val="6D2611AF"/>
    <w:rsid w:val="6D2F6B35"/>
    <w:rsid w:val="6D8E2B96"/>
    <w:rsid w:val="6D9C4762"/>
    <w:rsid w:val="6DC0AD22"/>
    <w:rsid w:val="6DC32932"/>
    <w:rsid w:val="6DD02E95"/>
    <w:rsid w:val="6DEC1F58"/>
    <w:rsid w:val="6E050D9D"/>
    <w:rsid w:val="6E17D967"/>
    <w:rsid w:val="6E236A10"/>
    <w:rsid w:val="6E2D33B4"/>
    <w:rsid w:val="6E2D3BD8"/>
    <w:rsid w:val="6E53143F"/>
    <w:rsid w:val="6E5C2A6F"/>
    <w:rsid w:val="6E6B9EDE"/>
    <w:rsid w:val="6EBFCD72"/>
    <w:rsid w:val="6ECCE1E8"/>
    <w:rsid w:val="6ED0C94B"/>
    <w:rsid w:val="6EF4197C"/>
    <w:rsid w:val="6F20D542"/>
    <w:rsid w:val="6F23807C"/>
    <w:rsid w:val="6F2B2C58"/>
    <w:rsid w:val="6F4BCFEE"/>
    <w:rsid w:val="6F72904D"/>
    <w:rsid w:val="6F7F1602"/>
    <w:rsid w:val="6F92818B"/>
    <w:rsid w:val="6F9F0C96"/>
    <w:rsid w:val="6FB5B78A"/>
    <w:rsid w:val="6FB9AC4C"/>
    <w:rsid w:val="6FBD69DA"/>
    <w:rsid w:val="6FD2484F"/>
    <w:rsid w:val="6FE63350"/>
    <w:rsid w:val="6FF4D193"/>
    <w:rsid w:val="6FF67407"/>
    <w:rsid w:val="6FFBC077"/>
    <w:rsid w:val="702E30DD"/>
    <w:rsid w:val="7032CE36"/>
    <w:rsid w:val="703C6F77"/>
    <w:rsid w:val="703E62CB"/>
    <w:rsid w:val="7047515A"/>
    <w:rsid w:val="70517C53"/>
    <w:rsid w:val="705A4AB3"/>
    <w:rsid w:val="7070320A"/>
    <w:rsid w:val="707339F6"/>
    <w:rsid w:val="70978748"/>
    <w:rsid w:val="70B38E2A"/>
    <w:rsid w:val="70C5030A"/>
    <w:rsid w:val="70CC2AD1"/>
    <w:rsid w:val="70D2DAFD"/>
    <w:rsid w:val="70D8C71C"/>
    <w:rsid w:val="70DF33AB"/>
    <w:rsid w:val="70E2065D"/>
    <w:rsid w:val="70FD7977"/>
    <w:rsid w:val="710C1A27"/>
    <w:rsid w:val="711E0C87"/>
    <w:rsid w:val="711E19BE"/>
    <w:rsid w:val="7138645A"/>
    <w:rsid w:val="715392DE"/>
    <w:rsid w:val="716BE188"/>
    <w:rsid w:val="718BFA51"/>
    <w:rsid w:val="71A9782A"/>
    <w:rsid w:val="71AEAB3D"/>
    <w:rsid w:val="71B94F3E"/>
    <w:rsid w:val="71D91621"/>
    <w:rsid w:val="71ECB2F5"/>
    <w:rsid w:val="720761A8"/>
    <w:rsid w:val="72325782"/>
    <w:rsid w:val="7235D541"/>
    <w:rsid w:val="723C83A1"/>
    <w:rsid w:val="723C9330"/>
    <w:rsid w:val="724D6B94"/>
    <w:rsid w:val="726B15D7"/>
    <w:rsid w:val="72C06C1A"/>
    <w:rsid w:val="72C8E218"/>
    <w:rsid w:val="7318925A"/>
    <w:rsid w:val="733A62F8"/>
    <w:rsid w:val="7340F92E"/>
    <w:rsid w:val="734F3A69"/>
    <w:rsid w:val="73AD9352"/>
    <w:rsid w:val="73BA10DC"/>
    <w:rsid w:val="73FB69A2"/>
    <w:rsid w:val="73FBB2CB"/>
    <w:rsid w:val="7402C214"/>
    <w:rsid w:val="74103E42"/>
    <w:rsid w:val="7413F828"/>
    <w:rsid w:val="74175648"/>
    <w:rsid w:val="741C2DF6"/>
    <w:rsid w:val="7426A878"/>
    <w:rsid w:val="74332D89"/>
    <w:rsid w:val="744405D5"/>
    <w:rsid w:val="745E31EB"/>
    <w:rsid w:val="74616CE3"/>
    <w:rsid w:val="748261D4"/>
    <w:rsid w:val="748A8CBE"/>
    <w:rsid w:val="748C536E"/>
    <w:rsid w:val="74963F09"/>
    <w:rsid w:val="74A7E454"/>
    <w:rsid w:val="74B462BB"/>
    <w:rsid w:val="74C01E22"/>
    <w:rsid w:val="74CD07E5"/>
    <w:rsid w:val="74E1560F"/>
    <w:rsid w:val="75106636"/>
    <w:rsid w:val="7527A372"/>
    <w:rsid w:val="7550B0C1"/>
    <w:rsid w:val="7568C1D5"/>
    <w:rsid w:val="756E975E"/>
    <w:rsid w:val="756EC570"/>
    <w:rsid w:val="759F2FFD"/>
    <w:rsid w:val="759FA9FE"/>
    <w:rsid w:val="75A51C46"/>
    <w:rsid w:val="75BBAED7"/>
    <w:rsid w:val="75D76F59"/>
    <w:rsid w:val="75D8DEAF"/>
    <w:rsid w:val="75E30FF2"/>
    <w:rsid w:val="75F14B78"/>
    <w:rsid w:val="75F342C0"/>
    <w:rsid w:val="760ACD45"/>
    <w:rsid w:val="7623F5A2"/>
    <w:rsid w:val="7659BC8C"/>
    <w:rsid w:val="7661BBFE"/>
    <w:rsid w:val="76671FAE"/>
    <w:rsid w:val="767253E4"/>
    <w:rsid w:val="767C5D0F"/>
    <w:rsid w:val="76A5F72F"/>
    <w:rsid w:val="76BA4150"/>
    <w:rsid w:val="76BA9568"/>
    <w:rsid w:val="76BD78B2"/>
    <w:rsid w:val="76D9CAAB"/>
    <w:rsid w:val="7728FC13"/>
    <w:rsid w:val="7794B28B"/>
    <w:rsid w:val="77A5FC03"/>
    <w:rsid w:val="77A6DEC7"/>
    <w:rsid w:val="77B5F0F8"/>
    <w:rsid w:val="77C2BE7D"/>
    <w:rsid w:val="7800175D"/>
    <w:rsid w:val="780233B4"/>
    <w:rsid w:val="78034695"/>
    <w:rsid w:val="78045E6A"/>
    <w:rsid w:val="78198E36"/>
    <w:rsid w:val="781C7920"/>
    <w:rsid w:val="7822A373"/>
    <w:rsid w:val="78274856"/>
    <w:rsid w:val="7831351F"/>
    <w:rsid w:val="783C8884"/>
    <w:rsid w:val="783ED688"/>
    <w:rsid w:val="7849ECD1"/>
    <w:rsid w:val="78887F15"/>
    <w:rsid w:val="788EF2F5"/>
    <w:rsid w:val="78903ED4"/>
    <w:rsid w:val="789245B6"/>
    <w:rsid w:val="78974744"/>
    <w:rsid w:val="78ABB941"/>
    <w:rsid w:val="78BA88F5"/>
    <w:rsid w:val="78E69B88"/>
    <w:rsid w:val="78F3403C"/>
    <w:rsid w:val="790BCC30"/>
    <w:rsid w:val="790EFF3A"/>
    <w:rsid w:val="79340AE7"/>
    <w:rsid w:val="794BD27E"/>
    <w:rsid w:val="79587DA5"/>
    <w:rsid w:val="796445C2"/>
    <w:rsid w:val="797171E4"/>
    <w:rsid w:val="797C5D7E"/>
    <w:rsid w:val="7986A6C6"/>
    <w:rsid w:val="7994E127"/>
    <w:rsid w:val="79952721"/>
    <w:rsid w:val="79B40C6F"/>
    <w:rsid w:val="79BC97FF"/>
    <w:rsid w:val="79DB27C9"/>
    <w:rsid w:val="79E5CC43"/>
    <w:rsid w:val="79E5FE45"/>
    <w:rsid w:val="79E891D5"/>
    <w:rsid w:val="79F11353"/>
    <w:rsid w:val="7A0DFA6B"/>
    <w:rsid w:val="7A1C7B66"/>
    <w:rsid w:val="7A205762"/>
    <w:rsid w:val="7A310D15"/>
    <w:rsid w:val="7A36723A"/>
    <w:rsid w:val="7A403D5A"/>
    <w:rsid w:val="7A4B489E"/>
    <w:rsid w:val="7A5562D4"/>
    <w:rsid w:val="7A6B09F4"/>
    <w:rsid w:val="7A6F4CAA"/>
    <w:rsid w:val="7A8E6AFE"/>
    <w:rsid w:val="7A9296AD"/>
    <w:rsid w:val="7A9665B0"/>
    <w:rsid w:val="7AA9EB63"/>
    <w:rsid w:val="7AACDBAF"/>
    <w:rsid w:val="7AADCDEE"/>
    <w:rsid w:val="7ACC137A"/>
    <w:rsid w:val="7AD2AC14"/>
    <w:rsid w:val="7AD50357"/>
    <w:rsid w:val="7AD5642D"/>
    <w:rsid w:val="7AD80C07"/>
    <w:rsid w:val="7AE6C985"/>
    <w:rsid w:val="7AF6CD5C"/>
    <w:rsid w:val="7B228FAF"/>
    <w:rsid w:val="7B3E840E"/>
    <w:rsid w:val="7B4157A1"/>
    <w:rsid w:val="7B432931"/>
    <w:rsid w:val="7B5B5B6B"/>
    <w:rsid w:val="7B6FA2F8"/>
    <w:rsid w:val="7B7113FA"/>
    <w:rsid w:val="7B738D1C"/>
    <w:rsid w:val="7B9005E3"/>
    <w:rsid w:val="7B92337A"/>
    <w:rsid w:val="7BA18D34"/>
    <w:rsid w:val="7BA27A6A"/>
    <w:rsid w:val="7BBA07EE"/>
    <w:rsid w:val="7BC64BE6"/>
    <w:rsid w:val="7BC75971"/>
    <w:rsid w:val="7BCAAF78"/>
    <w:rsid w:val="7BE21D20"/>
    <w:rsid w:val="7BE2BCD4"/>
    <w:rsid w:val="7BEDC549"/>
    <w:rsid w:val="7BF1814C"/>
    <w:rsid w:val="7C3517DA"/>
    <w:rsid w:val="7C5620B2"/>
    <w:rsid w:val="7C71AB89"/>
    <w:rsid w:val="7C7D01E3"/>
    <w:rsid w:val="7C8133C5"/>
    <w:rsid w:val="7C838DF5"/>
    <w:rsid w:val="7CD8D04F"/>
    <w:rsid w:val="7CDE5F6F"/>
    <w:rsid w:val="7D338A6A"/>
    <w:rsid w:val="7D3894A1"/>
    <w:rsid w:val="7D4D8622"/>
    <w:rsid w:val="7D50AD50"/>
    <w:rsid w:val="7D515E73"/>
    <w:rsid w:val="7D66498B"/>
    <w:rsid w:val="7D80A9CC"/>
    <w:rsid w:val="7D884DA3"/>
    <w:rsid w:val="7D92C60D"/>
    <w:rsid w:val="7DBD65AF"/>
    <w:rsid w:val="7DEB640C"/>
    <w:rsid w:val="7DEF6D6D"/>
    <w:rsid w:val="7E02457D"/>
    <w:rsid w:val="7E0B8985"/>
    <w:rsid w:val="7E0C0F91"/>
    <w:rsid w:val="7E0E4E2A"/>
    <w:rsid w:val="7E194A95"/>
    <w:rsid w:val="7E44B93F"/>
    <w:rsid w:val="7E5054D9"/>
    <w:rsid w:val="7E85F5A6"/>
    <w:rsid w:val="7E9E6B47"/>
    <w:rsid w:val="7EB7C484"/>
    <w:rsid w:val="7EBB42A8"/>
    <w:rsid w:val="7EDC5288"/>
    <w:rsid w:val="7F1CA35C"/>
    <w:rsid w:val="7F30DB7F"/>
    <w:rsid w:val="7F3275D7"/>
    <w:rsid w:val="7F3AC1F6"/>
    <w:rsid w:val="7F682EFB"/>
    <w:rsid w:val="7F9A1C1C"/>
    <w:rsid w:val="7FAB79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67A9"/>
  <w15:chartTrackingRefBased/>
  <w15:docId w15:val="{BC0B263F-6049-4AAC-8DBF-30F670DA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locked="0" w:qFormat="1"/>
    <w:lsdException w:name="footer" w:locked="0" w:uiPriority="99"/>
    <w:lsdException w:name="caption" w:semiHidden="1" w:unhideWhenUsed="1" w:qFormat="1"/>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99"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F545B1"/>
    <w:pPr>
      <w:keepLines/>
      <w:spacing w:after="160" w:line="288" w:lineRule="auto"/>
    </w:pPr>
    <w:rPr>
      <w:rFonts w:ascii="Open Sans" w:eastAsia="MS Mincho" w:hAnsi="Open Sans"/>
      <w:szCs w:val="24"/>
    </w:rPr>
  </w:style>
  <w:style w:type="paragraph" w:styleId="Titolo1">
    <w:name w:val="heading 1"/>
    <w:basedOn w:val="Normale"/>
    <w:next w:val="Normale"/>
    <w:link w:val="Titolo1Carattere"/>
    <w:qFormat/>
    <w:rsid w:val="00C92500"/>
    <w:pPr>
      <w:widowControl w:val="0"/>
      <w:spacing w:before="240" w:after="360" w:line="240" w:lineRule="auto"/>
      <w:outlineLvl w:val="0"/>
    </w:pPr>
    <w:rPr>
      <w:rFonts w:ascii="Open Sans Semibold" w:hAnsi="Open Sans Semibold"/>
      <w:b/>
      <w:bCs/>
      <w:color w:val="18385F" w:themeColor="accent2"/>
      <w:sz w:val="36"/>
      <w:szCs w:val="28"/>
    </w:rPr>
  </w:style>
  <w:style w:type="paragraph" w:styleId="Titolo2">
    <w:name w:val="heading 2"/>
    <w:basedOn w:val="Titolo1"/>
    <w:next w:val="Normale"/>
    <w:link w:val="Titolo2Carattere"/>
    <w:qFormat/>
    <w:rsid w:val="00782F2F"/>
    <w:pPr>
      <w:widowControl/>
      <w:numPr>
        <w:ilvl w:val="1"/>
      </w:numPr>
      <w:spacing w:before="360" w:after="240"/>
      <w:outlineLvl w:val="1"/>
    </w:pPr>
    <w:rPr>
      <w:bCs w:val="0"/>
      <w:sz w:val="28"/>
      <w:szCs w:val="26"/>
    </w:rPr>
  </w:style>
  <w:style w:type="paragraph" w:styleId="Titolo3">
    <w:name w:val="heading 3"/>
    <w:basedOn w:val="Titolo2"/>
    <w:next w:val="Normale"/>
    <w:link w:val="Titolo3Carattere"/>
    <w:qFormat/>
    <w:rsid w:val="00C92500"/>
    <w:pPr>
      <w:numPr>
        <w:ilvl w:val="0"/>
        <w:numId w:val="62"/>
      </w:numPr>
      <w:outlineLvl w:val="2"/>
    </w:pPr>
    <w:rPr>
      <w:rFonts w:ascii="Open Sans" w:hAnsi="Open Sans"/>
      <w:bCs/>
      <w:color w:val="auto"/>
      <w:sz w:val="20"/>
    </w:rPr>
  </w:style>
  <w:style w:type="paragraph" w:styleId="Titolo4">
    <w:name w:val="heading 4"/>
    <w:basedOn w:val="Titolo3"/>
    <w:next w:val="Normale"/>
    <w:link w:val="Titolo4Carattere"/>
    <w:qFormat/>
    <w:locked/>
    <w:rsid w:val="007F2E8C"/>
    <w:pPr>
      <w:numPr>
        <w:numId w:val="55"/>
      </w:numPr>
      <w:tabs>
        <w:tab w:val="clear" w:pos="284"/>
        <w:tab w:val="num" w:pos="360"/>
      </w:tabs>
      <w:ind w:left="397" w:hanging="397"/>
      <w:outlineLvl w:val="3"/>
    </w:pPr>
    <w:rPr>
      <w:b w:val="0"/>
      <w:bCs w:val="0"/>
      <w:i/>
      <w:iCs/>
    </w:rPr>
  </w:style>
  <w:style w:type="paragraph" w:styleId="Titolo5">
    <w:name w:val="heading 5"/>
    <w:basedOn w:val="Normale"/>
    <w:next w:val="Normale"/>
    <w:link w:val="Titolo5Carattere"/>
    <w:qFormat/>
    <w:locked/>
    <w:rsid w:val="004414E7"/>
    <w:pPr>
      <w:outlineLvl w:val="4"/>
    </w:pPr>
    <w:rPr>
      <w:b/>
    </w:rPr>
  </w:style>
  <w:style w:type="paragraph" w:styleId="Titolo6">
    <w:name w:val="heading 6"/>
    <w:basedOn w:val="Normale"/>
    <w:next w:val="Normale"/>
    <w:link w:val="Titolo6Carattere"/>
    <w:locked/>
    <w:rsid w:val="00095E90"/>
    <w:pPr>
      <w:outlineLvl w:val="5"/>
    </w:pPr>
    <w:rPr>
      <w:rFonts w:cs="Open Sans"/>
      <w:i/>
    </w:rPr>
  </w:style>
  <w:style w:type="paragraph" w:styleId="Titolo7">
    <w:name w:val="heading 7"/>
    <w:basedOn w:val="Normale"/>
    <w:next w:val="Normale"/>
    <w:link w:val="Titolo7Carattere"/>
    <w:locked/>
    <w:rsid w:val="009821F8"/>
    <w:pPr>
      <w:numPr>
        <w:ilvl w:val="6"/>
        <w:numId w:val="29"/>
      </w:numPr>
      <w:spacing w:before="200"/>
      <w:outlineLvl w:val="6"/>
    </w:pPr>
    <w:rPr>
      <w:i/>
      <w:iCs/>
    </w:rPr>
  </w:style>
  <w:style w:type="paragraph" w:styleId="Titolo8">
    <w:name w:val="heading 8"/>
    <w:basedOn w:val="Normale"/>
    <w:next w:val="Normale"/>
    <w:link w:val="Titolo8Carattere"/>
    <w:locked/>
    <w:rsid w:val="009821F8"/>
    <w:pPr>
      <w:numPr>
        <w:ilvl w:val="7"/>
        <w:numId w:val="29"/>
      </w:numPr>
      <w:spacing w:before="200"/>
      <w:outlineLvl w:val="7"/>
    </w:pPr>
    <w:rPr>
      <w:szCs w:val="20"/>
    </w:rPr>
  </w:style>
  <w:style w:type="paragraph" w:styleId="Titolo9">
    <w:name w:val="heading 9"/>
    <w:basedOn w:val="Normale"/>
    <w:next w:val="Normale"/>
    <w:link w:val="Titolo9Carattere"/>
    <w:locked/>
    <w:rsid w:val="009821F8"/>
    <w:pPr>
      <w:numPr>
        <w:ilvl w:val="8"/>
        <w:numId w:val="29"/>
      </w:numPr>
      <w:spacing w:before="200"/>
      <w:outlineLvl w:val="8"/>
    </w:pPr>
    <w:rPr>
      <w:i/>
      <w:i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F97807"/>
    <w:rPr>
      <w:rFonts w:ascii="Open Sans Semibold" w:eastAsia="MS Mincho" w:hAnsi="Open Sans Semibold"/>
      <w:b/>
      <w:bCs/>
      <w:color w:val="18385F" w:themeColor="accent2"/>
      <w:sz w:val="36"/>
      <w:szCs w:val="28"/>
    </w:rPr>
  </w:style>
  <w:style w:type="character" w:customStyle="1" w:styleId="Titolo2Carattere">
    <w:name w:val="Titolo 2 Carattere"/>
    <w:link w:val="Titolo2"/>
    <w:rsid w:val="00782F2F"/>
    <w:rPr>
      <w:rFonts w:ascii="Open Sans Semibold" w:eastAsia="MS Mincho" w:hAnsi="Open Sans Semibold"/>
      <w:b/>
      <w:color w:val="0070C0"/>
      <w:sz w:val="28"/>
      <w:szCs w:val="26"/>
    </w:rPr>
  </w:style>
  <w:style w:type="character" w:customStyle="1" w:styleId="Titolo3Carattere">
    <w:name w:val="Titolo 3 Carattere"/>
    <w:link w:val="Titolo3"/>
    <w:rsid w:val="00782F2F"/>
    <w:rPr>
      <w:rFonts w:ascii="Open Sans" w:eastAsia="MS Mincho" w:hAnsi="Open Sans"/>
      <w:b/>
      <w:bCs/>
      <w:szCs w:val="26"/>
    </w:rPr>
  </w:style>
  <w:style w:type="character" w:customStyle="1" w:styleId="Titolo4Carattere">
    <w:name w:val="Titolo 4 Carattere"/>
    <w:link w:val="Titolo4"/>
    <w:rsid w:val="007F2E8C"/>
    <w:rPr>
      <w:rFonts w:ascii="Open Sans" w:eastAsia="MS Mincho" w:hAnsi="Open Sans"/>
      <w:i/>
      <w:iCs/>
      <w:szCs w:val="26"/>
    </w:rPr>
  </w:style>
  <w:style w:type="character" w:styleId="Enfasigrassetto">
    <w:name w:val="Strong"/>
    <w:uiPriority w:val="99"/>
    <w:qFormat/>
    <w:locked/>
    <w:rsid w:val="00471BB7"/>
    <w:rPr>
      <w:rFonts w:ascii="Open Sans" w:hAnsi="Open Sans"/>
      <w:b/>
      <w:bCs/>
    </w:rPr>
  </w:style>
  <w:style w:type="character" w:customStyle="1" w:styleId="Titolo5Carattere">
    <w:name w:val="Titolo 5 Carattere"/>
    <w:link w:val="Titolo5"/>
    <w:rsid w:val="004414E7"/>
    <w:rPr>
      <w:rFonts w:ascii="Open Sans" w:eastAsia="MS Mincho" w:hAnsi="Open Sans"/>
      <w:b/>
      <w:szCs w:val="24"/>
    </w:rPr>
  </w:style>
  <w:style w:type="character" w:customStyle="1" w:styleId="Titolo6Carattere">
    <w:name w:val="Titolo 6 Carattere"/>
    <w:link w:val="Titolo6"/>
    <w:rsid w:val="00095E90"/>
    <w:rPr>
      <w:rFonts w:ascii="Open Sans" w:eastAsia="MS Mincho" w:hAnsi="Open Sans" w:cs="Open Sans"/>
      <w:i/>
      <w:szCs w:val="24"/>
    </w:rPr>
  </w:style>
  <w:style w:type="character" w:customStyle="1" w:styleId="Titolo7Carattere">
    <w:name w:val="Titolo 7 Carattere"/>
    <w:link w:val="Titolo7"/>
    <w:rsid w:val="005C2ECF"/>
    <w:rPr>
      <w:rFonts w:ascii="Open Sans" w:eastAsia="MS Mincho" w:hAnsi="Open Sans"/>
      <w:i/>
      <w:iCs/>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9500F7"/>
    <w:pPr>
      <w:tabs>
        <w:tab w:val="center" w:pos="4513"/>
        <w:tab w:val="right" w:pos="9026"/>
      </w:tabs>
      <w:spacing w:after="360" w:line="240" w:lineRule="auto"/>
      <w:jc w:val="right"/>
    </w:pPr>
    <w:rPr>
      <w:sz w:val="18"/>
    </w:rPr>
  </w:style>
  <w:style w:type="character" w:customStyle="1" w:styleId="IntestazioneCarattere">
    <w:name w:val="Intestazione Carattere"/>
    <w:link w:val="Intestazione"/>
    <w:rsid w:val="009500F7"/>
    <w:rPr>
      <w:rFonts w:ascii="Open Sans" w:eastAsia="MS Mincho" w:hAnsi="Open Sans"/>
      <w:sz w:val="18"/>
      <w:szCs w:val="24"/>
    </w:rPr>
  </w:style>
  <w:style w:type="paragraph" w:styleId="Pidipagina">
    <w:name w:val="footer"/>
    <w:basedOn w:val="Normale"/>
    <w:link w:val="PidipaginaCarattere"/>
    <w:uiPriority w:val="99"/>
    <w:rsid w:val="00DD0877"/>
    <w:pPr>
      <w:tabs>
        <w:tab w:val="right" w:pos="2835"/>
        <w:tab w:val="right" w:pos="5670"/>
      </w:tabs>
      <w:spacing w:before="240" w:after="0" w:line="240" w:lineRule="auto"/>
      <w:jc w:val="right"/>
    </w:pPr>
    <w:rPr>
      <w:sz w:val="17"/>
    </w:rPr>
  </w:style>
  <w:style w:type="character" w:customStyle="1" w:styleId="PidipaginaCarattere">
    <w:name w:val="Piè di pagina Carattere"/>
    <w:link w:val="Pidipagina"/>
    <w:uiPriority w:val="99"/>
    <w:rsid w:val="00DD0877"/>
    <w:rPr>
      <w:rFonts w:ascii="Open Sans" w:eastAsia="MS Mincho" w:hAnsi="Open Sans"/>
      <w:sz w:val="17"/>
      <w:szCs w:val="24"/>
    </w:rPr>
  </w:style>
  <w:style w:type="paragraph" w:styleId="Sommario3">
    <w:name w:val="toc 3"/>
    <w:basedOn w:val="Normale"/>
    <w:next w:val="Normale"/>
    <w:uiPriority w:val="39"/>
    <w:locked/>
    <w:rsid w:val="008B6B2A"/>
    <w:pPr>
      <w:tabs>
        <w:tab w:val="left" w:pos="1202"/>
        <w:tab w:val="right" w:leader="dot" w:pos="9060"/>
      </w:tabs>
      <w:spacing w:after="0"/>
      <w:ind w:left="1701" w:hanging="567"/>
    </w:pPr>
    <w:rPr>
      <w:rFonts w:cs="Arial"/>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0"/>
      </w:numPr>
    </w:pPr>
  </w:style>
  <w:style w:type="paragraph" w:styleId="Sommario1">
    <w:name w:val="toc 1"/>
    <w:basedOn w:val="Normale"/>
    <w:next w:val="Normale"/>
    <w:uiPriority w:val="39"/>
    <w:rsid w:val="008B6B2A"/>
    <w:pPr>
      <w:tabs>
        <w:tab w:val="right" w:leader="dot" w:pos="9060"/>
      </w:tabs>
      <w:spacing w:before="100" w:after="100"/>
      <w:ind w:left="567" w:hanging="567"/>
    </w:pPr>
    <w:rPr>
      <w:b/>
      <w:noProof/>
    </w:rPr>
  </w:style>
  <w:style w:type="paragraph" w:styleId="Sommario2">
    <w:name w:val="toc 2"/>
    <w:basedOn w:val="Normale"/>
    <w:next w:val="Normale"/>
    <w:uiPriority w:val="39"/>
    <w:locked/>
    <w:rsid w:val="008B6B2A"/>
    <w:pPr>
      <w:tabs>
        <w:tab w:val="right" w:leader="dot" w:pos="9060"/>
      </w:tabs>
      <w:spacing w:after="0"/>
      <w:ind w:left="1134" w:hanging="567"/>
    </w:pPr>
    <w:rPr>
      <w:noProof/>
    </w:rPr>
  </w:style>
  <w:style w:type="paragraph" w:styleId="Sommario4">
    <w:name w:val="toc 4"/>
    <w:basedOn w:val="Normale"/>
    <w:next w:val="Normale"/>
    <w:uiPriority w:val="39"/>
    <w:locked/>
    <w:rsid w:val="00814FC0"/>
    <w:pPr>
      <w:tabs>
        <w:tab w:val="left" w:pos="1440"/>
        <w:tab w:val="right" w:leader="dot" w:pos="9060"/>
      </w:tabs>
      <w:spacing w:after="0"/>
      <w:ind w:left="1440" w:hanging="720"/>
    </w:pPr>
    <w:rPr>
      <w:noProof/>
    </w:rPr>
  </w:style>
  <w:style w:type="character" w:styleId="Collegamentoipertestuale">
    <w:name w:val="Hyperlink"/>
    <w:uiPriority w:val="99"/>
    <w:unhideWhenUsed/>
    <w:rsid w:val="00600885"/>
    <w:rPr>
      <w:rFonts w:ascii="Open Sans" w:hAnsi="Open Sans"/>
      <w:color w:val="0070C0"/>
      <w:u w:val="none"/>
    </w:rPr>
  </w:style>
  <w:style w:type="paragraph" w:styleId="Titolosommario">
    <w:name w:val="TOC Heading"/>
    <w:basedOn w:val="Normale"/>
    <w:next w:val="Normale"/>
    <w:uiPriority w:val="39"/>
    <w:rsid w:val="00CA56DA"/>
    <w:pPr>
      <w:spacing w:after="360"/>
    </w:pPr>
    <w:rPr>
      <w:rFonts w:ascii="Open Sans Semibold" w:hAnsi="Open Sans Semibold"/>
      <w:b/>
      <w:color w:val="18385F" w:themeColor="accent2"/>
      <w:sz w:val="56"/>
      <w:lang w:val="en-US" w:eastAsia="en-US"/>
    </w:rPr>
  </w:style>
  <w:style w:type="paragraph" w:styleId="Testonotadichiusura">
    <w:name w:val="endnote text"/>
    <w:basedOn w:val="Normale"/>
    <w:link w:val="TestonotadichiusuraCarattere"/>
    <w:uiPriority w:val="99"/>
    <w:qFormat/>
    <w:rsid w:val="00664A55"/>
    <w:pPr>
      <w:tabs>
        <w:tab w:val="left" w:pos="397"/>
      </w:tabs>
      <w:spacing w:after="0"/>
      <w:ind w:left="397" w:hanging="397"/>
    </w:pPr>
    <w:rPr>
      <w:sz w:val="18"/>
      <w:szCs w:val="20"/>
    </w:rPr>
  </w:style>
  <w:style w:type="character" w:customStyle="1" w:styleId="TestonotadichiusuraCarattere">
    <w:name w:val="Testo nota di chiusura Carattere"/>
    <w:link w:val="Testonotadichiusura"/>
    <w:uiPriority w:val="99"/>
    <w:rsid w:val="00664A55"/>
    <w:rPr>
      <w:rFonts w:ascii="Open Sans" w:eastAsia="MS Mincho" w:hAnsi="Open Sans"/>
      <w:sz w:val="18"/>
    </w:rPr>
  </w:style>
  <w:style w:type="character" w:styleId="Rimandonotadichiusura">
    <w:name w:val="endnote reference"/>
    <w:uiPriority w:val="99"/>
    <w:qFormat/>
    <w:rsid w:val="00045C4B"/>
    <w:rPr>
      <w:rFonts w:ascii="Open Sans" w:hAnsi="Open Sans"/>
      <w:sz w:val="20"/>
      <w:vertAlign w:val="superscript"/>
    </w:rPr>
  </w:style>
  <w:style w:type="numbering" w:styleId="1ai">
    <w:name w:val="Outline List 1"/>
    <w:basedOn w:val="Nessunelenco"/>
    <w:semiHidden/>
    <w:locked/>
    <w:rsid w:val="00E45954"/>
    <w:pPr>
      <w:numPr>
        <w:numId w:val="11"/>
      </w:numPr>
    </w:pPr>
  </w:style>
  <w:style w:type="numbering" w:styleId="ArticoloSezione">
    <w:name w:val="Outline List 3"/>
    <w:basedOn w:val="Nessunelenco"/>
    <w:semiHidden/>
    <w:locked/>
    <w:rsid w:val="00E45954"/>
    <w:pPr>
      <w:numPr>
        <w:numId w:val="20"/>
      </w:numPr>
    </w:pPr>
  </w:style>
  <w:style w:type="paragraph" w:styleId="Testodelblocco">
    <w:name w:val="Block Text"/>
    <w:basedOn w:val="Normale"/>
    <w:semiHidden/>
    <w:rsid w:val="00045C4B"/>
    <w:pPr>
      <w:spacing w:after="120"/>
      <w:ind w:left="1440" w:right="1440"/>
    </w:pPr>
  </w:style>
  <w:style w:type="paragraph" w:customStyle="1" w:styleId="NormalAboveandBelow0">
    <w:name w:val="Normal Above and Below 0"/>
    <w:basedOn w:val="Normale"/>
    <w:qFormat/>
    <w:rsid w:val="00600885"/>
    <w:pPr>
      <w:spacing w:after="0"/>
    </w:pPr>
  </w:style>
  <w:style w:type="character" w:styleId="Rimandonotaapidipagina">
    <w:name w:val="footnote reference"/>
    <w:basedOn w:val="Carpredefinitoparagrafo"/>
    <w:locked/>
    <w:rsid w:val="006E2E98"/>
    <w:rPr>
      <w:vertAlign w:val="superscript"/>
    </w:rPr>
  </w:style>
  <w:style w:type="table" w:customStyle="1" w:styleId="TabellaGrigia">
    <w:name w:val="Tabella Grigia"/>
    <w:basedOn w:val="Tabellanormale"/>
    <w:uiPriority w:val="99"/>
    <w:rsid w:val="00694317"/>
    <w:rPr>
      <w:rFonts w:ascii="Open Sans" w:hAnsi="Open Sans"/>
    </w:rPr>
    <w:tblPr>
      <w:tblStyleRowBandSize w:val="1"/>
      <w:tblStyleColBandSize w:val="1"/>
      <w:tblCellMar>
        <w:top w:w="454" w:type="dxa"/>
        <w:left w:w="454" w:type="dxa"/>
        <w:bottom w:w="454" w:type="dxa"/>
        <w:right w:w="454" w:type="dxa"/>
      </w:tblCellMar>
    </w:tblPr>
    <w:tcPr>
      <w:shd w:val="clear" w:color="auto" w:fill="EFF1EE" w:themeFill="accent6"/>
      <w:tcMar>
        <w:top w:w="567" w:type="dxa"/>
        <w:left w:w="567" w:type="dxa"/>
        <w:bottom w:w="567" w:type="dxa"/>
        <w:right w:w="567" w:type="dxa"/>
      </w:tcMar>
    </w:tcPr>
    <w:tblStylePr w:type="firstRow">
      <w:tblPr/>
      <w:tcPr>
        <w:shd w:val="clear" w:color="auto" w:fill="EFF1EE" w:themeFill="accent6"/>
      </w:tcPr>
    </w:tblStylePr>
    <w:tblStylePr w:type="lastRow">
      <w:tblPr/>
      <w:tcPr>
        <w:shd w:val="clear" w:color="auto" w:fill="EFF1EE" w:themeFill="accent6"/>
      </w:tcPr>
    </w:tblStylePr>
    <w:tblStylePr w:type="firstCol">
      <w:tblPr/>
      <w:tcPr>
        <w:shd w:val="clear" w:color="auto" w:fill="EFF1EE" w:themeFill="accent6"/>
      </w:tcPr>
    </w:tblStylePr>
    <w:tblStylePr w:type="lastCol">
      <w:tblPr/>
      <w:tcPr>
        <w:shd w:val="clear" w:color="auto" w:fill="EFF1EE" w:themeFill="accent6"/>
      </w:tcPr>
    </w:tblStylePr>
    <w:tblStylePr w:type="band1Vert">
      <w:tblPr/>
      <w:tcPr>
        <w:shd w:val="clear" w:color="auto" w:fill="EFF1EE" w:themeFill="accent6"/>
      </w:tcPr>
    </w:tblStylePr>
    <w:tblStylePr w:type="band2Vert">
      <w:tblPr/>
      <w:tcPr>
        <w:shd w:val="clear" w:color="auto" w:fill="EFF1EE" w:themeFill="accent6"/>
      </w:tcPr>
    </w:tblStylePr>
    <w:tblStylePr w:type="band1Horz">
      <w:tblPr/>
      <w:tcPr>
        <w:shd w:val="clear" w:color="auto" w:fill="EFF1EE" w:themeFill="accent6"/>
      </w:tcPr>
    </w:tblStylePr>
    <w:tblStylePr w:type="band2Horz">
      <w:tblPr/>
      <w:tcPr>
        <w:shd w:val="clear" w:color="auto" w:fill="EFF1EE" w:themeFill="accent6"/>
      </w:tcPr>
    </w:tblStylePr>
    <w:tblStylePr w:type="neCell">
      <w:tblPr/>
      <w:tcPr>
        <w:shd w:val="clear" w:color="auto" w:fill="EFF1EE" w:themeFill="accent6"/>
      </w:tcPr>
    </w:tblStylePr>
    <w:tblStylePr w:type="nwCell">
      <w:tblPr/>
      <w:tcPr>
        <w:shd w:val="clear" w:color="auto" w:fill="EFF1EE" w:themeFill="accent6"/>
      </w:tcPr>
    </w:tblStylePr>
    <w:tblStylePr w:type="seCell">
      <w:tblPr/>
      <w:tcPr>
        <w:shd w:val="clear" w:color="auto" w:fill="EFF1EE" w:themeFill="accent6"/>
      </w:tcPr>
    </w:tblStylePr>
    <w:tblStylePr w:type="swCell">
      <w:tblPr/>
      <w:tcPr>
        <w:shd w:val="clear" w:color="auto" w:fill="EFF1EE" w:themeFill="accent6"/>
      </w:tcPr>
    </w:tblStylePr>
  </w:style>
  <w:style w:type="paragraph" w:styleId="Primorientrocorpodeltesto">
    <w:name w:val="Body Text First Indent"/>
    <w:basedOn w:val="Normale"/>
    <w:link w:val="PrimorientrocorpodeltestoCarattere"/>
    <w:semiHidden/>
    <w:rsid w:val="009500F7"/>
    <w:pPr>
      <w:spacing w:after="120"/>
      <w:ind w:firstLine="210"/>
    </w:pPr>
  </w:style>
  <w:style w:type="paragraph" w:styleId="Rientrocorpodeltesto">
    <w:name w:val="Body Text Indent"/>
    <w:basedOn w:val="Normale"/>
    <w:link w:val="RientrocorpodeltestoCarattere"/>
    <w:semiHidden/>
    <w:rsid w:val="0049783A"/>
    <w:pPr>
      <w:spacing w:before="120" w:after="120"/>
      <w:ind w:left="567"/>
      <w:contextualSpacing/>
    </w:pPr>
  </w:style>
  <w:style w:type="paragraph" w:styleId="Primorientrocorpodeltesto2">
    <w:name w:val="Body Text First Indent 2"/>
    <w:basedOn w:val="Rientrocorpodeltesto"/>
    <w:link w:val="Primorientrocorpodeltesto2Carattere"/>
    <w:semiHidden/>
    <w:rsid w:val="00045C4B"/>
    <w:pPr>
      <w:ind w:firstLine="210"/>
    </w:pPr>
  </w:style>
  <w:style w:type="paragraph" w:styleId="Rientrocorpodeltesto2">
    <w:name w:val="Body Text Indent 2"/>
    <w:basedOn w:val="Normale"/>
    <w:link w:val="Rientrocorpodeltesto2Carattere"/>
    <w:semiHidden/>
    <w:rsid w:val="00045C4B"/>
    <w:pPr>
      <w:spacing w:after="120" w:line="480" w:lineRule="auto"/>
      <w:ind w:left="283"/>
    </w:pPr>
  </w:style>
  <w:style w:type="paragraph" w:styleId="Rientrocorpodeltesto3">
    <w:name w:val="Body Text Indent 3"/>
    <w:basedOn w:val="Normale"/>
    <w:link w:val="Rientrocorpodeltesto3Carattere"/>
    <w:semiHidden/>
    <w:rsid w:val="00045C4B"/>
    <w:pPr>
      <w:spacing w:after="120"/>
      <w:ind w:left="283"/>
    </w:pPr>
    <w:rPr>
      <w:sz w:val="16"/>
      <w:szCs w:val="16"/>
    </w:rPr>
  </w:style>
  <w:style w:type="paragraph" w:styleId="Formuladichiusura">
    <w:name w:val="Closing"/>
    <w:basedOn w:val="Normale"/>
    <w:link w:val="FormuladichiusuraCarattere"/>
    <w:semiHidden/>
    <w:rsid w:val="00045C4B"/>
    <w:pPr>
      <w:ind w:left="4252"/>
    </w:pPr>
  </w:style>
  <w:style w:type="paragraph" w:customStyle="1" w:styleId="NormalIndent1">
    <w:name w:val="Normal Indent (1)"/>
    <w:basedOn w:val="Puntoelenco"/>
    <w:qFormat/>
    <w:rsid w:val="00DE0127"/>
    <w:pPr>
      <w:numPr>
        <w:numId w:val="21"/>
      </w:numPr>
      <w:ind w:left="851" w:firstLine="0"/>
    </w:pPr>
  </w:style>
  <w:style w:type="paragraph" w:styleId="Firmadipostaelettronica">
    <w:name w:val="E-mail Signature"/>
    <w:basedOn w:val="Normale"/>
    <w:link w:val="FirmadipostaelettronicaCarattere"/>
    <w:semiHidden/>
    <w:rsid w:val="00045C4B"/>
  </w:style>
  <w:style w:type="character" w:styleId="Enfasicorsivo">
    <w:name w:val="Emphasis"/>
    <w:uiPriority w:val="20"/>
    <w:qFormat/>
    <w:rsid w:val="009500F7"/>
    <w:rPr>
      <w:rFonts w:ascii="Open Sans" w:hAnsi="Open Sans"/>
      <w:i/>
      <w:iCs/>
    </w:rPr>
  </w:style>
  <w:style w:type="paragraph" w:styleId="Indirizzodestinatario">
    <w:name w:val="envelope address"/>
    <w:basedOn w:val="Normale"/>
    <w:semiHidden/>
    <w:rsid w:val="00045C4B"/>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rsid w:val="00045C4B"/>
    <w:rPr>
      <w:rFonts w:cs="Arial"/>
      <w:szCs w:val="20"/>
    </w:rPr>
  </w:style>
  <w:style w:type="paragraph" w:styleId="IndirizzoHTML">
    <w:name w:val="HTML Address"/>
    <w:basedOn w:val="Normale"/>
    <w:link w:val="IndirizzoHTMLCarattere"/>
    <w:semiHidden/>
    <w:rsid w:val="005C2ECF"/>
    <w:rPr>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link w:val="PreformattatoHTMLCarattere"/>
    <w:semiHidden/>
    <w:rsid w:val="005C2ECF"/>
    <w:rPr>
      <w:rFonts w:cs="Courier New"/>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B80465"/>
    <w:pPr>
      <w:numPr>
        <w:numId w:val="1"/>
      </w:numPr>
      <w:spacing w:before="0" w:after="160"/>
      <w:ind w:left="284" w:hanging="284"/>
      <w:contextualSpacing w:val="0"/>
    </w:pPr>
  </w:style>
  <w:style w:type="paragraph" w:styleId="Puntoelenco2">
    <w:name w:val="List Bullet 2"/>
    <w:basedOn w:val="Normale"/>
    <w:semiHidden/>
    <w:locked/>
    <w:rsid w:val="00E25A78"/>
    <w:pPr>
      <w:numPr>
        <w:numId w:val="2"/>
      </w:numPr>
      <w:spacing w:before="100" w:after="100"/>
    </w:pPr>
  </w:style>
  <w:style w:type="paragraph" w:styleId="Puntoelenco3">
    <w:name w:val="List Bullet 3"/>
    <w:basedOn w:val="Normale"/>
    <w:semiHidden/>
    <w:locked/>
    <w:rsid w:val="0041607A"/>
    <w:pPr>
      <w:numPr>
        <w:numId w:val="3"/>
      </w:numPr>
      <w:spacing w:before="160"/>
      <w:contextualSpacing/>
    </w:pPr>
  </w:style>
  <w:style w:type="paragraph" w:styleId="Puntoelenco4">
    <w:name w:val="List Bullet 4"/>
    <w:basedOn w:val="Normale"/>
    <w:semiHidden/>
    <w:locked/>
    <w:rsid w:val="003E2277"/>
    <w:pPr>
      <w:numPr>
        <w:numId w:val="4"/>
      </w:numPr>
      <w:ind w:left="1208" w:hanging="357"/>
    </w:pPr>
  </w:style>
  <w:style w:type="paragraph" w:styleId="Puntoelenco5">
    <w:name w:val="List Bullet 5"/>
    <w:basedOn w:val="Normale"/>
    <w:semiHidden/>
    <w:locked/>
    <w:rsid w:val="001D1795"/>
    <w:pPr>
      <w:numPr>
        <w:numId w:val="5"/>
      </w:numPr>
      <w:contextualSpacing/>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2C5943"/>
    <w:pPr>
      <w:numPr>
        <w:numId w:val="6"/>
      </w:numPr>
      <w:tabs>
        <w:tab w:val="clear" w:pos="360"/>
        <w:tab w:val="left" w:pos="1134"/>
      </w:tabs>
      <w:spacing w:before="120" w:after="120"/>
      <w:contextualSpacing/>
    </w:pPr>
  </w:style>
  <w:style w:type="paragraph" w:styleId="Numeroelenco2">
    <w:name w:val="List Number 2"/>
    <w:basedOn w:val="Normale"/>
    <w:semiHidden/>
    <w:locked/>
    <w:rsid w:val="000F4822"/>
    <w:pPr>
      <w:numPr>
        <w:numId w:val="9"/>
      </w:numPr>
      <w:spacing w:before="100" w:after="100"/>
      <w:ind w:left="641" w:hanging="357"/>
    </w:pPr>
  </w:style>
  <w:style w:type="paragraph" w:styleId="Numeroelenco3">
    <w:name w:val="List Number 3"/>
    <w:basedOn w:val="Normale"/>
    <w:semiHidden/>
    <w:locked/>
    <w:rsid w:val="00AD1394"/>
    <w:pPr>
      <w:numPr>
        <w:numId w:val="34"/>
      </w:numPr>
    </w:pPr>
  </w:style>
  <w:style w:type="paragraph" w:styleId="Numeroelenco4">
    <w:name w:val="List Number 4"/>
    <w:basedOn w:val="Normale"/>
    <w:semiHidden/>
    <w:locked/>
    <w:rsid w:val="005C2ECF"/>
    <w:pPr>
      <w:numPr>
        <w:numId w:val="7"/>
      </w:numPr>
    </w:pPr>
  </w:style>
  <w:style w:type="paragraph" w:styleId="Numeroelenco5">
    <w:name w:val="List Number 5"/>
    <w:basedOn w:val="Normale"/>
    <w:semiHidden/>
    <w:locked/>
    <w:rsid w:val="00D63953"/>
    <w:pPr>
      <w:numPr>
        <w:numId w:val="8"/>
      </w:numPr>
    </w:pPr>
  </w:style>
  <w:style w:type="paragraph" w:styleId="Intestazionemessaggio">
    <w:name w:val="Message Header"/>
    <w:basedOn w:val="Normale"/>
    <w:link w:val="IntestazionemessaggioCaratter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rsid w:val="005C2ECF"/>
  </w:style>
  <w:style w:type="paragraph" w:styleId="Rientronormale">
    <w:name w:val="Normal Indent"/>
    <w:aliases w:val="Rientro normale (1)"/>
    <w:basedOn w:val="Normale"/>
    <w:semiHidden/>
    <w:rsid w:val="002179CF"/>
    <w:pPr>
      <w:ind w:left="851"/>
    </w:pPr>
  </w:style>
  <w:style w:type="paragraph" w:styleId="Intestazionenota">
    <w:name w:val="Note Heading"/>
    <w:basedOn w:val="Normale"/>
    <w:next w:val="Normale"/>
    <w:link w:val="IntestazionenotaCaratter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link w:val="TestonormaleCarattere"/>
    <w:semiHidden/>
    <w:rsid w:val="00471BB7"/>
    <w:rPr>
      <w:rFonts w:cs="Courier New"/>
      <w:szCs w:val="20"/>
    </w:rPr>
  </w:style>
  <w:style w:type="paragraph" w:styleId="Formuladiapertura">
    <w:name w:val="Salutation"/>
    <w:basedOn w:val="Normale"/>
    <w:next w:val="Normale"/>
    <w:link w:val="FormuladiaperturaCarattere"/>
    <w:semiHidden/>
    <w:locked/>
    <w:rsid w:val="00471BB7"/>
  </w:style>
  <w:style w:type="paragraph" w:styleId="Sottotitolo">
    <w:name w:val="Subtitle"/>
    <w:basedOn w:val="Normale"/>
    <w:link w:val="SottotitoloCarattere"/>
    <w:rsid w:val="001A5535"/>
    <w:pPr>
      <w:jc w:val="center"/>
      <w:outlineLvl w:val="1"/>
    </w:pPr>
    <w:rPr>
      <w:rFonts w:cs="Arial"/>
      <w:color w:val="18385F" w:themeColor="accent2"/>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link w:val="TitoloCarattere"/>
    <w:rsid w:val="00F97807"/>
    <w:pPr>
      <w:pageBreakBefore/>
      <w:spacing w:after="360" w:line="192" w:lineRule="auto"/>
      <w:outlineLvl w:val="0"/>
    </w:pPr>
    <w:rPr>
      <w:rFonts w:ascii="Open Sans Semibold" w:hAnsi="Open Sans Semibold" w:cs="Arial"/>
      <w:b/>
      <w:bCs/>
      <w:color w:val="C23626" w:themeColor="accent3"/>
      <w:kern w:val="28"/>
      <w:sz w:val="56"/>
      <w:szCs w:val="32"/>
    </w:rPr>
  </w:style>
  <w:style w:type="character" w:styleId="Collegamentovisitato">
    <w:name w:val="FollowedHyperlink"/>
    <w:semiHidden/>
    <w:rsid w:val="00FE4F1D"/>
    <w:rPr>
      <w:rFonts w:ascii="Open Sans" w:hAnsi="Open Sans"/>
      <w:color w:val="0070C0"/>
      <w:u w:val="none"/>
    </w:rPr>
  </w:style>
  <w:style w:type="paragraph" w:customStyle="1" w:styleId="MainTitle">
    <w:name w:val="Main Title"/>
    <w:next w:val="Sottotitolo"/>
    <w:rsid w:val="001A5535"/>
    <w:pPr>
      <w:spacing w:before="240" w:after="240" w:line="740" w:lineRule="exact"/>
      <w:contextualSpacing/>
      <w:jc w:val="center"/>
    </w:pPr>
    <w:rPr>
      <w:rFonts w:ascii="Open Sans" w:hAnsi="Open Sans"/>
      <w:bCs/>
      <w:color w:val="18385F" w:themeColor="accent2"/>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EndnoteTextChar">
    <w:name w:val="Endnote Text Char"/>
    <w:uiPriority w:val="99"/>
    <w:locked/>
    <w:rsid w:val="00045C4B"/>
    <w:rPr>
      <w:rFonts w:ascii="Open Sans" w:hAnsi="Open Sans"/>
      <w:sz w:val="20"/>
      <w:lang w:bidi="ar-SA"/>
    </w:rPr>
  </w:style>
  <w:style w:type="character" w:customStyle="1" w:styleId="SottotitoloCarattere">
    <w:name w:val="Sottotitolo Carattere"/>
    <w:link w:val="Sottotitolo"/>
    <w:rsid w:val="001A5535"/>
    <w:rPr>
      <w:rFonts w:ascii="Open Sans" w:eastAsia="MS Mincho" w:hAnsi="Open Sans" w:cs="Arial"/>
      <w:color w:val="18385F" w:themeColor="accent2"/>
      <w:sz w:val="28"/>
      <w:szCs w:val="24"/>
    </w:rPr>
  </w:style>
  <w:style w:type="paragraph" w:customStyle="1" w:styleId="SubmissionNormal">
    <w:name w:val="Submission Normal"/>
    <w:basedOn w:val="Normale"/>
    <w:link w:val="SubmissionNormalChar"/>
    <w:locked/>
    <w:rsid w:val="00B34946"/>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styleId="Didascalia">
    <w:name w:val="caption"/>
    <w:basedOn w:val="Normale"/>
    <w:next w:val="Normale"/>
    <w:unhideWhenUsed/>
    <w:qFormat/>
    <w:rsid w:val="00694317"/>
    <w:rPr>
      <w:bCs/>
      <w:sz w:val="17"/>
      <w:szCs w:val="20"/>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rPr>
      <w:szCs w:val="20"/>
    </w:rPr>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uiPriority w:val="39"/>
    <w:locked/>
    <w:rsid w:val="00471BB7"/>
    <w:pPr>
      <w:ind w:left="960"/>
    </w:pPr>
  </w:style>
  <w:style w:type="paragraph" w:styleId="Sommario6">
    <w:name w:val="toc 6"/>
    <w:basedOn w:val="Normale"/>
    <w:next w:val="Normale"/>
    <w:uiPriority w:val="39"/>
    <w:locked/>
    <w:rsid w:val="00471BB7"/>
    <w:pPr>
      <w:ind w:left="1200"/>
    </w:pPr>
  </w:style>
  <w:style w:type="paragraph" w:styleId="Sommario7">
    <w:name w:val="toc 7"/>
    <w:basedOn w:val="Normale"/>
    <w:next w:val="Normale"/>
    <w:uiPriority w:val="39"/>
    <w:locked/>
    <w:rsid w:val="00471BB7"/>
    <w:pPr>
      <w:ind w:left="1440"/>
    </w:pPr>
  </w:style>
  <w:style w:type="paragraph" w:styleId="Sommario8">
    <w:name w:val="toc 8"/>
    <w:basedOn w:val="Normale"/>
    <w:next w:val="Normale"/>
    <w:uiPriority w:val="39"/>
    <w:locked/>
    <w:rsid w:val="00471BB7"/>
    <w:pPr>
      <w:ind w:left="1680"/>
    </w:pPr>
  </w:style>
  <w:style w:type="paragraph" w:styleId="Sommario9">
    <w:name w:val="toc 9"/>
    <w:basedOn w:val="Normale"/>
    <w:next w:val="Normale"/>
    <w:uiPriority w:val="39"/>
    <w:locked/>
    <w:rsid w:val="00471BB7"/>
    <w:pPr>
      <w:ind w:left="1920"/>
    </w:pPr>
  </w:style>
  <w:style w:type="paragraph" w:styleId="Nessunaspaziatura">
    <w:name w:val="No Spacing"/>
    <w:link w:val="NessunaspaziaturaCarattere"/>
    <w:uiPriority w:val="1"/>
    <w:qFormat/>
    <w:rsid w:val="00471BB7"/>
    <w:rPr>
      <w:rFonts w:ascii="Open Sans" w:eastAsia="MS Mincho" w:hAnsi="Open Sans"/>
      <w:sz w:val="24"/>
      <w:szCs w:val="24"/>
    </w:rPr>
  </w:style>
  <w:style w:type="character" w:styleId="Enfasiintensa">
    <w:name w:val="Intense Emphasis"/>
    <w:uiPriority w:val="21"/>
    <w:locked/>
    <w:rsid w:val="00227D27"/>
    <w:rPr>
      <w:rFonts w:ascii="Open Sans" w:hAnsi="Open Sans"/>
      <w:b/>
      <w:i/>
      <w:iCs/>
      <w:color w:val="auto"/>
    </w:rPr>
  </w:style>
  <w:style w:type="paragraph" w:styleId="Citazione">
    <w:name w:val="Quote"/>
    <w:basedOn w:val="Normale"/>
    <w:next w:val="Normale"/>
    <w:link w:val="CitazioneCarattere"/>
    <w:uiPriority w:val="29"/>
    <w:rsid w:val="003E2277"/>
    <w:pPr>
      <w:ind w:left="851"/>
    </w:pPr>
    <w:rPr>
      <w:iCs/>
    </w:rPr>
  </w:style>
  <w:style w:type="character" w:customStyle="1" w:styleId="CitazioneCarattere">
    <w:name w:val="Citazione Carattere"/>
    <w:link w:val="Citazione"/>
    <w:uiPriority w:val="29"/>
    <w:rsid w:val="003E2277"/>
    <w:rPr>
      <w:rFonts w:ascii="Open Sans" w:eastAsia="MS Mincho" w:hAnsi="Open Sans"/>
      <w:iCs/>
      <w:szCs w:val="24"/>
    </w:rPr>
  </w:style>
  <w:style w:type="paragraph" w:styleId="Citazioneintensa">
    <w:name w:val="Intense Quote"/>
    <w:basedOn w:val="Normale"/>
    <w:next w:val="Normale"/>
    <w:link w:val="CitazioneintensaCarattere"/>
    <w:uiPriority w:val="30"/>
    <w:locked/>
    <w:rsid w:val="0092496E"/>
    <w:pPr>
      <w:pBdr>
        <w:left w:val="single" w:sz="24" w:space="15" w:color="4472C4"/>
      </w:pBdr>
      <w:spacing w:after="0"/>
      <w:ind w:left="862" w:right="862"/>
    </w:pPr>
    <w:rPr>
      <w:iCs/>
    </w:rPr>
  </w:style>
  <w:style w:type="character" w:customStyle="1" w:styleId="CitazioneintensaCarattere">
    <w:name w:val="Citazione intensa Carattere"/>
    <w:link w:val="Citazioneintensa"/>
    <w:uiPriority w:val="30"/>
    <w:rsid w:val="0092496E"/>
    <w:rPr>
      <w:rFonts w:ascii="Open Sans" w:eastAsia="MS Mincho" w:hAnsi="Open Sans"/>
      <w:iCs/>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aliases w:val="Numbered List a)"/>
    <w:basedOn w:val="Normale"/>
    <w:link w:val="ParagrafoelencoCarattere"/>
    <w:uiPriority w:val="34"/>
    <w:qFormat/>
    <w:locked/>
    <w:rsid w:val="002F34E2"/>
    <w:pPr>
      <w:numPr>
        <w:numId w:val="41"/>
      </w:numPr>
      <w:contextualSpacing/>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FooterEvenPageNumber">
    <w:name w:val="Footer Even Page Number"/>
    <w:basedOn w:val="Pidipagina"/>
    <w:rsid w:val="00E53546"/>
  </w:style>
  <w:style w:type="numbering" w:customStyle="1" w:styleId="Style1">
    <w:name w:val="Style1"/>
    <w:uiPriority w:val="99"/>
    <w:rsid w:val="0025176E"/>
    <w:pPr>
      <w:numPr>
        <w:numId w:val="15"/>
      </w:numPr>
    </w:pPr>
  </w:style>
  <w:style w:type="numbering" w:customStyle="1" w:styleId="AHRCReportHeadings">
    <w:name w:val="AHRC Report Headings"/>
    <w:uiPriority w:val="99"/>
    <w:rsid w:val="00592D1C"/>
    <w:pPr>
      <w:numPr>
        <w:numId w:val="28"/>
      </w:numPr>
    </w:pPr>
  </w:style>
  <w:style w:type="paragraph" w:customStyle="1" w:styleId="Reportplaintext">
    <w:name w:val="Report plain text"/>
    <w:basedOn w:val="Normale"/>
    <w:link w:val="ReportplaintextChar"/>
    <w:rsid w:val="00691E8A"/>
  </w:style>
  <w:style w:type="character" w:customStyle="1" w:styleId="ReportplaintextChar">
    <w:name w:val="Report plain text Char"/>
    <w:basedOn w:val="Carpredefinitoparagrafo"/>
    <w:link w:val="Reportplaintext"/>
    <w:rsid w:val="00691E8A"/>
    <w:rPr>
      <w:rFonts w:ascii="Open Sans" w:eastAsia="MS Mincho" w:hAnsi="Open Sans"/>
      <w:sz w:val="24"/>
      <w:szCs w:val="24"/>
    </w:rPr>
  </w:style>
  <w:style w:type="paragraph" w:customStyle="1" w:styleId="AHRCheading5">
    <w:name w:val="AHRC heading 5"/>
    <w:basedOn w:val="Paragrafoelenco"/>
    <w:link w:val="AHRCheading5Char"/>
    <w:qFormat/>
    <w:rsid w:val="00CF66B5"/>
    <w:pPr>
      <w:tabs>
        <w:tab w:val="num" w:pos="0"/>
        <w:tab w:val="left" w:pos="851"/>
      </w:tabs>
      <w:ind w:left="1008" w:hanging="1008"/>
    </w:pPr>
  </w:style>
  <w:style w:type="character" w:customStyle="1" w:styleId="ParagrafoelencoCarattere">
    <w:name w:val="Paragrafo elenco Carattere"/>
    <w:aliases w:val="Numbered List a) Carattere"/>
    <w:basedOn w:val="Carpredefinitoparagrafo"/>
    <w:link w:val="Paragrafoelenco"/>
    <w:uiPriority w:val="34"/>
    <w:rsid w:val="002F34E2"/>
    <w:rPr>
      <w:rFonts w:ascii="Open Sans" w:eastAsia="MS Mincho" w:hAnsi="Open Sans"/>
      <w:szCs w:val="24"/>
    </w:rPr>
  </w:style>
  <w:style w:type="character" w:customStyle="1" w:styleId="AHRCheading5Char">
    <w:name w:val="AHRC heading 5 Char"/>
    <w:basedOn w:val="ParagrafoelencoCarattere"/>
    <w:link w:val="AHRCheading5"/>
    <w:rsid w:val="00CF66B5"/>
    <w:rPr>
      <w:rFonts w:ascii="Open Sans" w:eastAsia="MS Mincho" w:hAnsi="Open Sans"/>
      <w:szCs w:val="24"/>
    </w:rPr>
  </w:style>
  <w:style w:type="paragraph" w:customStyle="1" w:styleId="AHRCHeading2">
    <w:name w:val="AHRC Heading 2"/>
    <w:basedOn w:val="Titolo2"/>
    <w:link w:val="AHRCHeading2Char"/>
    <w:autoRedefine/>
    <w:qFormat/>
    <w:rsid w:val="00600885"/>
    <w:pPr>
      <w:numPr>
        <w:numId w:val="20"/>
      </w:numPr>
    </w:pPr>
  </w:style>
  <w:style w:type="character" w:customStyle="1" w:styleId="AHRCHeading2Char">
    <w:name w:val="AHRC Heading 2 Char"/>
    <w:basedOn w:val="Titolo2Carattere"/>
    <w:link w:val="AHRCHeading2"/>
    <w:rsid w:val="00600885"/>
    <w:rPr>
      <w:rFonts w:ascii="Open Sans Semibold" w:eastAsia="MS Mincho" w:hAnsi="Open Sans Semibold"/>
      <w:b/>
      <w:color w:val="0070C0"/>
      <w:sz w:val="28"/>
      <w:szCs w:val="26"/>
    </w:rPr>
  </w:style>
  <w:style w:type="character" w:styleId="Menzionenonrisolta">
    <w:name w:val="Unresolved Mention"/>
    <w:basedOn w:val="Carpredefinitoparagrafo"/>
    <w:uiPriority w:val="99"/>
    <w:semiHidden/>
    <w:unhideWhenUsed/>
    <w:rsid w:val="003026A0"/>
    <w:rPr>
      <w:color w:val="605E5C"/>
      <w:shd w:val="clear" w:color="auto" w:fill="E1DFDD"/>
    </w:rPr>
  </w:style>
  <w:style w:type="paragraph" w:customStyle="1" w:styleId="Blockquote">
    <w:name w:val="Block quote"/>
    <w:basedOn w:val="Normale"/>
    <w:link w:val="BlockquoteChar"/>
    <w:qFormat/>
    <w:rsid w:val="008A7EFF"/>
    <w:pPr>
      <w:spacing w:after="0"/>
      <w:ind w:left="1090" w:right="3"/>
    </w:pPr>
  </w:style>
  <w:style w:type="character" w:customStyle="1" w:styleId="BlockquoteChar">
    <w:name w:val="Block quote Char"/>
    <w:basedOn w:val="Carpredefinitoparagrafo"/>
    <w:link w:val="Blockquote"/>
    <w:rsid w:val="008A7EFF"/>
    <w:rPr>
      <w:rFonts w:ascii="Open Sans" w:eastAsia="MS Mincho" w:hAnsi="Open Sans"/>
      <w:sz w:val="24"/>
      <w:szCs w:val="24"/>
    </w:rPr>
  </w:style>
  <w:style w:type="paragraph" w:customStyle="1" w:styleId="AHRCImagecaption">
    <w:name w:val="AHRC Image caption"/>
    <w:basedOn w:val="Normale"/>
    <w:link w:val="AHRCImagecaptionChar"/>
    <w:qFormat/>
    <w:rsid w:val="00A51C1D"/>
    <w:rPr>
      <w:sz w:val="18"/>
      <w:szCs w:val="18"/>
    </w:rPr>
  </w:style>
  <w:style w:type="paragraph" w:customStyle="1" w:styleId="AHRCEndnotes">
    <w:name w:val="AHRC Endnotes"/>
    <w:basedOn w:val="Nessunaspaziatura"/>
    <w:link w:val="AHRCEndnotesChar"/>
    <w:qFormat/>
    <w:rsid w:val="00DD604A"/>
    <w:pPr>
      <w:widowControl w:val="0"/>
      <w:autoSpaceDE w:val="0"/>
      <w:autoSpaceDN w:val="0"/>
    </w:pPr>
    <w:rPr>
      <w:sz w:val="20"/>
      <w:szCs w:val="20"/>
    </w:rPr>
  </w:style>
  <w:style w:type="character" w:customStyle="1" w:styleId="AHRCImagecaptionChar">
    <w:name w:val="AHRC Image caption Char"/>
    <w:basedOn w:val="Carpredefinitoparagrafo"/>
    <w:link w:val="AHRCImagecaption"/>
    <w:rsid w:val="00A51C1D"/>
    <w:rPr>
      <w:rFonts w:ascii="Open Sans" w:eastAsia="MS Mincho" w:hAnsi="Open Sans"/>
      <w:sz w:val="18"/>
      <w:szCs w:val="18"/>
    </w:rPr>
  </w:style>
  <w:style w:type="character" w:customStyle="1" w:styleId="NessunaspaziaturaCarattere">
    <w:name w:val="Nessuna spaziatura Carattere"/>
    <w:basedOn w:val="Carpredefinitoparagrafo"/>
    <w:link w:val="Nessunaspaziatura"/>
    <w:uiPriority w:val="1"/>
    <w:rsid w:val="00DD604A"/>
    <w:rPr>
      <w:rFonts w:ascii="Open Sans" w:eastAsia="MS Mincho" w:hAnsi="Open Sans"/>
      <w:sz w:val="24"/>
      <w:szCs w:val="24"/>
    </w:rPr>
  </w:style>
  <w:style w:type="character" w:customStyle="1" w:styleId="AHRCEndnotesChar">
    <w:name w:val="AHRC Endnotes Char"/>
    <w:basedOn w:val="NessunaspaziaturaCarattere"/>
    <w:link w:val="AHRCEndnotes"/>
    <w:rsid w:val="00DD604A"/>
    <w:rPr>
      <w:rFonts w:ascii="Open Sans" w:eastAsia="MS Mincho" w:hAnsi="Open Sans"/>
      <w:sz w:val="24"/>
      <w:szCs w:val="24"/>
    </w:rPr>
  </w:style>
  <w:style w:type="paragraph" w:styleId="Testonotaapidipagina">
    <w:name w:val="footnote text"/>
    <w:aliases w:val="Footnote Quote,Footnote Quote1,Footnote Quote2,Footnote Quote3,Footnote Quote4,Footnote Quote5,Footnote Quote6,Footnote Quote7,Footnote Quote8,Footnote Quote9,Footnote Quote10,Footnote Quote11,Footnote Quote12,Footnote Quote13"/>
    <w:basedOn w:val="Normale"/>
    <w:link w:val="TestonotaapidipaginaCarattere"/>
    <w:uiPriority w:val="99"/>
    <w:qFormat/>
    <w:locked/>
    <w:rsid w:val="00911514"/>
    <w:pPr>
      <w:spacing w:after="0"/>
    </w:pPr>
    <w:rPr>
      <w:szCs w:val="20"/>
    </w:rPr>
  </w:style>
  <w:style w:type="character" w:customStyle="1" w:styleId="TestonotaapidipaginaCarattere">
    <w:name w:val="Testo nota a piè di pagina Carattere"/>
    <w:aliases w:val="Footnote Quote Carattere,Footnote Quote1 Carattere,Footnote Quote2 Carattere,Footnote Quote3 Carattere,Footnote Quote4 Carattere,Footnote Quote5 Carattere,Footnote Quote6 Carattere,Footnote Quote7 Carattere"/>
    <w:basedOn w:val="Carpredefinitoparagrafo"/>
    <w:link w:val="Testonotaapidipagina"/>
    <w:uiPriority w:val="99"/>
    <w:rsid w:val="00911514"/>
    <w:rPr>
      <w:rFonts w:ascii="Open Sans" w:eastAsia="MS Mincho" w:hAnsi="Open Sans"/>
    </w:rPr>
  </w:style>
  <w:style w:type="paragraph" w:styleId="Revisione">
    <w:name w:val="Revision"/>
    <w:hidden/>
    <w:uiPriority w:val="99"/>
    <w:semiHidden/>
    <w:rsid w:val="00F66A99"/>
    <w:rPr>
      <w:rFonts w:ascii="Open Sans" w:eastAsia="MS Mincho" w:hAnsi="Open Sans"/>
      <w:sz w:val="24"/>
      <w:szCs w:val="24"/>
    </w:rPr>
  </w:style>
  <w:style w:type="paragraph" w:customStyle="1" w:styleId="Heading1A">
    <w:name w:val="Heading 1A"/>
    <w:basedOn w:val="Titolo1"/>
    <w:next w:val="Normale"/>
    <w:qFormat/>
    <w:rsid w:val="00B844A1"/>
    <w:pPr>
      <w:keepLines w:val="0"/>
      <w:tabs>
        <w:tab w:val="num" w:pos="567"/>
      </w:tabs>
      <w:spacing w:before="0" w:line="240" w:lineRule="atLeast"/>
      <w:ind w:left="567" w:hanging="567"/>
    </w:pPr>
    <w:rPr>
      <w:rFonts w:ascii="Arial Bold" w:eastAsia="Times New Roman" w:hAnsi="Arial Bold"/>
      <w:bCs w:val="0"/>
      <w:kern w:val="28"/>
      <w:sz w:val="24"/>
      <w:lang w:eastAsia="en-US"/>
    </w:rPr>
  </w:style>
  <w:style w:type="paragraph" w:customStyle="1" w:styleId="Heading2A">
    <w:name w:val="Heading 2A"/>
    <w:basedOn w:val="Titolo2"/>
    <w:next w:val="Normale"/>
    <w:qFormat/>
    <w:rsid w:val="00B844A1"/>
    <w:pPr>
      <w:keepLines w:val="0"/>
      <w:tabs>
        <w:tab w:val="num" w:pos="567"/>
      </w:tabs>
      <w:spacing w:before="0" w:line="240" w:lineRule="atLeast"/>
      <w:ind w:left="1134" w:hanging="567"/>
    </w:pPr>
    <w:rPr>
      <w:rFonts w:ascii="Arial" w:eastAsia="Times New Roman" w:hAnsi="Arial"/>
      <w:sz w:val="22"/>
      <w:szCs w:val="20"/>
      <w:lang w:eastAsia="en-US"/>
    </w:rPr>
  </w:style>
  <w:style w:type="paragraph" w:customStyle="1" w:styleId="Heading3A">
    <w:name w:val="Heading 3A"/>
    <w:basedOn w:val="Titolo3"/>
    <w:qFormat/>
    <w:rsid w:val="00B844A1"/>
    <w:pPr>
      <w:keepLines w:val="0"/>
      <w:tabs>
        <w:tab w:val="num" w:pos="1701"/>
      </w:tabs>
      <w:spacing w:before="0" w:line="240" w:lineRule="atLeast"/>
      <w:ind w:left="1701" w:hanging="567"/>
    </w:pPr>
    <w:rPr>
      <w:rFonts w:ascii="Arial" w:eastAsia="Times New Roman" w:hAnsi="Arial"/>
      <w:bCs w:val="0"/>
      <w:sz w:val="22"/>
      <w:szCs w:val="20"/>
      <w:lang w:eastAsia="en-US"/>
    </w:rPr>
  </w:style>
  <w:style w:type="paragraph" w:customStyle="1" w:styleId="Heading3aa">
    <w:name w:val="Heading 3 aa"/>
    <w:basedOn w:val="Normale"/>
    <w:qFormat/>
    <w:rsid w:val="009500F7"/>
    <w:pPr>
      <w:tabs>
        <w:tab w:val="num" w:pos="360"/>
      </w:tabs>
      <w:spacing w:line="240" w:lineRule="atLeast"/>
    </w:pPr>
    <w:rPr>
      <w:rFonts w:ascii="Arial" w:eastAsia="Times New Roman" w:hAnsi="Arial"/>
      <w:sz w:val="22"/>
      <w:szCs w:val="20"/>
      <w:lang w:eastAsia="en-US"/>
    </w:rPr>
  </w:style>
  <w:style w:type="table" w:customStyle="1" w:styleId="TableGrid1">
    <w:name w:val="Table Grid1"/>
    <w:basedOn w:val="Tabellanormale"/>
    <w:next w:val="Grigliatabella"/>
    <w:uiPriority w:val="39"/>
    <w:rsid w:val="005B4B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rsid w:val="00534071"/>
    <w:rPr>
      <w:rFonts w:ascii="Open Sans" w:eastAsia="Calibri" w:hAnsi="Open Sans"/>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4" w:type="dxa"/>
        <w:left w:w="284" w:type="dxa"/>
        <w:bottom w:w="284" w:type="dxa"/>
        <w:right w:w="284" w:type="dxa"/>
      </w:tblCellMar>
    </w:tblPr>
  </w:style>
  <w:style w:type="character" w:styleId="Menzione">
    <w:name w:val="Mention"/>
    <w:basedOn w:val="Carpredefinitoparagrafo"/>
    <w:uiPriority w:val="99"/>
    <w:unhideWhenUsed/>
    <w:rsid w:val="002569A2"/>
    <w:rPr>
      <w:color w:val="2B579A"/>
      <w:shd w:val="clear" w:color="auto" w:fill="E6E6E6"/>
    </w:rPr>
  </w:style>
  <w:style w:type="character" w:customStyle="1" w:styleId="PrimorientrocorpodeltestoCarattere">
    <w:name w:val="Primo rientro corpo del testo Carattere"/>
    <w:basedOn w:val="Carpredefinitoparagrafo"/>
    <w:link w:val="Primorientrocorpodeltesto"/>
    <w:semiHidden/>
    <w:rsid w:val="009500F7"/>
    <w:rPr>
      <w:rFonts w:ascii="Open Sans" w:eastAsia="MS Mincho" w:hAnsi="Open Sans"/>
      <w:sz w:val="24"/>
      <w:szCs w:val="24"/>
    </w:rPr>
  </w:style>
  <w:style w:type="character" w:customStyle="1" w:styleId="RientrocorpodeltestoCarattere">
    <w:name w:val="Rientro corpo del testo Carattere"/>
    <w:basedOn w:val="Carpredefinitoparagrafo"/>
    <w:link w:val="Rientrocorpodeltesto"/>
    <w:semiHidden/>
    <w:rsid w:val="0049783A"/>
    <w:rPr>
      <w:rFonts w:ascii="Open Sans" w:eastAsia="MS Mincho" w:hAnsi="Open Sans"/>
      <w:szCs w:val="24"/>
    </w:rPr>
  </w:style>
  <w:style w:type="character" w:customStyle="1" w:styleId="Primorientrocorpodeltesto2Carattere">
    <w:name w:val="Primo rientro corpo del testo 2 Carattere"/>
    <w:basedOn w:val="RientrocorpodeltestoCarattere"/>
    <w:link w:val="Primorientrocorpodeltesto2"/>
    <w:semiHidden/>
    <w:rsid w:val="002754CC"/>
    <w:rPr>
      <w:rFonts w:ascii="Open Sans" w:eastAsia="MS Mincho" w:hAnsi="Open Sans"/>
      <w:sz w:val="24"/>
      <w:szCs w:val="24"/>
    </w:rPr>
  </w:style>
  <w:style w:type="character" w:customStyle="1" w:styleId="Rientrocorpodeltesto2Carattere">
    <w:name w:val="Rientro corpo del testo 2 Carattere"/>
    <w:basedOn w:val="Carpredefinitoparagrafo"/>
    <w:link w:val="Rientrocorpodeltesto2"/>
    <w:semiHidden/>
    <w:rsid w:val="002754CC"/>
    <w:rPr>
      <w:rFonts w:ascii="Open Sans" w:eastAsia="MS Mincho" w:hAnsi="Open Sans"/>
      <w:sz w:val="24"/>
      <w:szCs w:val="24"/>
    </w:rPr>
  </w:style>
  <w:style w:type="character" w:customStyle="1" w:styleId="Rientrocorpodeltesto3Carattere">
    <w:name w:val="Rientro corpo del testo 3 Carattere"/>
    <w:basedOn w:val="Carpredefinitoparagrafo"/>
    <w:link w:val="Rientrocorpodeltesto3"/>
    <w:semiHidden/>
    <w:rsid w:val="002754CC"/>
    <w:rPr>
      <w:rFonts w:ascii="Open Sans" w:eastAsia="MS Mincho" w:hAnsi="Open Sans"/>
      <w:sz w:val="16"/>
      <w:szCs w:val="16"/>
    </w:rPr>
  </w:style>
  <w:style w:type="character" w:customStyle="1" w:styleId="FormuladichiusuraCarattere">
    <w:name w:val="Formula di chiusura Carattere"/>
    <w:basedOn w:val="Carpredefinitoparagrafo"/>
    <w:link w:val="Formuladichiusura"/>
    <w:semiHidden/>
    <w:rsid w:val="002754CC"/>
    <w:rPr>
      <w:rFonts w:ascii="Open Sans" w:eastAsia="MS Mincho" w:hAnsi="Open Sans"/>
      <w:sz w:val="24"/>
      <w:szCs w:val="24"/>
    </w:rPr>
  </w:style>
  <w:style w:type="character" w:customStyle="1" w:styleId="FirmadipostaelettronicaCarattere">
    <w:name w:val="Firma di posta elettronica Carattere"/>
    <w:basedOn w:val="Carpredefinitoparagrafo"/>
    <w:link w:val="Firmadipostaelettronica"/>
    <w:semiHidden/>
    <w:rsid w:val="002754CC"/>
    <w:rPr>
      <w:rFonts w:ascii="Open Sans" w:eastAsia="MS Mincho" w:hAnsi="Open Sans"/>
      <w:sz w:val="24"/>
      <w:szCs w:val="24"/>
    </w:rPr>
  </w:style>
  <w:style w:type="character" w:customStyle="1" w:styleId="IndirizzoHTMLCarattere">
    <w:name w:val="Indirizzo HTML Carattere"/>
    <w:basedOn w:val="Carpredefinitoparagrafo"/>
    <w:link w:val="IndirizzoHTML"/>
    <w:semiHidden/>
    <w:rsid w:val="002754CC"/>
    <w:rPr>
      <w:rFonts w:ascii="Open Sans" w:eastAsia="MS Mincho" w:hAnsi="Open Sans"/>
      <w:i/>
      <w:iCs/>
      <w:sz w:val="24"/>
      <w:szCs w:val="24"/>
    </w:rPr>
  </w:style>
  <w:style w:type="character" w:customStyle="1" w:styleId="PreformattatoHTMLCarattere">
    <w:name w:val="Preformattato HTML Carattere"/>
    <w:basedOn w:val="Carpredefinitoparagrafo"/>
    <w:link w:val="PreformattatoHTML"/>
    <w:semiHidden/>
    <w:rsid w:val="002754CC"/>
    <w:rPr>
      <w:rFonts w:ascii="Open Sans" w:eastAsia="MS Mincho" w:hAnsi="Open Sans" w:cs="Courier New"/>
    </w:rPr>
  </w:style>
  <w:style w:type="character" w:customStyle="1" w:styleId="IntestazionemessaggioCarattere">
    <w:name w:val="Intestazione messaggio Carattere"/>
    <w:basedOn w:val="Carpredefinitoparagrafo"/>
    <w:link w:val="Intestazionemessaggio"/>
    <w:semiHidden/>
    <w:rsid w:val="002754CC"/>
    <w:rPr>
      <w:rFonts w:ascii="Open Sans" w:eastAsia="MS Mincho" w:hAnsi="Open Sans" w:cs="Arial"/>
      <w:sz w:val="24"/>
      <w:szCs w:val="24"/>
      <w:shd w:val="pct20" w:color="auto" w:fill="auto"/>
    </w:rPr>
  </w:style>
  <w:style w:type="character" w:customStyle="1" w:styleId="IntestazionenotaCarattere">
    <w:name w:val="Intestazione nota Carattere"/>
    <w:basedOn w:val="Carpredefinitoparagrafo"/>
    <w:link w:val="Intestazionenota"/>
    <w:semiHidden/>
    <w:rsid w:val="002754CC"/>
    <w:rPr>
      <w:rFonts w:ascii="Open Sans" w:eastAsia="MS Mincho" w:hAnsi="Open Sans"/>
      <w:sz w:val="24"/>
      <w:szCs w:val="24"/>
    </w:rPr>
  </w:style>
  <w:style w:type="character" w:customStyle="1" w:styleId="TestonormaleCarattere">
    <w:name w:val="Testo normale Carattere"/>
    <w:basedOn w:val="Carpredefinitoparagrafo"/>
    <w:link w:val="Testonormale"/>
    <w:semiHidden/>
    <w:rsid w:val="002754CC"/>
    <w:rPr>
      <w:rFonts w:ascii="Open Sans" w:eastAsia="MS Mincho" w:hAnsi="Open Sans" w:cs="Courier New"/>
      <w:sz w:val="24"/>
    </w:rPr>
  </w:style>
  <w:style w:type="character" w:customStyle="1" w:styleId="FormuladiaperturaCarattere">
    <w:name w:val="Formula di apertura Carattere"/>
    <w:basedOn w:val="Carpredefinitoparagrafo"/>
    <w:link w:val="Formuladiapertura"/>
    <w:semiHidden/>
    <w:rsid w:val="002754CC"/>
    <w:rPr>
      <w:rFonts w:ascii="Open Sans" w:eastAsia="MS Mincho" w:hAnsi="Open Sans"/>
      <w:sz w:val="24"/>
      <w:szCs w:val="24"/>
    </w:rPr>
  </w:style>
  <w:style w:type="character" w:customStyle="1" w:styleId="TitoloCarattere">
    <w:name w:val="Titolo Carattere"/>
    <w:basedOn w:val="Carpredefinitoparagrafo"/>
    <w:link w:val="Titolo"/>
    <w:rsid w:val="00F97807"/>
    <w:rPr>
      <w:rFonts w:ascii="Open Sans Semibold" w:eastAsia="MS Mincho" w:hAnsi="Open Sans Semibold" w:cs="Arial"/>
      <w:b/>
      <w:bCs/>
      <w:color w:val="C23626" w:themeColor="accent3"/>
      <w:kern w:val="28"/>
      <w:sz w:val="56"/>
      <w:szCs w:val="32"/>
    </w:rPr>
  </w:style>
  <w:style w:type="character" w:customStyle="1" w:styleId="ls3">
    <w:name w:val="ls3"/>
    <w:basedOn w:val="Carpredefinitoparagrafo"/>
    <w:rsid w:val="002754CC"/>
  </w:style>
  <w:style w:type="paragraph" w:customStyle="1" w:styleId="pf0">
    <w:name w:val="pf0"/>
    <w:basedOn w:val="Normale"/>
    <w:rsid w:val="002754CC"/>
    <w:pPr>
      <w:spacing w:before="100" w:beforeAutospacing="1" w:after="100" w:afterAutospacing="1"/>
    </w:pPr>
    <w:rPr>
      <w:rFonts w:ascii="Times New Roman" w:eastAsia="Times New Roman" w:hAnsi="Times New Roman"/>
    </w:rPr>
  </w:style>
  <w:style w:type="paragraph" w:customStyle="1" w:styleId="NormalText">
    <w:name w:val="Normal Text"/>
    <w:basedOn w:val="Normale"/>
    <w:link w:val="NormalTextChar"/>
    <w:autoRedefine/>
    <w:qFormat/>
    <w:rsid w:val="00967595"/>
    <w:pPr>
      <w:tabs>
        <w:tab w:val="left" w:pos="1980"/>
      </w:tabs>
      <w:ind w:left="720" w:right="-286" w:hanging="360"/>
    </w:pPr>
    <w:rPr>
      <w:rFonts w:eastAsiaTheme="minorHAnsi" w:cstheme="minorBidi"/>
      <w:szCs w:val="22"/>
    </w:rPr>
  </w:style>
  <w:style w:type="character" w:customStyle="1" w:styleId="NormalTextChar">
    <w:name w:val="Normal Text Char"/>
    <w:basedOn w:val="Carpredefinitoparagrafo"/>
    <w:link w:val="NormalText"/>
    <w:rsid w:val="00824386"/>
    <w:rPr>
      <w:rFonts w:ascii="Open Sans" w:eastAsiaTheme="minorHAnsi" w:hAnsi="Open Sans" w:cstheme="minorBidi"/>
      <w:sz w:val="24"/>
      <w:szCs w:val="22"/>
    </w:rPr>
  </w:style>
  <w:style w:type="character" w:customStyle="1" w:styleId="FnXref">
    <w:name w:val="FnXref"/>
    <w:rsid w:val="00824386"/>
    <w:rPr>
      <w:color w:val="000000"/>
      <w:bdr w:val="none" w:sz="0" w:space="0" w:color="auto"/>
      <w:vertAlign w:val="superscript"/>
      <w:lang w:val="en-GB"/>
    </w:rPr>
  </w:style>
  <w:style w:type="paragraph" w:customStyle="1" w:styleId="footnotedescription">
    <w:name w:val="footnote description"/>
    <w:next w:val="Normale"/>
    <w:link w:val="footnotedescriptionChar"/>
    <w:hidden/>
    <w:rsid w:val="00824386"/>
    <w:pPr>
      <w:spacing w:line="277" w:lineRule="auto"/>
      <w:ind w:left="283" w:hanging="283"/>
    </w:pPr>
    <w:rPr>
      <w:rFonts w:ascii="Calibri" w:eastAsia="Calibri" w:hAnsi="Calibri" w:cs="Calibri"/>
      <w:color w:val="000000"/>
      <w:szCs w:val="22"/>
    </w:rPr>
  </w:style>
  <w:style w:type="character" w:customStyle="1" w:styleId="footnotedescriptionChar">
    <w:name w:val="footnote description Char"/>
    <w:link w:val="footnotedescription"/>
    <w:rsid w:val="00824386"/>
    <w:rPr>
      <w:rFonts w:ascii="Calibri" w:eastAsia="Calibri" w:hAnsi="Calibri" w:cs="Calibri"/>
      <w:color w:val="000000"/>
      <w:szCs w:val="22"/>
    </w:rPr>
  </w:style>
  <w:style w:type="character" w:customStyle="1" w:styleId="footnotemark">
    <w:name w:val="footnote mark"/>
    <w:hidden/>
    <w:rsid w:val="00824386"/>
    <w:rPr>
      <w:rFonts w:ascii="Calibri" w:eastAsia="Calibri" w:hAnsi="Calibri" w:cs="Calibri"/>
      <w:color w:val="000000"/>
      <w:sz w:val="20"/>
      <w:vertAlign w:val="superscript"/>
    </w:rPr>
  </w:style>
  <w:style w:type="numbering" w:customStyle="1" w:styleId="Elencocorrente1">
    <w:name w:val="Elenco corrente1"/>
    <w:uiPriority w:val="99"/>
    <w:rsid w:val="00705803"/>
    <w:pPr>
      <w:numPr>
        <w:numId w:val="30"/>
      </w:numPr>
    </w:pPr>
  </w:style>
  <w:style w:type="numbering" w:customStyle="1" w:styleId="Elencocorrente2">
    <w:name w:val="Elenco corrente2"/>
    <w:uiPriority w:val="99"/>
    <w:rsid w:val="00705803"/>
    <w:pPr>
      <w:numPr>
        <w:numId w:val="31"/>
      </w:numPr>
    </w:pPr>
  </w:style>
  <w:style w:type="numbering" w:customStyle="1" w:styleId="Elencocorrente3">
    <w:name w:val="Elenco corrente3"/>
    <w:uiPriority w:val="99"/>
    <w:rsid w:val="00705803"/>
    <w:pPr>
      <w:numPr>
        <w:numId w:val="32"/>
      </w:numPr>
    </w:pPr>
  </w:style>
  <w:style w:type="numbering" w:customStyle="1" w:styleId="Elencocorrente4">
    <w:name w:val="Elenco corrente4"/>
    <w:uiPriority w:val="99"/>
    <w:rsid w:val="00705803"/>
    <w:pPr>
      <w:numPr>
        <w:numId w:val="33"/>
      </w:numPr>
    </w:pPr>
  </w:style>
  <w:style w:type="paragraph" w:styleId="Corpotesto">
    <w:name w:val="Body Text"/>
    <w:aliases w:val="Corpo Testo"/>
    <w:basedOn w:val="Normale"/>
    <w:link w:val="CorpotestoCarattere"/>
    <w:locked/>
    <w:rsid w:val="00CC06A2"/>
    <w:pPr>
      <w:ind w:left="1418"/>
    </w:pPr>
  </w:style>
  <w:style w:type="character" w:customStyle="1" w:styleId="CorpotestoCarattere">
    <w:name w:val="Corpo testo Carattere"/>
    <w:aliases w:val="Corpo Testo Carattere"/>
    <w:basedOn w:val="Carpredefinitoparagrafo"/>
    <w:link w:val="Corpotesto"/>
    <w:rsid w:val="00CC06A2"/>
    <w:rPr>
      <w:rFonts w:ascii="Open Sans" w:eastAsia="MS Mincho" w:hAnsi="Open Sans"/>
      <w:szCs w:val="24"/>
    </w:rPr>
  </w:style>
  <w:style w:type="numbering" w:customStyle="1" w:styleId="Elencocorrente5">
    <w:name w:val="Elenco corrente5"/>
    <w:uiPriority w:val="99"/>
    <w:rsid w:val="006447F1"/>
    <w:pPr>
      <w:numPr>
        <w:numId w:val="35"/>
      </w:numPr>
    </w:pPr>
  </w:style>
  <w:style w:type="numbering" w:customStyle="1" w:styleId="Elencocorrente6">
    <w:name w:val="Elenco corrente6"/>
    <w:uiPriority w:val="99"/>
    <w:rsid w:val="006447F1"/>
    <w:pPr>
      <w:numPr>
        <w:numId w:val="36"/>
      </w:numPr>
    </w:pPr>
  </w:style>
  <w:style w:type="numbering" w:customStyle="1" w:styleId="Elencocorrente7">
    <w:name w:val="Elenco corrente7"/>
    <w:uiPriority w:val="99"/>
    <w:rsid w:val="006447F1"/>
    <w:pPr>
      <w:numPr>
        <w:numId w:val="37"/>
      </w:numPr>
    </w:pPr>
  </w:style>
  <w:style w:type="paragraph" w:styleId="Corpodeltesto2">
    <w:name w:val="Body Text 2"/>
    <w:basedOn w:val="Normale"/>
    <w:link w:val="Corpodeltesto2Carattere"/>
    <w:locked/>
    <w:rsid w:val="0058561A"/>
    <w:pPr>
      <w:spacing w:after="120" w:line="480" w:lineRule="auto"/>
    </w:pPr>
  </w:style>
  <w:style w:type="character" w:customStyle="1" w:styleId="Corpodeltesto2Carattere">
    <w:name w:val="Corpo del testo 2 Carattere"/>
    <w:basedOn w:val="Carpredefinitoparagrafo"/>
    <w:link w:val="Corpodeltesto2"/>
    <w:rsid w:val="0058561A"/>
    <w:rPr>
      <w:rFonts w:ascii="Open Sans" w:eastAsia="MS Mincho" w:hAnsi="Open Sans"/>
      <w:szCs w:val="24"/>
    </w:rPr>
  </w:style>
  <w:style w:type="paragraph" w:styleId="Corpodeltesto3">
    <w:name w:val="Body Text 3"/>
    <w:basedOn w:val="Normale"/>
    <w:link w:val="Corpodeltesto3Carattere"/>
    <w:locked/>
    <w:rsid w:val="0058561A"/>
    <w:pPr>
      <w:spacing w:after="120"/>
    </w:pPr>
    <w:rPr>
      <w:sz w:val="16"/>
      <w:szCs w:val="16"/>
    </w:rPr>
  </w:style>
  <w:style w:type="character" w:customStyle="1" w:styleId="Corpodeltesto3Carattere">
    <w:name w:val="Corpo del testo 3 Carattere"/>
    <w:basedOn w:val="Carpredefinitoparagrafo"/>
    <w:link w:val="Corpodeltesto3"/>
    <w:rsid w:val="0058561A"/>
    <w:rPr>
      <w:rFonts w:ascii="Open Sans" w:eastAsia="MS Mincho" w:hAnsi="Open Sans"/>
      <w:sz w:val="16"/>
      <w:szCs w:val="16"/>
    </w:rPr>
  </w:style>
  <w:style w:type="paragraph" w:customStyle="1" w:styleId="CopyrightText">
    <w:name w:val="Copyright Text"/>
    <w:basedOn w:val="Normale"/>
    <w:uiPriority w:val="99"/>
    <w:rsid w:val="00FE4F1D"/>
    <w:pPr>
      <w:tabs>
        <w:tab w:val="left" w:pos="567"/>
      </w:tabs>
      <w:suppressAutoHyphens/>
      <w:autoSpaceDE w:val="0"/>
      <w:autoSpaceDN w:val="0"/>
      <w:adjustRightInd w:val="0"/>
      <w:spacing w:after="170" w:line="240" w:lineRule="atLeast"/>
      <w:textAlignment w:val="center"/>
    </w:pPr>
    <w:rPr>
      <w:rFonts w:eastAsia="Times New Roman" w:cs="Open Sans"/>
      <w:sz w:val="18"/>
      <w:szCs w:val="18"/>
      <w:u w:color="000000"/>
      <w:lang w:val="en-US"/>
    </w:rPr>
  </w:style>
  <w:style w:type="paragraph" w:customStyle="1" w:styleId="CopyrightTextBullets">
    <w:name w:val="Copyright Text Bullets"/>
    <w:basedOn w:val="CopyrightText"/>
    <w:uiPriority w:val="99"/>
    <w:rsid w:val="00FE4F1D"/>
    <w:pPr>
      <w:numPr>
        <w:numId w:val="38"/>
      </w:numPr>
      <w:spacing w:line="240" w:lineRule="auto"/>
      <w:ind w:right="1134"/>
      <w:contextualSpacing/>
    </w:pPr>
  </w:style>
  <w:style w:type="paragraph" w:customStyle="1" w:styleId="CopyrightTextAddress">
    <w:name w:val="Copyright Text Address"/>
    <w:basedOn w:val="CopyrightText"/>
    <w:uiPriority w:val="99"/>
    <w:rsid w:val="00FE4F1D"/>
    <w:pPr>
      <w:ind w:left="567"/>
      <w:contextualSpacing/>
    </w:pPr>
  </w:style>
  <w:style w:type="character" w:customStyle="1" w:styleId="Bold">
    <w:name w:val="Bold"/>
    <w:uiPriority w:val="99"/>
    <w:rsid w:val="00FE4F1D"/>
    <w:rPr>
      <w:rFonts w:ascii="Open Sans" w:hAnsi="Open Sans" w:cs="Open Sans"/>
      <w:b/>
      <w:bCs/>
    </w:rPr>
  </w:style>
  <w:style w:type="paragraph" w:customStyle="1" w:styleId="Puntoelenco20">
    <w:name w:val="Punto elenco 2 (+0)"/>
    <w:basedOn w:val="Puntoelenco2"/>
    <w:qFormat/>
    <w:rsid w:val="007F7533"/>
    <w:pPr>
      <w:numPr>
        <w:numId w:val="60"/>
      </w:numPr>
      <w:spacing w:before="120" w:after="120"/>
      <w:contextualSpacing/>
    </w:pPr>
  </w:style>
  <w:style w:type="numbering" w:customStyle="1" w:styleId="Elencocorrente8">
    <w:name w:val="Elenco corrente8"/>
    <w:uiPriority w:val="99"/>
    <w:rsid w:val="009821F8"/>
    <w:pPr>
      <w:numPr>
        <w:numId w:val="39"/>
      </w:numPr>
    </w:pPr>
  </w:style>
  <w:style w:type="numbering" w:customStyle="1" w:styleId="Elencocorrente9">
    <w:name w:val="Elenco corrente9"/>
    <w:uiPriority w:val="99"/>
    <w:rsid w:val="009821F8"/>
    <w:pPr>
      <w:numPr>
        <w:numId w:val="40"/>
      </w:numPr>
    </w:pPr>
  </w:style>
  <w:style w:type="paragraph" w:customStyle="1" w:styleId="Normal0">
    <w:name w:val="Normal (+0)"/>
    <w:basedOn w:val="Normale"/>
    <w:qFormat/>
    <w:rsid w:val="0049783A"/>
    <w:pPr>
      <w:spacing w:after="100"/>
      <w:contextualSpacing/>
    </w:pPr>
    <w:rPr>
      <w:lang w:eastAsia="en-US"/>
    </w:rPr>
  </w:style>
  <w:style w:type="numbering" w:customStyle="1" w:styleId="Elencocorrente10">
    <w:name w:val="Elenco corrente10"/>
    <w:uiPriority w:val="99"/>
    <w:rsid w:val="00C22660"/>
    <w:pPr>
      <w:numPr>
        <w:numId w:val="44"/>
      </w:numPr>
    </w:pPr>
  </w:style>
  <w:style w:type="paragraph" w:customStyle="1" w:styleId="NormalIndent10">
    <w:name w:val="Normal Indent (1) (+0)"/>
    <w:basedOn w:val="NormalIndent1"/>
    <w:qFormat/>
    <w:rsid w:val="00DE0127"/>
    <w:pPr>
      <w:contextualSpacing/>
    </w:pPr>
  </w:style>
  <w:style w:type="numbering" w:customStyle="1" w:styleId="Elencocorrente12">
    <w:name w:val="Elenco corrente12"/>
    <w:uiPriority w:val="99"/>
    <w:rsid w:val="00C504B0"/>
    <w:pPr>
      <w:numPr>
        <w:numId w:val="46"/>
      </w:numPr>
    </w:pPr>
  </w:style>
  <w:style w:type="numbering" w:customStyle="1" w:styleId="Elencocorrente11">
    <w:name w:val="Elenco corrente11"/>
    <w:uiPriority w:val="99"/>
    <w:rsid w:val="00782F2F"/>
    <w:pPr>
      <w:numPr>
        <w:numId w:val="45"/>
      </w:numPr>
    </w:pPr>
  </w:style>
  <w:style w:type="numbering" w:customStyle="1" w:styleId="Elencocorrente13">
    <w:name w:val="Elenco corrente13"/>
    <w:uiPriority w:val="99"/>
    <w:rsid w:val="00C504B0"/>
    <w:pPr>
      <w:numPr>
        <w:numId w:val="47"/>
      </w:numPr>
    </w:pPr>
  </w:style>
  <w:style w:type="paragraph" w:customStyle="1" w:styleId="NumeredList1">
    <w:name w:val="Numered List (1)"/>
    <w:basedOn w:val="Puntoelenco20"/>
    <w:qFormat/>
    <w:rsid w:val="00534071"/>
    <w:pPr>
      <w:numPr>
        <w:numId w:val="49"/>
      </w:numPr>
    </w:pPr>
    <w:rPr>
      <w:lang w:eastAsia="en-US"/>
    </w:rPr>
  </w:style>
  <w:style w:type="paragraph" w:customStyle="1" w:styleId="NormalIndenta">
    <w:name w:val="Normal Indent (a)"/>
    <w:basedOn w:val="NormalIndent1"/>
    <w:qFormat/>
    <w:rsid w:val="00DE0127"/>
    <w:pPr>
      <w:spacing w:before="100" w:after="100"/>
      <w:ind w:left="1418"/>
    </w:pPr>
  </w:style>
  <w:style w:type="paragraph" w:customStyle="1" w:styleId="NormalIndenti">
    <w:name w:val="Normal Indent (i)"/>
    <w:basedOn w:val="Corpotesto"/>
    <w:qFormat/>
    <w:rsid w:val="00DE0127"/>
    <w:pPr>
      <w:ind w:left="1985"/>
    </w:pPr>
  </w:style>
  <w:style w:type="numbering" w:customStyle="1" w:styleId="Elencocorrente14">
    <w:name w:val="Elenco corrente14"/>
    <w:uiPriority w:val="99"/>
    <w:rsid w:val="005A142E"/>
    <w:pPr>
      <w:numPr>
        <w:numId w:val="53"/>
      </w:numPr>
    </w:pPr>
  </w:style>
  <w:style w:type="numbering" w:customStyle="1" w:styleId="Elencocorrente16">
    <w:name w:val="Elenco corrente16"/>
    <w:uiPriority w:val="99"/>
    <w:rsid w:val="005A142E"/>
    <w:pPr>
      <w:numPr>
        <w:numId w:val="56"/>
      </w:numPr>
    </w:pPr>
  </w:style>
  <w:style w:type="numbering" w:customStyle="1" w:styleId="Elencocorrente15">
    <w:name w:val="Elenco corrente15"/>
    <w:uiPriority w:val="99"/>
    <w:rsid w:val="005A142E"/>
    <w:pPr>
      <w:numPr>
        <w:numId w:val="54"/>
      </w:numPr>
    </w:pPr>
  </w:style>
  <w:style w:type="paragraph" w:customStyle="1" w:styleId="Appendix1Heading">
    <w:name w:val="Appendix 1: Heading"/>
    <w:basedOn w:val="Normale"/>
    <w:qFormat/>
    <w:rsid w:val="009B6253"/>
    <w:pPr>
      <w:tabs>
        <w:tab w:val="left" w:pos="4046"/>
      </w:tabs>
      <w:spacing w:after="240"/>
    </w:pPr>
    <w:rPr>
      <w:rFonts w:eastAsia="OpenSans" w:cs="Cambria Math"/>
      <w:b/>
      <w:szCs w:val="22"/>
    </w:rPr>
  </w:style>
  <w:style w:type="paragraph" w:customStyle="1" w:styleId="Appendix1IndentItalics">
    <w:name w:val="Appendix 1: Indent (Italics)"/>
    <w:basedOn w:val="Normale"/>
    <w:qFormat/>
    <w:rsid w:val="009B6253"/>
    <w:pPr>
      <w:ind w:left="4048"/>
      <w:contextualSpacing/>
    </w:pPr>
    <w:rPr>
      <w:i/>
    </w:rPr>
  </w:style>
  <w:style w:type="character" w:customStyle="1" w:styleId="Apice">
    <w:name w:val="Apice"/>
    <w:basedOn w:val="Carpredefinitoparagrafo"/>
    <w:uiPriority w:val="1"/>
    <w:qFormat/>
    <w:rsid w:val="00805DC6"/>
    <w:rPr>
      <w:vertAlign w:val="superscript"/>
    </w:rPr>
  </w:style>
  <w:style w:type="paragraph" w:customStyle="1" w:styleId="TableHeaderBoldCentred">
    <w:name w:val="Table Header Bold Centred"/>
    <w:basedOn w:val="Normale"/>
    <w:qFormat/>
    <w:rsid w:val="00227D27"/>
    <w:pPr>
      <w:spacing w:before="160"/>
      <w:jc w:val="center"/>
    </w:pPr>
    <w:rPr>
      <w:b/>
    </w:rPr>
  </w:style>
  <w:style w:type="paragraph" w:customStyle="1" w:styleId="NormalCentred">
    <w:name w:val="Normal Centred"/>
    <w:basedOn w:val="Normale"/>
    <w:qFormat/>
    <w:rsid w:val="001A5535"/>
    <w:pPr>
      <w:jc w:val="center"/>
    </w:pPr>
    <w:rPr>
      <w:color w:val="18385F" w:themeColor="accent2"/>
    </w:rPr>
  </w:style>
  <w:style w:type="numbering" w:customStyle="1" w:styleId="Elencocorrente19">
    <w:name w:val="Elenco corrente19"/>
    <w:uiPriority w:val="99"/>
    <w:rsid w:val="00C92500"/>
    <w:pPr>
      <w:numPr>
        <w:numId w:val="64"/>
      </w:numPr>
    </w:pPr>
  </w:style>
  <w:style w:type="numbering" w:customStyle="1" w:styleId="Elencocorrente17">
    <w:name w:val="Elenco corrente17"/>
    <w:uiPriority w:val="99"/>
    <w:rsid w:val="00C92500"/>
    <w:pPr>
      <w:numPr>
        <w:numId w:val="61"/>
      </w:numPr>
    </w:pPr>
  </w:style>
  <w:style w:type="numbering" w:customStyle="1" w:styleId="Elencocorrente18">
    <w:name w:val="Elenco corrente18"/>
    <w:uiPriority w:val="99"/>
    <w:rsid w:val="00C92500"/>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345">
      <w:bodyDiv w:val="1"/>
      <w:marLeft w:val="0"/>
      <w:marRight w:val="0"/>
      <w:marTop w:val="0"/>
      <w:marBottom w:val="0"/>
      <w:divBdr>
        <w:top w:val="none" w:sz="0" w:space="0" w:color="auto"/>
        <w:left w:val="none" w:sz="0" w:space="0" w:color="auto"/>
        <w:bottom w:val="none" w:sz="0" w:space="0" w:color="auto"/>
        <w:right w:val="none" w:sz="0" w:space="0" w:color="auto"/>
      </w:divBdr>
    </w:div>
    <w:div w:id="36586335">
      <w:bodyDiv w:val="1"/>
      <w:marLeft w:val="0"/>
      <w:marRight w:val="0"/>
      <w:marTop w:val="0"/>
      <w:marBottom w:val="0"/>
      <w:divBdr>
        <w:top w:val="none" w:sz="0" w:space="0" w:color="auto"/>
        <w:left w:val="none" w:sz="0" w:space="0" w:color="auto"/>
        <w:bottom w:val="none" w:sz="0" w:space="0" w:color="auto"/>
        <w:right w:val="none" w:sz="0" w:space="0" w:color="auto"/>
      </w:divBdr>
    </w:div>
    <w:div w:id="90516872">
      <w:bodyDiv w:val="1"/>
      <w:marLeft w:val="0"/>
      <w:marRight w:val="0"/>
      <w:marTop w:val="0"/>
      <w:marBottom w:val="0"/>
      <w:divBdr>
        <w:top w:val="none" w:sz="0" w:space="0" w:color="auto"/>
        <w:left w:val="none" w:sz="0" w:space="0" w:color="auto"/>
        <w:bottom w:val="none" w:sz="0" w:space="0" w:color="auto"/>
        <w:right w:val="none" w:sz="0" w:space="0" w:color="auto"/>
      </w:divBdr>
    </w:div>
    <w:div w:id="94792935">
      <w:bodyDiv w:val="1"/>
      <w:marLeft w:val="0"/>
      <w:marRight w:val="0"/>
      <w:marTop w:val="0"/>
      <w:marBottom w:val="0"/>
      <w:divBdr>
        <w:top w:val="none" w:sz="0" w:space="0" w:color="auto"/>
        <w:left w:val="none" w:sz="0" w:space="0" w:color="auto"/>
        <w:bottom w:val="none" w:sz="0" w:space="0" w:color="auto"/>
        <w:right w:val="none" w:sz="0" w:space="0" w:color="auto"/>
      </w:divBdr>
    </w:div>
    <w:div w:id="100489587">
      <w:bodyDiv w:val="1"/>
      <w:marLeft w:val="0"/>
      <w:marRight w:val="0"/>
      <w:marTop w:val="0"/>
      <w:marBottom w:val="0"/>
      <w:divBdr>
        <w:top w:val="none" w:sz="0" w:space="0" w:color="auto"/>
        <w:left w:val="none" w:sz="0" w:space="0" w:color="auto"/>
        <w:bottom w:val="none" w:sz="0" w:space="0" w:color="auto"/>
        <w:right w:val="none" w:sz="0" w:space="0" w:color="auto"/>
      </w:divBdr>
    </w:div>
    <w:div w:id="107631402">
      <w:bodyDiv w:val="1"/>
      <w:marLeft w:val="0"/>
      <w:marRight w:val="0"/>
      <w:marTop w:val="0"/>
      <w:marBottom w:val="0"/>
      <w:divBdr>
        <w:top w:val="none" w:sz="0" w:space="0" w:color="auto"/>
        <w:left w:val="none" w:sz="0" w:space="0" w:color="auto"/>
        <w:bottom w:val="none" w:sz="0" w:space="0" w:color="auto"/>
        <w:right w:val="none" w:sz="0" w:space="0" w:color="auto"/>
      </w:divBdr>
    </w:div>
    <w:div w:id="127819049">
      <w:bodyDiv w:val="1"/>
      <w:marLeft w:val="0"/>
      <w:marRight w:val="0"/>
      <w:marTop w:val="0"/>
      <w:marBottom w:val="0"/>
      <w:divBdr>
        <w:top w:val="none" w:sz="0" w:space="0" w:color="auto"/>
        <w:left w:val="none" w:sz="0" w:space="0" w:color="auto"/>
        <w:bottom w:val="none" w:sz="0" w:space="0" w:color="auto"/>
        <w:right w:val="none" w:sz="0" w:space="0" w:color="auto"/>
      </w:divBdr>
    </w:div>
    <w:div w:id="153494474">
      <w:bodyDiv w:val="1"/>
      <w:marLeft w:val="0"/>
      <w:marRight w:val="0"/>
      <w:marTop w:val="0"/>
      <w:marBottom w:val="0"/>
      <w:divBdr>
        <w:top w:val="none" w:sz="0" w:space="0" w:color="auto"/>
        <w:left w:val="none" w:sz="0" w:space="0" w:color="auto"/>
        <w:bottom w:val="none" w:sz="0" w:space="0" w:color="auto"/>
        <w:right w:val="none" w:sz="0" w:space="0" w:color="auto"/>
      </w:divBdr>
    </w:div>
    <w:div w:id="188492547">
      <w:bodyDiv w:val="1"/>
      <w:marLeft w:val="0"/>
      <w:marRight w:val="0"/>
      <w:marTop w:val="0"/>
      <w:marBottom w:val="0"/>
      <w:divBdr>
        <w:top w:val="none" w:sz="0" w:space="0" w:color="auto"/>
        <w:left w:val="none" w:sz="0" w:space="0" w:color="auto"/>
        <w:bottom w:val="none" w:sz="0" w:space="0" w:color="auto"/>
        <w:right w:val="none" w:sz="0" w:space="0" w:color="auto"/>
      </w:divBdr>
    </w:div>
    <w:div w:id="190386329">
      <w:bodyDiv w:val="1"/>
      <w:marLeft w:val="0"/>
      <w:marRight w:val="0"/>
      <w:marTop w:val="0"/>
      <w:marBottom w:val="0"/>
      <w:divBdr>
        <w:top w:val="none" w:sz="0" w:space="0" w:color="auto"/>
        <w:left w:val="none" w:sz="0" w:space="0" w:color="auto"/>
        <w:bottom w:val="none" w:sz="0" w:space="0" w:color="auto"/>
        <w:right w:val="none" w:sz="0" w:space="0" w:color="auto"/>
      </w:divBdr>
    </w:div>
    <w:div w:id="193077877">
      <w:bodyDiv w:val="1"/>
      <w:marLeft w:val="0"/>
      <w:marRight w:val="0"/>
      <w:marTop w:val="0"/>
      <w:marBottom w:val="0"/>
      <w:divBdr>
        <w:top w:val="none" w:sz="0" w:space="0" w:color="auto"/>
        <w:left w:val="none" w:sz="0" w:space="0" w:color="auto"/>
        <w:bottom w:val="none" w:sz="0" w:space="0" w:color="auto"/>
        <w:right w:val="none" w:sz="0" w:space="0" w:color="auto"/>
      </w:divBdr>
    </w:div>
    <w:div w:id="220946877">
      <w:bodyDiv w:val="1"/>
      <w:marLeft w:val="0"/>
      <w:marRight w:val="0"/>
      <w:marTop w:val="0"/>
      <w:marBottom w:val="0"/>
      <w:divBdr>
        <w:top w:val="none" w:sz="0" w:space="0" w:color="auto"/>
        <w:left w:val="none" w:sz="0" w:space="0" w:color="auto"/>
        <w:bottom w:val="none" w:sz="0" w:space="0" w:color="auto"/>
        <w:right w:val="none" w:sz="0" w:space="0" w:color="auto"/>
      </w:divBdr>
    </w:div>
    <w:div w:id="235632703">
      <w:bodyDiv w:val="1"/>
      <w:marLeft w:val="0"/>
      <w:marRight w:val="0"/>
      <w:marTop w:val="0"/>
      <w:marBottom w:val="0"/>
      <w:divBdr>
        <w:top w:val="none" w:sz="0" w:space="0" w:color="auto"/>
        <w:left w:val="none" w:sz="0" w:space="0" w:color="auto"/>
        <w:bottom w:val="none" w:sz="0" w:space="0" w:color="auto"/>
        <w:right w:val="none" w:sz="0" w:space="0" w:color="auto"/>
      </w:divBdr>
    </w:div>
    <w:div w:id="237784646">
      <w:bodyDiv w:val="1"/>
      <w:marLeft w:val="0"/>
      <w:marRight w:val="0"/>
      <w:marTop w:val="0"/>
      <w:marBottom w:val="0"/>
      <w:divBdr>
        <w:top w:val="none" w:sz="0" w:space="0" w:color="auto"/>
        <w:left w:val="none" w:sz="0" w:space="0" w:color="auto"/>
        <w:bottom w:val="none" w:sz="0" w:space="0" w:color="auto"/>
        <w:right w:val="none" w:sz="0" w:space="0" w:color="auto"/>
      </w:divBdr>
    </w:div>
    <w:div w:id="263080267">
      <w:bodyDiv w:val="1"/>
      <w:marLeft w:val="0"/>
      <w:marRight w:val="0"/>
      <w:marTop w:val="0"/>
      <w:marBottom w:val="0"/>
      <w:divBdr>
        <w:top w:val="none" w:sz="0" w:space="0" w:color="auto"/>
        <w:left w:val="none" w:sz="0" w:space="0" w:color="auto"/>
        <w:bottom w:val="none" w:sz="0" w:space="0" w:color="auto"/>
        <w:right w:val="none" w:sz="0" w:space="0" w:color="auto"/>
      </w:divBdr>
    </w:div>
    <w:div w:id="263928378">
      <w:bodyDiv w:val="1"/>
      <w:marLeft w:val="0"/>
      <w:marRight w:val="0"/>
      <w:marTop w:val="0"/>
      <w:marBottom w:val="0"/>
      <w:divBdr>
        <w:top w:val="none" w:sz="0" w:space="0" w:color="auto"/>
        <w:left w:val="none" w:sz="0" w:space="0" w:color="auto"/>
        <w:bottom w:val="none" w:sz="0" w:space="0" w:color="auto"/>
        <w:right w:val="none" w:sz="0" w:space="0" w:color="auto"/>
      </w:divBdr>
    </w:div>
    <w:div w:id="313343226">
      <w:bodyDiv w:val="1"/>
      <w:marLeft w:val="0"/>
      <w:marRight w:val="0"/>
      <w:marTop w:val="0"/>
      <w:marBottom w:val="0"/>
      <w:divBdr>
        <w:top w:val="none" w:sz="0" w:space="0" w:color="auto"/>
        <w:left w:val="none" w:sz="0" w:space="0" w:color="auto"/>
        <w:bottom w:val="none" w:sz="0" w:space="0" w:color="auto"/>
        <w:right w:val="none" w:sz="0" w:space="0" w:color="auto"/>
      </w:divBdr>
    </w:div>
    <w:div w:id="373231805">
      <w:bodyDiv w:val="1"/>
      <w:marLeft w:val="0"/>
      <w:marRight w:val="0"/>
      <w:marTop w:val="0"/>
      <w:marBottom w:val="0"/>
      <w:divBdr>
        <w:top w:val="none" w:sz="0" w:space="0" w:color="auto"/>
        <w:left w:val="none" w:sz="0" w:space="0" w:color="auto"/>
        <w:bottom w:val="none" w:sz="0" w:space="0" w:color="auto"/>
        <w:right w:val="none" w:sz="0" w:space="0" w:color="auto"/>
      </w:divBdr>
      <w:divsChild>
        <w:div w:id="290403521">
          <w:marLeft w:val="0"/>
          <w:marRight w:val="0"/>
          <w:marTop w:val="0"/>
          <w:marBottom w:val="0"/>
          <w:divBdr>
            <w:top w:val="none" w:sz="0" w:space="0" w:color="auto"/>
            <w:left w:val="none" w:sz="0" w:space="0" w:color="auto"/>
            <w:bottom w:val="none" w:sz="0" w:space="0" w:color="auto"/>
            <w:right w:val="none" w:sz="0" w:space="0" w:color="auto"/>
          </w:divBdr>
        </w:div>
        <w:div w:id="475799467">
          <w:marLeft w:val="0"/>
          <w:marRight w:val="0"/>
          <w:marTop w:val="0"/>
          <w:marBottom w:val="0"/>
          <w:divBdr>
            <w:top w:val="none" w:sz="0" w:space="0" w:color="auto"/>
            <w:left w:val="none" w:sz="0" w:space="0" w:color="auto"/>
            <w:bottom w:val="none" w:sz="0" w:space="0" w:color="auto"/>
            <w:right w:val="none" w:sz="0" w:space="0" w:color="auto"/>
          </w:divBdr>
        </w:div>
        <w:div w:id="581909082">
          <w:marLeft w:val="0"/>
          <w:marRight w:val="0"/>
          <w:marTop w:val="0"/>
          <w:marBottom w:val="0"/>
          <w:divBdr>
            <w:top w:val="none" w:sz="0" w:space="0" w:color="auto"/>
            <w:left w:val="none" w:sz="0" w:space="0" w:color="auto"/>
            <w:bottom w:val="none" w:sz="0" w:space="0" w:color="auto"/>
            <w:right w:val="none" w:sz="0" w:space="0" w:color="auto"/>
          </w:divBdr>
        </w:div>
        <w:div w:id="1908420108">
          <w:marLeft w:val="0"/>
          <w:marRight w:val="0"/>
          <w:marTop w:val="0"/>
          <w:marBottom w:val="0"/>
          <w:divBdr>
            <w:top w:val="none" w:sz="0" w:space="0" w:color="auto"/>
            <w:left w:val="none" w:sz="0" w:space="0" w:color="auto"/>
            <w:bottom w:val="none" w:sz="0" w:space="0" w:color="auto"/>
            <w:right w:val="none" w:sz="0" w:space="0" w:color="auto"/>
          </w:divBdr>
        </w:div>
        <w:div w:id="1985111922">
          <w:marLeft w:val="0"/>
          <w:marRight w:val="0"/>
          <w:marTop w:val="0"/>
          <w:marBottom w:val="0"/>
          <w:divBdr>
            <w:top w:val="none" w:sz="0" w:space="0" w:color="auto"/>
            <w:left w:val="none" w:sz="0" w:space="0" w:color="auto"/>
            <w:bottom w:val="none" w:sz="0" w:space="0" w:color="auto"/>
            <w:right w:val="none" w:sz="0" w:space="0" w:color="auto"/>
          </w:divBdr>
        </w:div>
      </w:divsChild>
    </w:div>
    <w:div w:id="397629272">
      <w:bodyDiv w:val="1"/>
      <w:marLeft w:val="0"/>
      <w:marRight w:val="0"/>
      <w:marTop w:val="0"/>
      <w:marBottom w:val="0"/>
      <w:divBdr>
        <w:top w:val="none" w:sz="0" w:space="0" w:color="auto"/>
        <w:left w:val="none" w:sz="0" w:space="0" w:color="auto"/>
        <w:bottom w:val="none" w:sz="0" w:space="0" w:color="auto"/>
        <w:right w:val="none" w:sz="0" w:space="0" w:color="auto"/>
      </w:divBdr>
    </w:div>
    <w:div w:id="408423262">
      <w:bodyDiv w:val="1"/>
      <w:marLeft w:val="0"/>
      <w:marRight w:val="0"/>
      <w:marTop w:val="0"/>
      <w:marBottom w:val="0"/>
      <w:divBdr>
        <w:top w:val="none" w:sz="0" w:space="0" w:color="auto"/>
        <w:left w:val="none" w:sz="0" w:space="0" w:color="auto"/>
        <w:bottom w:val="none" w:sz="0" w:space="0" w:color="auto"/>
        <w:right w:val="none" w:sz="0" w:space="0" w:color="auto"/>
      </w:divBdr>
    </w:div>
    <w:div w:id="427384891">
      <w:bodyDiv w:val="1"/>
      <w:marLeft w:val="0"/>
      <w:marRight w:val="0"/>
      <w:marTop w:val="0"/>
      <w:marBottom w:val="0"/>
      <w:divBdr>
        <w:top w:val="none" w:sz="0" w:space="0" w:color="auto"/>
        <w:left w:val="none" w:sz="0" w:space="0" w:color="auto"/>
        <w:bottom w:val="none" w:sz="0" w:space="0" w:color="auto"/>
        <w:right w:val="none" w:sz="0" w:space="0" w:color="auto"/>
      </w:divBdr>
    </w:div>
    <w:div w:id="517500518">
      <w:bodyDiv w:val="1"/>
      <w:marLeft w:val="0"/>
      <w:marRight w:val="0"/>
      <w:marTop w:val="0"/>
      <w:marBottom w:val="0"/>
      <w:divBdr>
        <w:top w:val="none" w:sz="0" w:space="0" w:color="auto"/>
        <w:left w:val="none" w:sz="0" w:space="0" w:color="auto"/>
        <w:bottom w:val="none" w:sz="0" w:space="0" w:color="auto"/>
        <w:right w:val="none" w:sz="0" w:space="0" w:color="auto"/>
      </w:divBdr>
    </w:div>
    <w:div w:id="546259085">
      <w:bodyDiv w:val="1"/>
      <w:marLeft w:val="0"/>
      <w:marRight w:val="0"/>
      <w:marTop w:val="0"/>
      <w:marBottom w:val="0"/>
      <w:divBdr>
        <w:top w:val="none" w:sz="0" w:space="0" w:color="auto"/>
        <w:left w:val="none" w:sz="0" w:space="0" w:color="auto"/>
        <w:bottom w:val="none" w:sz="0" w:space="0" w:color="auto"/>
        <w:right w:val="none" w:sz="0" w:space="0" w:color="auto"/>
      </w:divBdr>
    </w:div>
    <w:div w:id="548567239">
      <w:bodyDiv w:val="1"/>
      <w:marLeft w:val="0"/>
      <w:marRight w:val="0"/>
      <w:marTop w:val="0"/>
      <w:marBottom w:val="0"/>
      <w:divBdr>
        <w:top w:val="none" w:sz="0" w:space="0" w:color="auto"/>
        <w:left w:val="none" w:sz="0" w:space="0" w:color="auto"/>
        <w:bottom w:val="none" w:sz="0" w:space="0" w:color="auto"/>
        <w:right w:val="none" w:sz="0" w:space="0" w:color="auto"/>
      </w:divBdr>
    </w:div>
    <w:div w:id="554321600">
      <w:bodyDiv w:val="1"/>
      <w:marLeft w:val="0"/>
      <w:marRight w:val="0"/>
      <w:marTop w:val="0"/>
      <w:marBottom w:val="0"/>
      <w:divBdr>
        <w:top w:val="none" w:sz="0" w:space="0" w:color="auto"/>
        <w:left w:val="none" w:sz="0" w:space="0" w:color="auto"/>
        <w:bottom w:val="none" w:sz="0" w:space="0" w:color="auto"/>
        <w:right w:val="none" w:sz="0" w:space="0" w:color="auto"/>
      </w:divBdr>
    </w:div>
    <w:div w:id="567149409">
      <w:bodyDiv w:val="1"/>
      <w:marLeft w:val="0"/>
      <w:marRight w:val="0"/>
      <w:marTop w:val="0"/>
      <w:marBottom w:val="0"/>
      <w:divBdr>
        <w:top w:val="none" w:sz="0" w:space="0" w:color="auto"/>
        <w:left w:val="none" w:sz="0" w:space="0" w:color="auto"/>
        <w:bottom w:val="none" w:sz="0" w:space="0" w:color="auto"/>
        <w:right w:val="none" w:sz="0" w:space="0" w:color="auto"/>
      </w:divBdr>
    </w:div>
    <w:div w:id="591086881">
      <w:bodyDiv w:val="1"/>
      <w:marLeft w:val="0"/>
      <w:marRight w:val="0"/>
      <w:marTop w:val="0"/>
      <w:marBottom w:val="0"/>
      <w:divBdr>
        <w:top w:val="none" w:sz="0" w:space="0" w:color="auto"/>
        <w:left w:val="none" w:sz="0" w:space="0" w:color="auto"/>
        <w:bottom w:val="none" w:sz="0" w:space="0" w:color="auto"/>
        <w:right w:val="none" w:sz="0" w:space="0" w:color="auto"/>
      </w:divBdr>
    </w:div>
    <w:div w:id="632053241">
      <w:bodyDiv w:val="1"/>
      <w:marLeft w:val="0"/>
      <w:marRight w:val="0"/>
      <w:marTop w:val="0"/>
      <w:marBottom w:val="0"/>
      <w:divBdr>
        <w:top w:val="none" w:sz="0" w:space="0" w:color="auto"/>
        <w:left w:val="none" w:sz="0" w:space="0" w:color="auto"/>
        <w:bottom w:val="none" w:sz="0" w:space="0" w:color="auto"/>
        <w:right w:val="none" w:sz="0" w:space="0" w:color="auto"/>
      </w:divBdr>
    </w:div>
    <w:div w:id="661852105">
      <w:bodyDiv w:val="1"/>
      <w:marLeft w:val="0"/>
      <w:marRight w:val="0"/>
      <w:marTop w:val="0"/>
      <w:marBottom w:val="0"/>
      <w:divBdr>
        <w:top w:val="none" w:sz="0" w:space="0" w:color="auto"/>
        <w:left w:val="none" w:sz="0" w:space="0" w:color="auto"/>
        <w:bottom w:val="none" w:sz="0" w:space="0" w:color="auto"/>
        <w:right w:val="none" w:sz="0" w:space="0" w:color="auto"/>
      </w:divBdr>
    </w:div>
    <w:div w:id="708339565">
      <w:bodyDiv w:val="1"/>
      <w:marLeft w:val="0"/>
      <w:marRight w:val="0"/>
      <w:marTop w:val="0"/>
      <w:marBottom w:val="0"/>
      <w:divBdr>
        <w:top w:val="none" w:sz="0" w:space="0" w:color="auto"/>
        <w:left w:val="none" w:sz="0" w:space="0" w:color="auto"/>
        <w:bottom w:val="none" w:sz="0" w:space="0" w:color="auto"/>
        <w:right w:val="none" w:sz="0" w:space="0" w:color="auto"/>
      </w:divBdr>
    </w:div>
    <w:div w:id="715660579">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69400256">
      <w:bodyDiv w:val="1"/>
      <w:marLeft w:val="0"/>
      <w:marRight w:val="0"/>
      <w:marTop w:val="0"/>
      <w:marBottom w:val="0"/>
      <w:divBdr>
        <w:top w:val="none" w:sz="0" w:space="0" w:color="auto"/>
        <w:left w:val="none" w:sz="0" w:space="0" w:color="auto"/>
        <w:bottom w:val="none" w:sz="0" w:space="0" w:color="auto"/>
        <w:right w:val="none" w:sz="0" w:space="0" w:color="auto"/>
      </w:divBdr>
    </w:div>
    <w:div w:id="774134313">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83307769">
      <w:bodyDiv w:val="1"/>
      <w:marLeft w:val="0"/>
      <w:marRight w:val="0"/>
      <w:marTop w:val="0"/>
      <w:marBottom w:val="0"/>
      <w:divBdr>
        <w:top w:val="none" w:sz="0" w:space="0" w:color="auto"/>
        <w:left w:val="none" w:sz="0" w:space="0" w:color="auto"/>
        <w:bottom w:val="none" w:sz="0" w:space="0" w:color="auto"/>
        <w:right w:val="none" w:sz="0" w:space="0" w:color="auto"/>
      </w:divBdr>
    </w:div>
    <w:div w:id="790830653">
      <w:bodyDiv w:val="1"/>
      <w:marLeft w:val="0"/>
      <w:marRight w:val="0"/>
      <w:marTop w:val="0"/>
      <w:marBottom w:val="0"/>
      <w:divBdr>
        <w:top w:val="none" w:sz="0" w:space="0" w:color="auto"/>
        <w:left w:val="none" w:sz="0" w:space="0" w:color="auto"/>
        <w:bottom w:val="none" w:sz="0" w:space="0" w:color="auto"/>
        <w:right w:val="none" w:sz="0" w:space="0" w:color="auto"/>
      </w:divBdr>
    </w:div>
    <w:div w:id="806120665">
      <w:bodyDiv w:val="1"/>
      <w:marLeft w:val="0"/>
      <w:marRight w:val="0"/>
      <w:marTop w:val="0"/>
      <w:marBottom w:val="0"/>
      <w:divBdr>
        <w:top w:val="none" w:sz="0" w:space="0" w:color="auto"/>
        <w:left w:val="none" w:sz="0" w:space="0" w:color="auto"/>
        <w:bottom w:val="none" w:sz="0" w:space="0" w:color="auto"/>
        <w:right w:val="none" w:sz="0" w:space="0" w:color="auto"/>
      </w:divBdr>
    </w:div>
    <w:div w:id="828667299">
      <w:bodyDiv w:val="1"/>
      <w:marLeft w:val="0"/>
      <w:marRight w:val="0"/>
      <w:marTop w:val="0"/>
      <w:marBottom w:val="0"/>
      <w:divBdr>
        <w:top w:val="none" w:sz="0" w:space="0" w:color="auto"/>
        <w:left w:val="none" w:sz="0" w:space="0" w:color="auto"/>
        <w:bottom w:val="none" w:sz="0" w:space="0" w:color="auto"/>
        <w:right w:val="none" w:sz="0" w:space="0" w:color="auto"/>
      </w:divBdr>
      <w:divsChild>
        <w:div w:id="167987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25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4160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546521">
              <w:blockQuote w:val="1"/>
              <w:marLeft w:val="720"/>
              <w:marRight w:val="720"/>
              <w:marTop w:val="100"/>
              <w:marBottom w:val="100"/>
              <w:divBdr>
                <w:top w:val="none" w:sz="0" w:space="0" w:color="auto"/>
                <w:left w:val="none" w:sz="0" w:space="0" w:color="auto"/>
                <w:bottom w:val="none" w:sz="0" w:space="0" w:color="auto"/>
                <w:right w:val="none" w:sz="0" w:space="0" w:color="auto"/>
              </w:divBdr>
            </w:div>
            <w:div w:id="665673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80020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51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675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069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79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248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559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06493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927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720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156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372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104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838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698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440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969895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554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505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2766023">
      <w:bodyDiv w:val="1"/>
      <w:marLeft w:val="0"/>
      <w:marRight w:val="0"/>
      <w:marTop w:val="0"/>
      <w:marBottom w:val="0"/>
      <w:divBdr>
        <w:top w:val="none" w:sz="0" w:space="0" w:color="auto"/>
        <w:left w:val="none" w:sz="0" w:space="0" w:color="auto"/>
        <w:bottom w:val="none" w:sz="0" w:space="0" w:color="auto"/>
        <w:right w:val="none" w:sz="0" w:space="0" w:color="auto"/>
      </w:divBdr>
    </w:div>
    <w:div w:id="9253816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04011835">
      <w:bodyDiv w:val="1"/>
      <w:marLeft w:val="0"/>
      <w:marRight w:val="0"/>
      <w:marTop w:val="0"/>
      <w:marBottom w:val="0"/>
      <w:divBdr>
        <w:top w:val="none" w:sz="0" w:space="0" w:color="auto"/>
        <w:left w:val="none" w:sz="0" w:space="0" w:color="auto"/>
        <w:bottom w:val="none" w:sz="0" w:space="0" w:color="auto"/>
        <w:right w:val="none" w:sz="0" w:space="0" w:color="auto"/>
      </w:divBdr>
    </w:div>
    <w:div w:id="1004094741">
      <w:bodyDiv w:val="1"/>
      <w:marLeft w:val="0"/>
      <w:marRight w:val="0"/>
      <w:marTop w:val="0"/>
      <w:marBottom w:val="0"/>
      <w:divBdr>
        <w:top w:val="none" w:sz="0" w:space="0" w:color="auto"/>
        <w:left w:val="none" w:sz="0" w:space="0" w:color="auto"/>
        <w:bottom w:val="none" w:sz="0" w:space="0" w:color="auto"/>
        <w:right w:val="none" w:sz="0" w:space="0" w:color="auto"/>
      </w:divBdr>
    </w:div>
    <w:div w:id="1013414128">
      <w:bodyDiv w:val="1"/>
      <w:marLeft w:val="0"/>
      <w:marRight w:val="0"/>
      <w:marTop w:val="0"/>
      <w:marBottom w:val="0"/>
      <w:divBdr>
        <w:top w:val="none" w:sz="0" w:space="0" w:color="auto"/>
        <w:left w:val="none" w:sz="0" w:space="0" w:color="auto"/>
        <w:bottom w:val="none" w:sz="0" w:space="0" w:color="auto"/>
        <w:right w:val="none" w:sz="0" w:space="0" w:color="auto"/>
      </w:divBdr>
    </w:div>
    <w:div w:id="1029064105">
      <w:bodyDiv w:val="1"/>
      <w:marLeft w:val="0"/>
      <w:marRight w:val="0"/>
      <w:marTop w:val="0"/>
      <w:marBottom w:val="0"/>
      <w:divBdr>
        <w:top w:val="none" w:sz="0" w:space="0" w:color="auto"/>
        <w:left w:val="none" w:sz="0" w:space="0" w:color="auto"/>
        <w:bottom w:val="none" w:sz="0" w:space="0" w:color="auto"/>
        <w:right w:val="none" w:sz="0" w:space="0" w:color="auto"/>
      </w:divBdr>
    </w:div>
    <w:div w:id="1046028911">
      <w:bodyDiv w:val="1"/>
      <w:marLeft w:val="0"/>
      <w:marRight w:val="0"/>
      <w:marTop w:val="0"/>
      <w:marBottom w:val="0"/>
      <w:divBdr>
        <w:top w:val="none" w:sz="0" w:space="0" w:color="auto"/>
        <w:left w:val="none" w:sz="0" w:space="0" w:color="auto"/>
        <w:bottom w:val="none" w:sz="0" w:space="0" w:color="auto"/>
        <w:right w:val="none" w:sz="0" w:space="0" w:color="auto"/>
      </w:divBdr>
    </w:div>
    <w:div w:id="1083530821">
      <w:bodyDiv w:val="1"/>
      <w:marLeft w:val="0"/>
      <w:marRight w:val="0"/>
      <w:marTop w:val="0"/>
      <w:marBottom w:val="0"/>
      <w:divBdr>
        <w:top w:val="none" w:sz="0" w:space="0" w:color="auto"/>
        <w:left w:val="none" w:sz="0" w:space="0" w:color="auto"/>
        <w:bottom w:val="none" w:sz="0" w:space="0" w:color="auto"/>
        <w:right w:val="none" w:sz="0" w:space="0" w:color="auto"/>
      </w:divBdr>
    </w:div>
    <w:div w:id="1101102898">
      <w:bodyDiv w:val="1"/>
      <w:marLeft w:val="0"/>
      <w:marRight w:val="0"/>
      <w:marTop w:val="0"/>
      <w:marBottom w:val="0"/>
      <w:divBdr>
        <w:top w:val="none" w:sz="0" w:space="0" w:color="auto"/>
        <w:left w:val="none" w:sz="0" w:space="0" w:color="auto"/>
        <w:bottom w:val="none" w:sz="0" w:space="0" w:color="auto"/>
        <w:right w:val="none" w:sz="0" w:space="0" w:color="auto"/>
      </w:divBdr>
    </w:div>
    <w:div w:id="1109079908">
      <w:bodyDiv w:val="1"/>
      <w:marLeft w:val="0"/>
      <w:marRight w:val="0"/>
      <w:marTop w:val="0"/>
      <w:marBottom w:val="0"/>
      <w:divBdr>
        <w:top w:val="none" w:sz="0" w:space="0" w:color="auto"/>
        <w:left w:val="none" w:sz="0" w:space="0" w:color="auto"/>
        <w:bottom w:val="none" w:sz="0" w:space="0" w:color="auto"/>
        <w:right w:val="none" w:sz="0" w:space="0" w:color="auto"/>
      </w:divBdr>
    </w:div>
    <w:div w:id="1110390035">
      <w:bodyDiv w:val="1"/>
      <w:marLeft w:val="0"/>
      <w:marRight w:val="0"/>
      <w:marTop w:val="0"/>
      <w:marBottom w:val="0"/>
      <w:divBdr>
        <w:top w:val="none" w:sz="0" w:space="0" w:color="auto"/>
        <w:left w:val="none" w:sz="0" w:space="0" w:color="auto"/>
        <w:bottom w:val="none" w:sz="0" w:space="0" w:color="auto"/>
        <w:right w:val="none" w:sz="0" w:space="0" w:color="auto"/>
      </w:divBdr>
    </w:div>
    <w:div w:id="1126655873">
      <w:bodyDiv w:val="1"/>
      <w:marLeft w:val="0"/>
      <w:marRight w:val="0"/>
      <w:marTop w:val="0"/>
      <w:marBottom w:val="0"/>
      <w:divBdr>
        <w:top w:val="none" w:sz="0" w:space="0" w:color="auto"/>
        <w:left w:val="none" w:sz="0" w:space="0" w:color="auto"/>
        <w:bottom w:val="none" w:sz="0" w:space="0" w:color="auto"/>
        <w:right w:val="none" w:sz="0" w:space="0" w:color="auto"/>
      </w:divBdr>
    </w:div>
    <w:div w:id="1134832496">
      <w:bodyDiv w:val="1"/>
      <w:marLeft w:val="0"/>
      <w:marRight w:val="0"/>
      <w:marTop w:val="0"/>
      <w:marBottom w:val="0"/>
      <w:divBdr>
        <w:top w:val="none" w:sz="0" w:space="0" w:color="auto"/>
        <w:left w:val="none" w:sz="0" w:space="0" w:color="auto"/>
        <w:bottom w:val="none" w:sz="0" w:space="0" w:color="auto"/>
        <w:right w:val="none" w:sz="0" w:space="0" w:color="auto"/>
      </w:divBdr>
    </w:div>
    <w:div w:id="1147287450">
      <w:bodyDiv w:val="1"/>
      <w:marLeft w:val="0"/>
      <w:marRight w:val="0"/>
      <w:marTop w:val="0"/>
      <w:marBottom w:val="0"/>
      <w:divBdr>
        <w:top w:val="none" w:sz="0" w:space="0" w:color="auto"/>
        <w:left w:val="none" w:sz="0" w:space="0" w:color="auto"/>
        <w:bottom w:val="none" w:sz="0" w:space="0" w:color="auto"/>
        <w:right w:val="none" w:sz="0" w:space="0" w:color="auto"/>
      </w:divBdr>
    </w:div>
    <w:div w:id="1165778428">
      <w:bodyDiv w:val="1"/>
      <w:marLeft w:val="0"/>
      <w:marRight w:val="0"/>
      <w:marTop w:val="0"/>
      <w:marBottom w:val="0"/>
      <w:divBdr>
        <w:top w:val="none" w:sz="0" w:space="0" w:color="auto"/>
        <w:left w:val="none" w:sz="0" w:space="0" w:color="auto"/>
        <w:bottom w:val="none" w:sz="0" w:space="0" w:color="auto"/>
        <w:right w:val="none" w:sz="0" w:space="0" w:color="auto"/>
      </w:divBdr>
    </w:div>
    <w:div w:id="1180583177">
      <w:bodyDiv w:val="1"/>
      <w:marLeft w:val="0"/>
      <w:marRight w:val="0"/>
      <w:marTop w:val="0"/>
      <w:marBottom w:val="0"/>
      <w:divBdr>
        <w:top w:val="none" w:sz="0" w:space="0" w:color="auto"/>
        <w:left w:val="none" w:sz="0" w:space="0" w:color="auto"/>
        <w:bottom w:val="none" w:sz="0" w:space="0" w:color="auto"/>
        <w:right w:val="none" w:sz="0" w:space="0" w:color="auto"/>
      </w:divBdr>
    </w:div>
    <w:div w:id="1190296312">
      <w:bodyDiv w:val="1"/>
      <w:marLeft w:val="0"/>
      <w:marRight w:val="0"/>
      <w:marTop w:val="0"/>
      <w:marBottom w:val="0"/>
      <w:divBdr>
        <w:top w:val="none" w:sz="0" w:space="0" w:color="auto"/>
        <w:left w:val="none" w:sz="0" w:space="0" w:color="auto"/>
        <w:bottom w:val="none" w:sz="0" w:space="0" w:color="auto"/>
        <w:right w:val="none" w:sz="0" w:space="0" w:color="auto"/>
      </w:divBdr>
    </w:div>
    <w:div w:id="1196309039">
      <w:bodyDiv w:val="1"/>
      <w:marLeft w:val="0"/>
      <w:marRight w:val="0"/>
      <w:marTop w:val="0"/>
      <w:marBottom w:val="0"/>
      <w:divBdr>
        <w:top w:val="none" w:sz="0" w:space="0" w:color="auto"/>
        <w:left w:val="none" w:sz="0" w:space="0" w:color="auto"/>
        <w:bottom w:val="none" w:sz="0" w:space="0" w:color="auto"/>
        <w:right w:val="none" w:sz="0" w:space="0" w:color="auto"/>
      </w:divBdr>
      <w:divsChild>
        <w:div w:id="790634643">
          <w:marLeft w:val="0"/>
          <w:marRight w:val="0"/>
          <w:marTop w:val="0"/>
          <w:marBottom w:val="0"/>
          <w:divBdr>
            <w:top w:val="none" w:sz="0" w:space="0" w:color="auto"/>
            <w:left w:val="none" w:sz="0" w:space="0" w:color="auto"/>
            <w:bottom w:val="none" w:sz="0" w:space="0" w:color="auto"/>
            <w:right w:val="none" w:sz="0" w:space="0" w:color="auto"/>
          </w:divBdr>
        </w:div>
      </w:divsChild>
    </w:div>
    <w:div w:id="1199856273">
      <w:bodyDiv w:val="1"/>
      <w:marLeft w:val="0"/>
      <w:marRight w:val="0"/>
      <w:marTop w:val="0"/>
      <w:marBottom w:val="0"/>
      <w:divBdr>
        <w:top w:val="none" w:sz="0" w:space="0" w:color="auto"/>
        <w:left w:val="none" w:sz="0" w:space="0" w:color="auto"/>
        <w:bottom w:val="none" w:sz="0" w:space="0" w:color="auto"/>
        <w:right w:val="none" w:sz="0" w:space="0" w:color="auto"/>
      </w:divBdr>
    </w:div>
    <w:div w:id="1230920683">
      <w:bodyDiv w:val="1"/>
      <w:marLeft w:val="0"/>
      <w:marRight w:val="0"/>
      <w:marTop w:val="0"/>
      <w:marBottom w:val="0"/>
      <w:divBdr>
        <w:top w:val="none" w:sz="0" w:space="0" w:color="auto"/>
        <w:left w:val="none" w:sz="0" w:space="0" w:color="auto"/>
        <w:bottom w:val="none" w:sz="0" w:space="0" w:color="auto"/>
        <w:right w:val="none" w:sz="0" w:space="0" w:color="auto"/>
      </w:divBdr>
    </w:div>
    <w:div w:id="1246187632">
      <w:bodyDiv w:val="1"/>
      <w:marLeft w:val="0"/>
      <w:marRight w:val="0"/>
      <w:marTop w:val="0"/>
      <w:marBottom w:val="0"/>
      <w:divBdr>
        <w:top w:val="none" w:sz="0" w:space="0" w:color="auto"/>
        <w:left w:val="none" w:sz="0" w:space="0" w:color="auto"/>
        <w:bottom w:val="none" w:sz="0" w:space="0" w:color="auto"/>
        <w:right w:val="none" w:sz="0" w:space="0" w:color="auto"/>
      </w:divBdr>
    </w:div>
    <w:div w:id="1265766190">
      <w:bodyDiv w:val="1"/>
      <w:marLeft w:val="0"/>
      <w:marRight w:val="0"/>
      <w:marTop w:val="0"/>
      <w:marBottom w:val="0"/>
      <w:divBdr>
        <w:top w:val="none" w:sz="0" w:space="0" w:color="auto"/>
        <w:left w:val="none" w:sz="0" w:space="0" w:color="auto"/>
        <w:bottom w:val="none" w:sz="0" w:space="0" w:color="auto"/>
        <w:right w:val="none" w:sz="0" w:space="0" w:color="auto"/>
      </w:divBdr>
      <w:divsChild>
        <w:div w:id="34043223">
          <w:marLeft w:val="0"/>
          <w:marRight w:val="0"/>
          <w:marTop w:val="0"/>
          <w:marBottom w:val="0"/>
          <w:divBdr>
            <w:top w:val="none" w:sz="0" w:space="0" w:color="auto"/>
            <w:left w:val="none" w:sz="0" w:space="0" w:color="auto"/>
            <w:bottom w:val="none" w:sz="0" w:space="0" w:color="auto"/>
            <w:right w:val="none" w:sz="0" w:space="0" w:color="auto"/>
          </w:divBdr>
        </w:div>
        <w:div w:id="845167479">
          <w:marLeft w:val="0"/>
          <w:marRight w:val="0"/>
          <w:marTop w:val="0"/>
          <w:marBottom w:val="0"/>
          <w:divBdr>
            <w:top w:val="none" w:sz="0" w:space="0" w:color="auto"/>
            <w:left w:val="none" w:sz="0" w:space="0" w:color="auto"/>
            <w:bottom w:val="none" w:sz="0" w:space="0" w:color="auto"/>
            <w:right w:val="none" w:sz="0" w:space="0" w:color="auto"/>
          </w:divBdr>
        </w:div>
        <w:div w:id="1553540409">
          <w:marLeft w:val="0"/>
          <w:marRight w:val="0"/>
          <w:marTop w:val="0"/>
          <w:marBottom w:val="0"/>
          <w:divBdr>
            <w:top w:val="none" w:sz="0" w:space="0" w:color="auto"/>
            <w:left w:val="none" w:sz="0" w:space="0" w:color="auto"/>
            <w:bottom w:val="none" w:sz="0" w:space="0" w:color="auto"/>
            <w:right w:val="none" w:sz="0" w:space="0" w:color="auto"/>
          </w:divBdr>
        </w:div>
      </w:divsChild>
    </w:div>
    <w:div w:id="1284191520">
      <w:bodyDiv w:val="1"/>
      <w:marLeft w:val="0"/>
      <w:marRight w:val="0"/>
      <w:marTop w:val="0"/>
      <w:marBottom w:val="0"/>
      <w:divBdr>
        <w:top w:val="none" w:sz="0" w:space="0" w:color="auto"/>
        <w:left w:val="none" w:sz="0" w:space="0" w:color="auto"/>
        <w:bottom w:val="none" w:sz="0" w:space="0" w:color="auto"/>
        <w:right w:val="none" w:sz="0" w:space="0" w:color="auto"/>
      </w:divBdr>
      <w:divsChild>
        <w:div w:id="40884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402030">
              <w:blockQuote w:val="1"/>
              <w:marLeft w:val="720"/>
              <w:marRight w:val="720"/>
              <w:marTop w:val="100"/>
              <w:marBottom w:val="100"/>
              <w:divBdr>
                <w:top w:val="none" w:sz="0" w:space="0" w:color="auto"/>
                <w:left w:val="none" w:sz="0" w:space="0" w:color="auto"/>
                <w:bottom w:val="none" w:sz="0" w:space="0" w:color="auto"/>
                <w:right w:val="none" w:sz="0" w:space="0" w:color="auto"/>
              </w:divBdr>
            </w:div>
            <w:div w:id="358362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214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68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249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5462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14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243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98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65435">
                  <w:blockQuote w:val="1"/>
                  <w:marLeft w:val="720"/>
                  <w:marRight w:val="720"/>
                  <w:marTop w:val="100"/>
                  <w:marBottom w:val="100"/>
                  <w:divBdr>
                    <w:top w:val="none" w:sz="0" w:space="0" w:color="auto"/>
                    <w:left w:val="none" w:sz="0" w:space="0" w:color="auto"/>
                    <w:bottom w:val="none" w:sz="0" w:space="0" w:color="auto"/>
                    <w:right w:val="none" w:sz="0" w:space="0" w:color="auto"/>
                  </w:divBdr>
                </w:div>
                <w:div w:id="384067706">
                  <w:blockQuote w:val="1"/>
                  <w:marLeft w:val="720"/>
                  <w:marRight w:val="720"/>
                  <w:marTop w:val="100"/>
                  <w:marBottom w:val="100"/>
                  <w:divBdr>
                    <w:top w:val="none" w:sz="0" w:space="0" w:color="auto"/>
                    <w:left w:val="none" w:sz="0" w:space="0" w:color="auto"/>
                    <w:bottom w:val="none" w:sz="0" w:space="0" w:color="auto"/>
                    <w:right w:val="none" w:sz="0" w:space="0" w:color="auto"/>
                  </w:divBdr>
                </w:div>
                <w:div w:id="886641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6679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535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823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080578">
      <w:bodyDiv w:val="1"/>
      <w:marLeft w:val="0"/>
      <w:marRight w:val="0"/>
      <w:marTop w:val="0"/>
      <w:marBottom w:val="0"/>
      <w:divBdr>
        <w:top w:val="none" w:sz="0" w:space="0" w:color="auto"/>
        <w:left w:val="none" w:sz="0" w:space="0" w:color="auto"/>
        <w:bottom w:val="none" w:sz="0" w:space="0" w:color="auto"/>
        <w:right w:val="none" w:sz="0" w:space="0" w:color="auto"/>
      </w:divBdr>
    </w:div>
    <w:div w:id="1301419511">
      <w:bodyDiv w:val="1"/>
      <w:marLeft w:val="0"/>
      <w:marRight w:val="0"/>
      <w:marTop w:val="0"/>
      <w:marBottom w:val="0"/>
      <w:divBdr>
        <w:top w:val="none" w:sz="0" w:space="0" w:color="auto"/>
        <w:left w:val="none" w:sz="0" w:space="0" w:color="auto"/>
        <w:bottom w:val="none" w:sz="0" w:space="0" w:color="auto"/>
        <w:right w:val="none" w:sz="0" w:space="0" w:color="auto"/>
      </w:divBdr>
    </w:div>
    <w:div w:id="1345204052">
      <w:bodyDiv w:val="1"/>
      <w:marLeft w:val="0"/>
      <w:marRight w:val="0"/>
      <w:marTop w:val="0"/>
      <w:marBottom w:val="0"/>
      <w:divBdr>
        <w:top w:val="none" w:sz="0" w:space="0" w:color="auto"/>
        <w:left w:val="none" w:sz="0" w:space="0" w:color="auto"/>
        <w:bottom w:val="none" w:sz="0" w:space="0" w:color="auto"/>
        <w:right w:val="none" w:sz="0" w:space="0" w:color="auto"/>
      </w:divBdr>
    </w:div>
    <w:div w:id="1414547781">
      <w:bodyDiv w:val="1"/>
      <w:marLeft w:val="0"/>
      <w:marRight w:val="0"/>
      <w:marTop w:val="0"/>
      <w:marBottom w:val="0"/>
      <w:divBdr>
        <w:top w:val="none" w:sz="0" w:space="0" w:color="auto"/>
        <w:left w:val="none" w:sz="0" w:space="0" w:color="auto"/>
        <w:bottom w:val="none" w:sz="0" w:space="0" w:color="auto"/>
        <w:right w:val="none" w:sz="0" w:space="0" w:color="auto"/>
      </w:divBdr>
    </w:div>
    <w:div w:id="1418795296">
      <w:bodyDiv w:val="1"/>
      <w:marLeft w:val="0"/>
      <w:marRight w:val="0"/>
      <w:marTop w:val="0"/>
      <w:marBottom w:val="0"/>
      <w:divBdr>
        <w:top w:val="none" w:sz="0" w:space="0" w:color="auto"/>
        <w:left w:val="none" w:sz="0" w:space="0" w:color="auto"/>
        <w:bottom w:val="none" w:sz="0" w:space="0" w:color="auto"/>
        <w:right w:val="none" w:sz="0" w:space="0" w:color="auto"/>
      </w:divBdr>
    </w:div>
    <w:div w:id="1423647541">
      <w:bodyDiv w:val="1"/>
      <w:marLeft w:val="0"/>
      <w:marRight w:val="0"/>
      <w:marTop w:val="0"/>
      <w:marBottom w:val="0"/>
      <w:divBdr>
        <w:top w:val="none" w:sz="0" w:space="0" w:color="auto"/>
        <w:left w:val="none" w:sz="0" w:space="0" w:color="auto"/>
        <w:bottom w:val="none" w:sz="0" w:space="0" w:color="auto"/>
        <w:right w:val="none" w:sz="0" w:space="0" w:color="auto"/>
      </w:divBdr>
    </w:div>
    <w:div w:id="1479228015">
      <w:bodyDiv w:val="1"/>
      <w:marLeft w:val="0"/>
      <w:marRight w:val="0"/>
      <w:marTop w:val="0"/>
      <w:marBottom w:val="0"/>
      <w:divBdr>
        <w:top w:val="none" w:sz="0" w:space="0" w:color="auto"/>
        <w:left w:val="none" w:sz="0" w:space="0" w:color="auto"/>
        <w:bottom w:val="none" w:sz="0" w:space="0" w:color="auto"/>
        <w:right w:val="none" w:sz="0" w:space="0" w:color="auto"/>
      </w:divBdr>
    </w:div>
    <w:div w:id="1578711301">
      <w:bodyDiv w:val="1"/>
      <w:marLeft w:val="0"/>
      <w:marRight w:val="0"/>
      <w:marTop w:val="0"/>
      <w:marBottom w:val="0"/>
      <w:divBdr>
        <w:top w:val="none" w:sz="0" w:space="0" w:color="auto"/>
        <w:left w:val="none" w:sz="0" w:space="0" w:color="auto"/>
        <w:bottom w:val="none" w:sz="0" w:space="0" w:color="auto"/>
        <w:right w:val="none" w:sz="0" w:space="0" w:color="auto"/>
      </w:divBdr>
    </w:div>
    <w:div w:id="1602642241">
      <w:bodyDiv w:val="1"/>
      <w:marLeft w:val="0"/>
      <w:marRight w:val="0"/>
      <w:marTop w:val="0"/>
      <w:marBottom w:val="0"/>
      <w:divBdr>
        <w:top w:val="none" w:sz="0" w:space="0" w:color="auto"/>
        <w:left w:val="none" w:sz="0" w:space="0" w:color="auto"/>
        <w:bottom w:val="none" w:sz="0" w:space="0" w:color="auto"/>
        <w:right w:val="none" w:sz="0" w:space="0" w:color="auto"/>
      </w:divBdr>
    </w:div>
    <w:div w:id="1655641230">
      <w:bodyDiv w:val="1"/>
      <w:marLeft w:val="0"/>
      <w:marRight w:val="0"/>
      <w:marTop w:val="0"/>
      <w:marBottom w:val="0"/>
      <w:divBdr>
        <w:top w:val="none" w:sz="0" w:space="0" w:color="auto"/>
        <w:left w:val="none" w:sz="0" w:space="0" w:color="auto"/>
        <w:bottom w:val="none" w:sz="0" w:space="0" w:color="auto"/>
        <w:right w:val="none" w:sz="0" w:space="0" w:color="auto"/>
      </w:divBdr>
    </w:div>
    <w:div w:id="1661159637">
      <w:bodyDiv w:val="1"/>
      <w:marLeft w:val="0"/>
      <w:marRight w:val="0"/>
      <w:marTop w:val="0"/>
      <w:marBottom w:val="0"/>
      <w:divBdr>
        <w:top w:val="none" w:sz="0" w:space="0" w:color="auto"/>
        <w:left w:val="none" w:sz="0" w:space="0" w:color="auto"/>
        <w:bottom w:val="none" w:sz="0" w:space="0" w:color="auto"/>
        <w:right w:val="none" w:sz="0" w:space="0" w:color="auto"/>
      </w:divBdr>
    </w:div>
    <w:div w:id="1686589612">
      <w:bodyDiv w:val="1"/>
      <w:marLeft w:val="0"/>
      <w:marRight w:val="0"/>
      <w:marTop w:val="0"/>
      <w:marBottom w:val="0"/>
      <w:divBdr>
        <w:top w:val="none" w:sz="0" w:space="0" w:color="auto"/>
        <w:left w:val="none" w:sz="0" w:space="0" w:color="auto"/>
        <w:bottom w:val="none" w:sz="0" w:space="0" w:color="auto"/>
        <w:right w:val="none" w:sz="0" w:space="0" w:color="auto"/>
      </w:divBdr>
    </w:div>
    <w:div w:id="1753158291">
      <w:bodyDiv w:val="1"/>
      <w:marLeft w:val="0"/>
      <w:marRight w:val="0"/>
      <w:marTop w:val="0"/>
      <w:marBottom w:val="0"/>
      <w:divBdr>
        <w:top w:val="none" w:sz="0" w:space="0" w:color="auto"/>
        <w:left w:val="none" w:sz="0" w:space="0" w:color="auto"/>
        <w:bottom w:val="none" w:sz="0" w:space="0" w:color="auto"/>
        <w:right w:val="none" w:sz="0" w:space="0" w:color="auto"/>
      </w:divBdr>
    </w:div>
    <w:div w:id="1774519652">
      <w:bodyDiv w:val="1"/>
      <w:marLeft w:val="0"/>
      <w:marRight w:val="0"/>
      <w:marTop w:val="0"/>
      <w:marBottom w:val="0"/>
      <w:divBdr>
        <w:top w:val="none" w:sz="0" w:space="0" w:color="auto"/>
        <w:left w:val="none" w:sz="0" w:space="0" w:color="auto"/>
        <w:bottom w:val="none" w:sz="0" w:space="0" w:color="auto"/>
        <w:right w:val="none" w:sz="0" w:space="0" w:color="auto"/>
      </w:divBdr>
    </w:div>
    <w:div w:id="1832795887">
      <w:bodyDiv w:val="1"/>
      <w:marLeft w:val="0"/>
      <w:marRight w:val="0"/>
      <w:marTop w:val="0"/>
      <w:marBottom w:val="0"/>
      <w:divBdr>
        <w:top w:val="none" w:sz="0" w:space="0" w:color="auto"/>
        <w:left w:val="none" w:sz="0" w:space="0" w:color="auto"/>
        <w:bottom w:val="none" w:sz="0" w:space="0" w:color="auto"/>
        <w:right w:val="none" w:sz="0" w:space="0" w:color="auto"/>
      </w:divBdr>
    </w:div>
    <w:div w:id="1836073310">
      <w:bodyDiv w:val="1"/>
      <w:marLeft w:val="0"/>
      <w:marRight w:val="0"/>
      <w:marTop w:val="0"/>
      <w:marBottom w:val="0"/>
      <w:divBdr>
        <w:top w:val="none" w:sz="0" w:space="0" w:color="auto"/>
        <w:left w:val="none" w:sz="0" w:space="0" w:color="auto"/>
        <w:bottom w:val="none" w:sz="0" w:space="0" w:color="auto"/>
        <w:right w:val="none" w:sz="0" w:space="0" w:color="auto"/>
      </w:divBdr>
    </w:div>
    <w:div w:id="1843396953">
      <w:bodyDiv w:val="1"/>
      <w:marLeft w:val="0"/>
      <w:marRight w:val="0"/>
      <w:marTop w:val="0"/>
      <w:marBottom w:val="0"/>
      <w:divBdr>
        <w:top w:val="none" w:sz="0" w:space="0" w:color="auto"/>
        <w:left w:val="none" w:sz="0" w:space="0" w:color="auto"/>
        <w:bottom w:val="none" w:sz="0" w:space="0" w:color="auto"/>
        <w:right w:val="none" w:sz="0" w:space="0" w:color="auto"/>
      </w:divBdr>
    </w:div>
    <w:div w:id="1865824653">
      <w:bodyDiv w:val="1"/>
      <w:marLeft w:val="0"/>
      <w:marRight w:val="0"/>
      <w:marTop w:val="0"/>
      <w:marBottom w:val="0"/>
      <w:divBdr>
        <w:top w:val="none" w:sz="0" w:space="0" w:color="auto"/>
        <w:left w:val="none" w:sz="0" w:space="0" w:color="auto"/>
        <w:bottom w:val="none" w:sz="0" w:space="0" w:color="auto"/>
        <w:right w:val="none" w:sz="0" w:space="0" w:color="auto"/>
      </w:divBdr>
    </w:div>
    <w:div w:id="1878008803">
      <w:bodyDiv w:val="1"/>
      <w:marLeft w:val="0"/>
      <w:marRight w:val="0"/>
      <w:marTop w:val="0"/>
      <w:marBottom w:val="0"/>
      <w:divBdr>
        <w:top w:val="none" w:sz="0" w:space="0" w:color="auto"/>
        <w:left w:val="none" w:sz="0" w:space="0" w:color="auto"/>
        <w:bottom w:val="none" w:sz="0" w:space="0" w:color="auto"/>
        <w:right w:val="none" w:sz="0" w:space="0" w:color="auto"/>
      </w:divBdr>
    </w:div>
    <w:div w:id="1879076106">
      <w:bodyDiv w:val="1"/>
      <w:marLeft w:val="0"/>
      <w:marRight w:val="0"/>
      <w:marTop w:val="0"/>
      <w:marBottom w:val="0"/>
      <w:divBdr>
        <w:top w:val="none" w:sz="0" w:space="0" w:color="auto"/>
        <w:left w:val="none" w:sz="0" w:space="0" w:color="auto"/>
        <w:bottom w:val="none" w:sz="0" w:space="0" w:color="auto"/>
        <w:right w:val="none" w:sz="0" w:space="0" w:color="auto"/>
      </w:divBdr>
    </w:div>
    <w:div w:id="1885410638">
      <w:bodyDiv w:val="1"/>
      <w:marLeft w:val="0"/>
      <w:marRight w:val="0"/>
      <w:marTop w:val="0"/>
      <w:marBottom w:val="0"/>
      <w:divBdr>
        <w:top w:val="none" w:sz="0" w:space="0" w:color="auto"/>
        <w:left w:val="none" w:sz="0" w:space="0" w:color="auto"/>
        <w:bottom w:val="none" w:sz="0" w:space="0" w:color="auto"/>
        <w:right w:val="none" w:sz="0" w:space="0" w:color="auto"/>
      </w:divBdr>
    </w:div>
    <w:div w:id="1891727848">
      <w:bodyDiv w:val="1"/>
      <w:marLeft w:val="0"/>
      <w:marRight w:val="0"/>
      <w:marTop w:val="0"/>
      <w:marBottom w:val="0"/>
      <w:divBdr>
        <w:top w:val="none" w:sz="0" w:space="0" w:color="auto"/>
        <w:left w:val="none" w:sz="0" w:space="0" w:color="auto"/>
        <w:bottom w:val="none" w:sz="0" w:space="0" w:color="auto"/>
        <w:right w:val="none" w:sz="0" w:space="0" w:color="auto"/>
      </w:divBdr>
    </w:div>
    <w:div w:id="1936010117">
      <w:bodyDiv w:val="1"/>
      <w:marLeft w:val="0"/>
      <w:marRight w:val="0"/>
      <w:marTop w:val="0"/>
      <w:marBottom w:val="0"/>
      <w:divBdr>
        <w:top w:val="none" w:sz="0" w:space="0" w:color="auto"/>
        <w:left w:val="none" w:sz="0" w:space="0" w:color="auto"/>
        <w:bottom w:val="none" w:sz="0" w:space="0" w:color="auto"/>
        <w:right w:val="none" w:sz="0" w:space="0" w:color="auto"/>
      </w:divBdr>
    </w:div>
    <w:div w:id="1991905359">
      <w:bodyDiv w:val="1"/>
      <w:marLeft w:val="0"/>
      <w:marRight w:val="0"/>
      <w:marTop w:val="0"/>
      <w:marBottom w:val="0"/>
      <w:divBdr>
        <w:top w:val="none" w:sz="0" w:space="0" w:color="auto"/>
        <w:left w:val="none" w:sz="0" w:space="0" w:color="auto"/>
        <w:bottom w:val="none" w:sz="0" w:space="0" w:color="auto"/>
        <w:right w:val="none" w:sz="0" w:space="0" w:color="auto"/>
      </w:divBdr>
    </w:div>
    <w:div w:id="2026053173">
      <w:bodyDiv w:val="1"/>
      <w:marLeft w:val="0"/>
      <w:marRight w:val="0"/>
      <w:marTop w:val="0"/>
      <w:marBottom w:val="0"/>
      <w:divBdr>
        <w:top w:val="none" w:sz="0" w:space="0" w:color="auto"/>
        <w:left w:val="none" w:sz="0" w:space="0" w:color="auto"/>
        <w:bottom w:val="none" w:sz="0" w:space="0" w:color="auto"/>
        <w:right w:val="none" w:sz="0" w:space="0" w:color="auto"/>
      </w:divBdr>
    </w:div>
    <w:div w:id="2086145627">
      <w:bodyDiv w:val="1"/>
      <w:marLeft w:val="0"/>
      <w:marRight w:val="0"/>
      <w:marTop w:val="0"/>
      <w:marBottom w:val="0"/>
      <w:divBdr>
        <w:top w:val="none" w:sz="0" w:space="0" w:color="auto"/>
        <w:left w:val="none" w:sz="0" w:space="0" w:color="auto"/>
        <w:bottom w:val="none" w:sz="0" w:space="0" w:color="auto"/>
        <w:right w:val="none" w:sz="0" w:space="0" w:color="auto"/>
      </w:divBdr>
    </w:div>
    <w:div w:id="2088646889">
      <w:bodyDiv w:val="1"/>
      <w:marLeft w:val="0"/>
      <w:marRight w:val="0"/>
      <w:marTop w:val="0"/>
      <w:marBottom w:val="0"/>
      <w:divBdr>
        <w:top w:val="none" w:sz="0" w:space="0" w:color="auto"/>
        <w:left w:val="none" w:sz="0" w:space="0" w:color="auto"/>
        <w:bottom w:val="none" w:sz="0" w:space="0" w:color="auto"/>
        <w:right w:val="none" w:sz="0" w:space="0" w:color="auto"/>
      </w:divBdr>
    </w:div>
    <w:div w:id="210980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communications@humanrights.gov.au"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humanrights.gov.au/human-rights-act-for-australia"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theguardian.com/australia-news/2021/sep/17/human-rights-commission-says-national-cabinet-should-not-be-covered-by-secrecy-laws" TargetMode="External"/><Relationship Id="rId13" Type="http://schemas.openxmlformats.org/officeDocument/2006/relationships/hyperlink" Target="https://www.hrw.org/news/2021/08/19/australia-protect-risk-communities-covid-19" TargetMode="External"/><Relationship Id="rId18" Type="http://schemas.openxmlformats.org/officeDocument/2006/relationships/hyperlink" Target="https://www.hrw.org/news/2021/09/01/australia-prisoners-denied-vaccine-access" TargetMode="External"/><Relationship Id="rId3" Type="http://schemas.openxmlformats.org/officeDocument/2006/relationships/hyperlink" Target="https://humanrights.gov.au/our-work/rights-and-freedoms/publications/discussion-paper-model-positive-human-rights-reform-2019" TargetMode="External"/><Relationship Id="rId21" Type="http://schemas.openxmlformats.org/officeDocument/2006/relationships/hyperlink" Target="https://www.theguardian.com/australia-news/2022/jan/13/rampant-nearly-70-people-have-covid-at-sydneys-villawood-detention-centre-sources-say" TargetMode="External"/><Relationship Id="rId7" Type="http://schemas.openxmlformats.org/officeDocument/2006/relationships/hyperlink" Target="https://theconversation.com/covid-19-risk-and-rights-the-wicked-balancing-act-for-governments-146014" TargetMode="External"/><Relationship Id="rId12" Type="http://schemas.openxmlformats.org/officeDocument/2006/relationships/hyperlink" Target="https://apo.org.au/node/311761" TargetMode="External"/><Relationship Id="rId17" Type="http://schemas.openxmlformats.org/officeDocument/2006/relationships/hyperlink" Target="https://www.hrw.org/news/2021/08/19/australia-protect-risk-communities-covid-19" TargetMode="External"/><Relationship Id="rId25" Type="http://schemas.openxmlformats.org/officeDocument/2006/relationships/hyperlink" Target="https://www.hrlc.org.au/reports/2022/6/2/charters-of-human-rights-make-our-lives-better" TargetMode="External"/><Relationship Id="rId2" Type="http://schemas.openxmlformats.org/officeDocument/2006/relationships/hyperlink" Target="https://humanrights.gov.au/our-work/rights-and-freedoms/publications/discussion-paper-priorities-federal-discrimination-law" TargetMode="External"/><Relationship Id="rId16" Type="http://schemas.openxmlformats.org/officeDocument/2006/relationships/hyperlink" Target="https://humanrights.gov.au/our-work/childrens-rights/publications/impacts-covid-19-children-and-young-people-who-contact-kids" TargetMode="External"/><Relationship Id="rId20" Type="http://schemas.openxmlformats.org/officeDocument/2006/relationships/hyperlink" Target="https://humanrights.gov.au/our-work/asylum-seekers-and-refugees/publications/management-covid-19-risks-immigration-detention" TargetMode="External"/><Relationship Id="rId1" Type="http://schemas.openxmlformats.org/officeDocument/2006/relationships/hyperlink" Target="https://humanrights.gov.au/sites/default/files/document/publication/ahrc_free_equal_issues_paper_2019_final.pdf" TargetMode="External"/><Relationship Id="rId6" Type="http://schemas.openxmlformats.org/officeDocument/2006/relationships/hyperlink" Target="https://www.amnesty.org.au/australias-human-rights-barometer-overwhelming-support-for-a-human-rights-act/" TargetMode="External"/><Relationship Id="rId11" Type="http://schemas.openxmlformats.org/officeDocument/2006/relationships/hyperlink" Target="https://www.health.gov.au/initiatives-and-programs/covid-19-vaccines/numbers-statistics" TargetMode="External"/><Relationship Id="rId24" Type="http://schemas.openxmlformats.org/officeDocument/2006/relationships/hyperlink" Target="https://www.hrlc.org.au/reports/2022/6/2/charters-of-human-rights-make-our-lives-better" TargetMode="External"/><Relationship Id="rId5" Type="http://schemas.openxmlformats.org/officeDocument/2006/relationships/hyperlink" Target="https://humanrights.gov.au/free-and-equal-conference" TargetMode="External"/><Relationship Id="rId15" Type="http://schemas.openxmlformats.org/officeDocument/2006/relationships/hyperlink" Target="https://www.unicef.org.au/about-us/media/october-2021/call-for-national-plan-as-children-tell-of-lockdow" TargetMode="External"/><Relationship Id="rId23" Type="http://schemas.openxmlformats.org/officeDocument/2006/relationships/hyperlink" Target="https://www.bihr.org.uk/Handlers/Download.ashx?IDMF=6efd6aef-3bc3-4c75-867c-d744ede5d0c9" TargetMode="External"/><Relationship Id="rId10" Type="http://schemas.openxmlformats.org/officeDocument/2006/relationships/hyperlink" Target="https://www.theguardian.com/australia-news/2021/may/05/un-raises-serious-human-rights-concerns-over-australia-india-travel-ban" TargetMode="External"/><Relationship Id="rId19" Type="http://schemas.openxmlformats.org/officeDocument/2006/relationships/hyperlink" Target="https://www.thesaturdaypaper.com.au/news/politics/2021/06/12/delays-vaccinating-prisoners/162342000011860" TargetMode="External"/><Relationship Id="rId4" Type="http://schemas.openxmlformats.org/officeDocument/2006/relationships/hyperlink" Target="https://humanrights.gov.au/sites/default/files/19.10.14_discussion_paper-ensuring_effective_national_accountability_final.pdf" TargetMode="External"/><Relationship Id="rId9" Type="http://schemas.openxmlformats.org/officeDocument/2006/relationships/hyperlink" Target="https://www.theguardian.com/business/2021/sep/21/more-than-45000-australians-stranded-overseas-registered-for-government-help" TargetMode="External"/><Relationship Id="rId14" Type="http://schemas.openxmlformats.org/officeDocument/2006/relationships/hyperlink" Target="https://www.anu.edu.au/news/all-news/pm-urged-to-address-low-indigenous-vaccination-rates" TargetMode="External"/><Relationship Id="rId22" Type="http://schemas.openxmlformats.org/officeDocument/2006/relationships/hyperlink" Target="https://disability.royalcommission.gov.au/publications/statement-concern-response-covid-19-pandemic-people-disability" TargetMode="External"/></Relationships>
</file>

<file path=word/theme/theme1.xml><?xml version="1.0" encoding="utf-8"?>
<a:theme xmlns:a="http://schemas.openxmlformats.org/drawingml/2006/main" name="Office Theme">
  <a:themeElements>
    <a:clrScheme name="FREE+EQUAL">
      <a:dk1>
        <a:srgbClr val="000000"/>
      </a:dk1>
      <a:lt1>
        <a:srgbClr val="FFFFFF"/>
      </a:lt1>
      <a:dk2>
        <a:srgbClr val="6D6E71"/>
      </a:dk2>
      <a:lt2>
        <a:srgbClr val="E7E6E6"/>
      </a:lt2>
      <a:accent1>
        <a:srgbClr val="1575BB"/>
      </a:accent1>
      <a:accent2>
        <a:srgbClr val="18385F"/>
      </a:accent2>
      <a:accent3>
        <a:srgbClr val="C23626"/>
      </a:accent3>
      <a:accent4>
        <a:srgbClr val="F39628"/>
      </a:accent4>
      <a:accent5>
        <a:srgbClr val="0D753C"/>
      </a:accent5>
      <a:accent6>
        <a:srgbClr val="EFF1EE"/>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_dlc_DocId xmlns="6500fe01-343b-4fb9-a1b0-68ac19d62e01">DGE6U7RJ2EFV-629234926-13239</_dlc_DocId>
    <_dlc_DocIdUrl xmlns="6500fe01-343b-4fb9-a1b0-68ac19d62e01">
      <Url>https://australianhrc.sharepoint.com/sites/CommunicationUnitWorkspace/_layouts/15/DocIdRedir.aspx?ID=DGE6U7RJ2EFV-629234926-13239</Url>
      <Description>DGE6U7RJ2EFV-629234926-13239</Description>
    </_dlc_DocIdUrl>
    <To xmlns="57f1fb52-79b9-4278-9d54-1e5db41bfcda" xsi:nil="true"/>
    <Subdivider xmlns="57f1fb52-79b9-4278-9d54-1e5db41bfcda" xsi:nil="true"/>
    <From1 xmlns="57f1fb52-79b9-4278-9d54-1e5db41bfcda" xsi:nil="true"/>
    <Received_x002f_Sent xmlns="57f1fb52-79b9-4278-9d54-1e5db41bfcda" xsi:nil="true"/>
    <lcf76f155ced4ddcb4097134ff3c332f xmlns="07e8943b-c6c0-47c8-be15-2569035a7570">
      <Terms xmlns="http://schemas.microsoft.com/office/infopath/2007/PartnerControls"/>
    </lcf76f155ced4ddcb4097134ff3c332f>
    <ga702ca7702740309f20bd7d02b0bd65 xmlns="57f1fb52-79b9-4278-9d54-1e5db41bfcda">
      <Terms xmlns="http://schemas.microsoft.com/office/infopath/2007/PartnerControls"/>
    </ga702ca7702740309f20bd7d02b0bd65>
    <Open_x0020_in_x0020_Outlook xmlns="57f1fb52-79b9-4278-9d54-1e5db41bfcda"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291CB3DC0510DB4883CE0B434ECA7EF7" ma:contentTypeVersion="44" ma:contentTypeDescription="Create a new document." ma:contentTypeScope="" ma:versionID="2d448e82433790096ff51221d0160857">
  <xsd:schema xmlns:xsd="http://www.w3.org/2001/XMLSchema" xmlns:xs="http://www.w3.org/2001/XMLSchema" xmlns:p="http://schemas.microsoft.com/office/2006/metadata/properties" xmlns:ns2="6500fe01-343b-4fb9-a1b0-68ac19d62e01" xmlns:ns3="57f1fb52-79b9-4278-9d54-1e5db41bfcda" xmlns:ns4="07e8943b-c6c0-47c8-be15-2569035a7570" targetNamespace="http://schemas.microsoft.com/office/2006/metadata/properties" ma:root="true" ma:fieldsID="77e9e7bf8cd2c755991972b67d8c8034" ns2:_="" ns3:_="" ns4:_="">
    <xsd:import namespace="6500fe01-343b-4fb9-a1b0-68ac19d62e01"/>
    <xsd:import namespace="57f1fb52-79b9-4278-9d54-1e5db41bfcda"/>
    <xsd:import namespace="07e8943b-c6c0-47c8-be15-2569035a757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ga702ca7702740309f20bd7d02b0bd65" minOccurs="0"/>
                <xsd:element ref="ns3:From1" minOccurs="0"/>
                <xsd:element ref="ns3:Open_x0020_in_x0020_Outlook" minOccurs="0"/>
                <xsd:element ref="ns3:To" minOccurs="0"/>
                <xsd:element ref="ns3:Received_x002f_Sent"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3:SharedWithUsers" minOccurs="0"/>
                <xsd:element ref="ns3: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d03f036-f9f3-4a7d-a108-1a743eefc3e7}"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d03f036-f9f3-4a7d-a108-1a743eefc3e7}"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18" nillable="true" ma:displayName="Subdivider" ma:internalName="Subdivider">
      <xsd:simpleType>
        <xsd:restriction base="dms:Text">
          <xsd:maxLength value="255"/>
        </xsd:restriction>
      </xsd:simpleType>
    </xsd:element>
    <xsd:element name="ga702ca7702740309f20bd7d02b0bd65" ma:index="19" nillable="true" ma:taxonomy="true" ma:internalName="ga702ca7702740309f20bd7d02b0bd65" ma:taxonomyFieldName="Document_x0020_Type" ma:displayName="Document Type" ma:default="" ma:fieldId="{0a702ca7-7027-4030-9f20-bd7d02b0bd65}" ma:sspId="975c5ac6-a0cc-43ed-b850-4a2ae59237b6" ma:termSetId="16eb7766-cfae-4562-a7c7-c15fa0c9fa66" ma:anchorId="00000000-0000-0000-0000-000000000000" ma:open="false" ma:isKeyword="false">
      <xsd:complexType>
        <xsd:sequence>
          <xsd:element ref="pc:Terms" minOccurs="0" maxOccurs="1"/>
        </xsd:sequence>
      </xsd:complexType>
    </xsd:element>
    <xsd:element name="From1" ma:index="20" nillable="true" ma:displayName="From" ma:hidden="true" ma:internalName="From1" ma:readOnly="false">
      <xsd:simpleType>
        <xsd:restriction base="dms:Text">
          <xsd:maxLength value="255"/>
        </xsd:restriction>
      </xsd:simpleType>
    </xsd:element>
    <xsd:element name="Open_x0020_in_x0020_Outlook" ma:index="21" nillable="true" ma:displayName="Open in Outlook" ma:description="Used in Email View to download file and launch in Outlook." ma:internalName="Open_x0020_in_x0020_Outlook">
      <xsd:simpleType>
        <xsd:restriction base="dms:Text">
          <xsd:maxLength value="255"/>
        </xsd:restriction>
      </xsd:simpleType>
    </xsd:element>
    <xsd:element name="To" ma:index="22" nillable="true" ma:displayName="To" ma:hidden="true" ma:internalName="To" ma:readOnly="false">
      <xsd:simpleType>
        <xsd:restriction base="dms:Text">
          <xsd:maxLength value="255"/>
        </xsd:restriction>
      </xsd:simpleType>
    </xsd:element>
    <xsd:element name="Received_x002f_Sent" ma:index="23" nillable="true" ma:displayName="Received/Sent" ma:format="DateOnly" ma:hidden="true" ma:internalName="Received_x002F_Sent" ma:readOnly="false">
      <xsd:simpleType>
        <xsd:restriction base="dms:DateTime"/>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e8943b-c6c0-47c8-be15-2569035a7570"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2.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3.xml><?xml version="1.0" encoding="utf-8"?>
<ds:datastoreItem xmlns:ds="http://schemas.openxmlformats.org/officeDocument/2006/customXml" ds:itemID="{3C4D37CC-EA5A-453F-9B1D-DD89F1A3CF2E}">
  <ds:schemaRefs>
    <ds:schemaRef ds:uri="Microsoft.SharePoint.Taxonomy.ContentTypeSync"/>
  </ds:schemaRefs>
</ds:datastoreItem>
</file>

<file path=customXml/itemProps4.xml><?xml version="1.0" encoding="utf-8"?>
<ds:datastoreItem xmlns:ds="http://schemas.openxmlformats.org/officeDocument/2006/customXml" ds:itemID="{7B48C2DC-3F96-4CBA-9624-6C3701FA0891}"/>
</file>

<file path=customXml/itemProps5.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6.xml><?xml version="1.0" encoding="utf-8"?>
<ds:datastoreItem xmlns:ds="http://schemas.openxmlformats.org/officeDocument/2006/customXml" ds:itemID="{34B365E1-5931-472F-88CC-48838DF0520E}"/>
</file>

<file path=customXml/itemProps7.xml><?xml version="1.0" encoding="utf-8"?>
<ds:datastoreItem xmlns:ds="http://schemas.openxmlformats.org/officeDocument/2006/customXml" ds:itemID="{7E105754-B304-425A-B30C-C814898D9A1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48</Pages>
  <Words>13226</Words>
  <Characters>75390</Characters>
  <Application>Microsoft Office Word</Application>
  <DocSecurity>0</DocSecurity>
  <Lines>628</Lines>
  <Paragraphs>176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88440</CharactersWithSpaces>
  <SharedDoc>false</SharedDoc>
  <HLinks>
    <vt:vector size="2646" baseType="variant">
      <vt:variant>
        <vt:i4>1638448</vt:i4>
      </vt:variant>
      <vt:variant>
        <vt:i4>1073</vt:i4>
      </vt:variant>
      <vt:variant>
        <vt:i4>0</vt:i4>
      </vt:variant>
      <vt:variant>
        <vt:i4>5</vt:i4>
      </vt:variant>
      <vt:variant>
        <vt:lpwstr/>
      </vt:variant>
      <vt:variant>
        <vt:lpwstr>_Toc120549500</vt:lpwstr>
      </vt:variant>
      <vt:variant>
        <vt:i4>1048625</vt:i4>
      </vt:variant>
      <vt:variant>
        <vt:i4>1067</vt:i4>
      </vt:variant>
      <vt:variant>
        <vt:i4>0</vt:i4>
      </vt:variant>
      <vt:variant>
        <vt:i4>5</vt:i4>
      </vt:variant>
      <vt:variant>
        <vt:lpwstr/>
      </vt:variant>
      <vt:variant>
        <vt:lpwstr>_Toc120549499</vt:lpwstr>
      </vt:variant>
      <vt:variant>
        <vt:i4>1048625</vt:i4>
      </vt:variant>
      <vt:variant>
        <vt:i4>1061</vt:i4>
      </vt:variant>
      <vt:variant>
        <vt:i4>0</vt:i4>
      </vt:variant>
      <vt:variant>
        <vt:i4>5</vt:i4>
      </vt:variant>
      <vt:variant>
        <vt:lpwstr/>
      </vt:variant>
      <vt:variant>
        <vt:lpwstr>_Toc120549498</vt:lpwstr>
      </vt:variant>
      <vt:variant>
        <vt:i4>1048625</vt:i4>
      </vt:variant>
      <vt:variant>
        <vt:i4>1055</vt:i4>
      </vt:variant>
      <vt:variant>
        <vt:i4>0</vt:i4>
      </vt:variant>
      <vt:variant>
        <vt:i4>5</vt:i4>
      </vt:variant>
      <vt:variant>
        <vt:lpwstr/>
      </vt:variant>
      <vt:variant>
        <vt:lpwstr>_Toc120549497</vt:lpwstr>
      </vt:variant>
      <vt:variant>
        <vt:i4>1048625</vt:i4>
      </vt:variant>
      <vt:variant>
        <vt:i4>1049</vt:i4>
      </vt:variant>
      <vt:variant>
        <vt:i4>0</vt:i4>
      </vt:variant>
      <vt:variant>
        <vt:i4>5</vt:i4>
      </vt:variant>
      <vt:variant>
        <vt:lpwstr/>
      </vt:variant>
      <vt:variant>
        <vt:lpwstr>_Toc120549496</vt:lpwstr>
      </vt:variant>
      <vt:variant>
        <vt:i4>1048625</vt:i4>
      </vt:variant>
      <vt:variant>
        <vt:i4>1043</vt:i4>
      </vt:variant>
      <vt:variant>
        <vt:i4>0</vt:i4>
      </vt:variant>
      <vt:variant>
        <vt:i4>5</vt:i4>
      </vt:variant>
      <vt:variant>
        <vt:lpwstr/>
      </vt:variant>
      <vt:variant>
        <vt:lpwstr>_Toc120549495</vt:lpwstr>
      </vt:variant>
      <vt:variant>
        <vt:i4>1048625</vt:i4>
      </vt:variant>
      <vt:variant>
        <vt:i4>1037</vt:i4>
      </vt:variant>
      <vt:variant>
        <vt:i4>0</vt:i4>
      </vt:variant>
      <vt:variant>
        <vt:i4>5</vt:i4>
      </vt:variant>
      <vt:variant>
        <vt:lpwstr/>
      </vt:variant>
      <vt:variant>
        <vt:lpwstr>_Toc120549494</vt:lpwstr>
      </vt:variant>
      <vt:variant>
        <vt:i4>1048625</vt:i4>
      </vt:variant>
      <vt:variant>
        <vt:i4>1031</vt:i4>
      </vt:variant>
      <vt:variant>
        <vt:i4>0</vt:i4>
      </vt:variant>
      <vt:variant>
        <vt:i4>5</vt:i4>
      </vt:variant>
      <vt:variant>
        <vt:lpwstr/>
      </vt:variant>
      <vt:variant>
        <vt:lpwstr>_Toc120549493</vt:lpwstr>
      </vt:variant>
      <vt:variant>
        <vt:i4>1048625</vt:i4>
      </vt:variant>
      <vt:variant>
        <vt:i4>1025</vt:i4>
      </vt:variant>
      <vt:variant>
        <vt:i4>0</vt:i4>
      </vt:variant>
      <vt:variant>
        <vt:i4>5</vt:i4>
      </vt:variant>
      <vt:variant>
        <vt:lpwstr/>
      </vt:variant>
      <vt:variant>
        <vt:lpwstr>_Toc120549492</vt:lpwstr>
      </vt:variant>
      <vt:variant>
        <vt:i4>1048625</vt:i4>
      </vt:variant>
      <vt:variant>
        <vt:i4>1019</vt:i4>
      </vt:variant>
      <vt:variant>
        <vt:i4>0</vt:i4>
      </vt:variant>
      <vt:variant>
        <vt:i4>5</vt:i4>
      </vt:variant>
      <vt:variant>
        <vt:lpwstr/>
      </vt:variant>
      <vt:variant>
        <vt:lpwstr>_Toc120549491</vt:lpwstr>
      </vt:variant>
      <vt:variant>
        <vt:i4>1048625</vt:i4>
      </vt:variant>
      <vt:variant>
        <vt:i4>1013</vt:i4>
      </vt:variant>
      <vt:variant>
        <vt:i4>0</vt:i4>
      </vt:variant>
      <vt:variant>
        <vt:i4>5</vt:i4>
      </vt:variant>
      <vt:variant>
        <vt:lpwstr/>
      </vt:variant>
      <vt:variant>
        <vt:lpwstr>_Toc120549490</vt:lpwstr>
      </vt:variant>
      <vt:variant>
        <vt:i4>1114161</vt:i4>
      </vt:variant>
      <vt:variant>
        <vt:i4>1007</vt:i4>
      </vt:variant>
      <vt:variant>
        <vt:i4>0</vt:i4>
      </vt:variant>
      <vt:variant>
        <vt:i4>5</vt:i4>
      </vt:variant>
      <vt:variant>
        <vt:lpwstr/>
      </vt:variant>
      <vt:variant>
        <vt:lpwstr>_Toc120549489</vt:lpwstr>
      </vt:variant>
      <vt:variant>
        <vt:i4>1114161</vt:i4>
      </vt:variant>
      <vt:variant>
        <vt:i4>1001</vt:i4>
      </vt:variant>
      <vt:variant>
        <vt:i4>0</vt:i4>
      </vt:variant>
      <vt:variant>
        <vt:i4>5</vt:i4>
      </vt:variant>
      <vt:variant>
        <vt:lpwstr/>
      </vt:variant>
      <vt:variant>
        <vt:lpwstr>_Toc120549488</vt:lpwstr>
      </vt:variant>
      <vt:variant>
        <vt:i4>1114161</vt:i4>
      </vt:variant>
      <vt:variant>
        <vt:i4>995</vt:i4>
      </vt:variant>
      <vt:variant>
        <vt:i4>0</vt:i4>
      </vt:variant>
      <vt:variant>
        <vt:i4>5</vt:i4>
      </vt:variant>
      <vt:variant>
        <vt:lpwstr/>
      </vt:variant>
      <vt:variant>
        <vt:lpwstr>_Toc120549487</vt:lpwstr>
      </vt:variant>
      <vt:variant>
        <vt:i4>1114161</vt:i4>
      </vt:variant>
      <vt:variant>
        <vt:i4>989</vt:i4>
      </vt:variant>
      <vt:variant>
        <vt:i4>0</vt:i4>
      </vt:variant>
      <vt:variant>
        <vt:i4>5</vt:i4>
      </vt:variant>
      <vt:variant>
        <vt:lpwstr/>
      </vt:variant>
      <vt:variant>
        <vt:lpwstr>_Toc120549486</vt:lpwstr>
      </vt:variant>
      <vt:variant>
        <vt:i4>1114161</vt:i4>
      </vt:variant>
      <vt:variant>
        <vt:i4>983</vt:i4>
      </vt:variant>
      <vt:variant>
        <vt:i4>0</vt:i4>
      </vt:variant>
      <vt:variant>
        <vt:i4>5</vt:i4>
      </vt:variant>
      <vt:variant>
        <vt:lpwstr/>
      </vt:variant>
      <vt:variant>
        <vt:lpwstr>_Toc120549485</vt:lpwstr>
      </vt:variant>
      <vt:variant>
        <vt:i4>1114161</vt:i4>
      </vt:variant>
      <vt:variant>
        <vt:i4>977</vt:i4>
      </vt:variant>
      <vt:variant>
        <vt:i4>0</vt:i4>
      </vt:variant>
      <vt:variant>
        <vt:i4>5</vt:i4>
      </vt:variant>
      <vt:variant>
        <vt:lpwstr/>
      </vt:variant>
      <vt:variant>
        <vt:lpwstr>_Toc120549484</vt:lpwstr>
      </vt:variant>
      <vt:variant>
        <vt:i4>1114161</vt:i4>
      </vt:variant>
      <vt:variant>
        <vt:i4>971</vt:i4>
      </vt:variant>
      <vt:variant>
        <vt:i4>0</vt:i4>
      </vt:variant>
      <vt:variant>
        <vt:i4>5</vt:i4>
      </vt:variant>
      <vt:variant>
        <vt:lpwstr/>
      </vt:variant>
      <vt:variant>
        <vt:lpwstr>_Toc120549483</vt:lpwstr>
      </vt:variant>
      <vt:variant>
        <vt:i4>1114161</vt:i4>
      </vt:variant>
      <vt:variant>
        <vt:i4>965</vt:i4>
      </vt:variant>
      <vt:variant>
        <vt:i4>0</vt:i4>
      </vt:variant>
      <vt:variant>
        <vt:i4>5</vt:i4>
      </vt:variant>
      <vt:variant>
        <vt:lpwstr/>
      </vt:variant>
      <vt:variant>
        <vt:lpwstr>_Toc120549482</vt:lpwstr>
      </vt:variant>
      <vt:variant>
        <vt:i4>1114161</vt:i4>
      </vt:variant>
      <vt:variant>
        <vt:i4>959</vt:i4>
      </vt:variant>
      <vt:variant>
        <vt:i4>0</vt:i4>
      </vt:variant>
      <vt:variant>
        <vt:i4>5</vt:i4>
      </vt:variant>
      <vt:variant>
        <vt:lpwstr/>
      </vt:variant>
      <vt:variant>
        <vt:lpwstr>_Toc120549481</vt:lpwstr>
      </vt:variant>
      <vt:variant>
        <vt:i4>1114161</vt:i4>
      </vt:variant>
      <vt:variant>
        <vt:i4>953</vt:i4>
      </vt:variant>
      <vt:variant>
        <vt:i4>0</vt:i4>
      </vt:variant>
      <vt:variant>
        <vt:i4>5</vt:i4>
      </vt:variant>
      <vt:variant>
        <vt:lpwstr/>
      </vt:variant>
      <vt:variant>
        <vt:lpwstr>_Toc120549480</vt:lpwstr>
      </vt:variant>
      <vt:variant>
        <vt:i4>1966129</vt:i4>
      </vt:variant>
      <vt:variant>
        <vt:i4>947</vt:i4>
      </vt:variant>
      <vt:variant>
        <vt:i4>0</vt:i4>
      </vt:variant>
      <vt:variant>
        <vt:i4>5</vt:i4>
      </vt:variant>
      <vt:variant>
        <vt:lpwstr/>
      </vt:variant>
      <vt:variant>
        <vt:lpwstr>_Toc120549479</vt:lpwstr>
      </vt:variant>
      <vt:variant>
        <vt:i4>1966129</vt:i4>
      </vt:variant>
      <vt:variant>
        <vt:i4>941</vt:i4>
      </vt:variant>
      <vt:variant>
        <vt:i4>0</vt:i4>
      </vt:variant>
      <vt:variant>
        <vt:i4>5</vt:i4>
      </vt:variant>
      <vt:variant>
        <vt:lpwstr/>
      </vt:variant>
      <vt:variant>
        <vt:lpwstr>_Toc120549478</vt:lpwstr>
      </vt:variant>
      <vt:variant>
        <vt:i4>1966129</vt:i4>
      </vt:variant>
      <vt:variant>
        <vt:i4>935</vt:i4>
      </vt:variant>
      <vt:variant>
        <vt:i4>0</vt:i4>
      </vt:variant>
      <vt:variant>
        <vt:i4>5</vt:i4>
      </vt:variant>
      <vt:variant>
        <vt:lpwstr/>
      </vt:variant>
      <vt:variant>
        <vt:lpwstr>_Toc120549477</vt:lpwstr>
      </vt:variant>
      <vt:variant>
        <vt:i4>1966129</vt:i4>
      </vt:variant>
      <vt:variant>
        <vt:i4>929</vt:i4>
      </vt:variant>
      <vt:variant>
        <vt:i4>0</vt:i4>
      </vt:variant>
      <vt:variant>
        <vt:i4>5</vt:i4>
      </vt:variant>
      <vt:variant>
        <vt:lpwstr/>
      </vt:variant>
      <vt:variant>
        <vt:lpwstr>_Toc120549476</vt:lpwstr>
      </vt:variant>
      <vt:variant>
        <vt:i4>1966129</vt:i4>
      </vt:variant>
      <vt:variant>
        <vt:i4>923</vt:i4>
      </vt:variant>
      <vt:variant>
        <vt:i4>0</vt:i4>
      </vt:variant>
      <vt:variant>
        <vt:i4>5</vt:i4>
      </vt:variant>
      <vt:variant>
        <vt:lpwstr/>
      </vt:variant>
      <vt:variant>
        <vt:lpwstr>_Toc120549475</vt:lpwstr>
      </vt:variant>
      <vt:variant>
        <vt:i4>1966129</vt:i4>
      </vt:variant>
      <vt:variant>
        <vt:i4>917</vt:i4>
      </vt:variant>
      <vt:variant>
        <vt:i4>0</vt:i4>
      </vt:variant>
      <vt:variant>
        <vt:i4>5</vt:i4>
      </vt:variant>
      <vt:variant>
        <vt:lpwstr/>
      </vt:variant>
      <vt:variant>
        <vt:lpwstr>_Toc120549474</vt:lpwstr>
      </vt:variant>
      <vt:variant>
        <vt:i4>1966129</vt:i4>
      </vt:variant>
      <vt:variant>
        <vt:i4>911</vt:i4>
      </vt:variant>
      <vt:variant>
        <vt:i4>0</vt:i4>
      </vt:variant>
      <vt:variant>
        <vt:i4>5</vt:i4>
      </vt:variant>
      <vt:variant>
        <vt:lpwstr/>
      </vt:variant>
      <vt:variant>
        <vt:lpwstr>_Toc120549473</vt:lpwstr>
      </vt:variant>
      <vt:variant>
        <vt:i4>1966129</vt:i4>
      </vt:variant>
      <vt:variant>
        <vt:i4>905</vt:i4>
      </vt:variant>
      <vt:variant>
        <vt:i4>0</vt:i4>
      </vt:variant>
      <vt:variant>
        <vt:i4>5</vt:i4>
      </vt:variant>
      <vt:variant>
        <vt:lpwstr/>
      </vt:variant>
      <vt:variant>
        <vt:lpwstr>_Toc120549472</vt:lpwstr>
      </vt:variant>
      <vt:variant>
        <vt:i4>1966129</vt:i4>
      </vt:variant>
      <vt:variant>
        <vt:i4>899</vt:i4>
      </vt:variant>
      <vt:variant>
        <vt:i4>0</vt:i4>
      </vt:variant>
      <vt:variant>
        <vt:i4>5</vt:i4>
      </vt:variant>
      <vt:variant>
        <vt:lpwstr/>
      </vt:variant>
      <vt:variant>
        <vt:lpwstr>_Toc120549471</vt:lpwstr>
      </vt:variant>
      <vt:variant>
        <vt:i4>1966129</vt:i4>
      </vt:variant>
      <vt:variant>
        <vt:i4>893</vt:i4>
      </vt:variant>
      <vt:variant>
        <vt:i4>0</vt:i4>
      </vt:variant>
      <vt:variant>
        <vt:i4>5</vt:i4>
      </vt:variant>
      <vt:variant>
        <vt:lpwstr/>
      </vt:variant>
      <vt:variant>
        <vt:lpwstr>_Toc120549470</vt:lpwstr>
      </vt:variant>
      <vt:variant>
        <vt:i4>2031665</vt:i4>
      </vt:variant>
      <vt:variant>
        <vt:i4>887</vt:i4>
      </vt:variant>
      <vt:variant>
        <vt:i4>0</vt:i4>
      </vt:variant>
      <vt:variant>
        <vt:i4>5</vt:i4>
      </vt:variant>
      <vt:variant>
        <vt:lpwstr/>
      </vt:variant>
      <vt:variant>
        <vt:lpwstr>_Toc120549469</vt:lpwstr>
      </vt:variant>
      <vt:variant>
        <vt:i4>2031665</vt:i4>
      </vt:variant>
      <vt:variant>
        <vt:i4>881</vt:i4>
      </vt:variant>
      <vt:variant>
        <vt:i4>0</vt:i4>
      </vt:variant>
      <vt:variant>
        <vt:i4>5</vt:i4>
      </vt:variant>
      <vt:variant>
        <vt:lpwstr/>
      </vt:variant>
      <vt:variant>
        <vt:lpwstr>_Toc120549468</vt:lpwstr>
      </vt:variant>
      <vt:variant>
        <vt:i4>2031665</vt:i4>
      </vt:variant>
      <vt:variant>
        <vt:i4>875</vt:i4>
      </vt:variant>
      <vt:variant>
        <vt:i4>0</vt:i4>
      </vt:variant>
      <vt:variant>
        <vt:i4>5</vt:i4>
      </vt:variant>
      <vt:variant>
        <vt:lpwstr/>
      </vt:variant>
      <vt:variant>
        <vt:lpwstr>_Toc120549467</vt:lpwstr>
      </vt:variant>
      <vt:variant>
        <vt:i4>2031665</vt:i4>
      </vt:variant>
      <vt:variant>
        <vt:i4>869</vt:i4>
      </vt:variant>
      <vt:variant>
        <vt:i4>0</vt:i4>
      </vt:variant>
      <vt:variant>
        <vt:i4>5</vt:i4>
      </vt:variant>
      <vt:variant>
        <vt:lpwstr/>
      </vt:variant>
      <vt:variant>
        <vt:lpwstr>_Toc120549466</vt:lpwstr>
      </vt:variant>
      <vt:variant>
        <vt:i4>2031665</vt:i4>
      </vt:variant>
      <vt:variant>
        <vt:i4>863</vt:i4>
      </vt:variant>
      <vt:variant>
        <vt:i4>0</vt:i4>
      </vt:variant>
      <vt:variant>
        <vt:i4>5</vt:i4>
      </vt:variant>
      <vt:variant>
        <vt:lpwstr/>
      </vt:variant>
      <vt:variant>
        <vt:lpwstr>_Toc120549465</vt:lpwstr>
      </vt:variant>
      <vt:variant>
        <vt:i4>2031665</vt:i4>
      </vt:variant>
      <vt:variant>
        <vt:i4>857</vt:i4>
      </vt:variant>
      <vt:variant>
        <vt:i4>0</vt:i4>
      </vt:variant>
      <vt:variant>
        <vt:i4>5</vt:i4>
      </vt:variant>
      <vt:variant>
        <vt:lpwstr/>
      </vt:variant>
      <vt:variant>
        <vt:lpwstr>_Toc120549464</vt:lpwstr>
      </vt:variant>
      <vt:variant>
        <vt:i4>2031665</vt:i4>
      </vt:variant>
      <vt:variant>
        <vt:i4>851</vt:i4>
      </vt:variant>
      <vt:variant>
        <vt:i4>0</vt:i4>
      </vt:variant>
      <vt:variant>
        <vt:i4>5</vt:i4>
      </vt:variant>
      <vt:variant>
        <vt:lpwstr/>
      </vt:variant>
      <vt:variant>
        <vt:lpwstr>_Toc120549463</vt:lpwstr>
      </vt:variant>
      <vt:variant>
        <vt:i4>2031665</vt:i4>
      </vt:variant>
      <vt:variant>
        <vt:i4>845</vt:i4>
      </vt:variant>
      <vt:variant>
        <vt:i4>0</vt:i4>
      </vt:variant>
      <vt:variant>
        <vt:i4>5</vt:i4>
      </vt:variant>
      <vt:variant>
        <vt:lpwstr/>
      </vt:variant>
      <vt:variant>
        <vt:lpwstr>_Toc120549462</vt:lpwstr>
      </vt:variant>
      <vt:variant>
        <vt:i4>2031665</vt:i4>
      </vt:variant>
      <vt:variant>
        <vt:i4>839</vt:i4>
      </vt:variant>
      <vt:variant>
        <vt:i4>0</vt:i4>
      </vt:variant>
      <vt:variant>
        <vt:i4>5</vt:i4>
      </vt:variant>
      <vt:variant>
        <vt:lpwstr/>
      </vt:variant>
      <vt:variant>
        <vt:lpwstr>_Toc120549461</vt:lpwstr>
      </vt:variant>
      <vt:variant>
        <vt:i4>2031665</vt:i4>
      </vt:variant>
      <vt:variant>
        <vt:i4>833</vt:i4>
      </vt:variant>
      <vt:variant>
        <vt:i4>0</vt:i4>
      </vt:variant>
      <vt:variant>
        <vt:i4>5</vt:i4>
      </vt:variant>
      <vt:variant>
        <vt:lpwstr/>
      </vt:variant>
      <vt:variant>
        <vt:lpwstr>_Toc120549460</vt:lpwstr>
      </vt:variant>
      <vt:variant>
        <vt:i4>1835057</vt:i4>
      </vt:variant>
      <vt:variant>
        <vt:i4>827</vt:i4>
      </vt:variant>
      <vt:variant>
        <vt:i4>0</vt:i4>
      </vt:variant>
      <vt:variant>
        <vt:i4>5</vt:i4>
      </vt:variant>
      <vt:variant>
        <vt:lpwstr/>
      </vt:variant>
      <vt:variant>
        <vt:lpwstr>_Toc120549459</vt:lpwstr>
      </vt:variant>
      <vt:variant>
        <vt:i4>1835057</vt:i4>
      </vt:variant>
      <vt:variant>
        <vt:i4>821</vt:i4>
      </vt:variant>
      <vt:variant>
        <vt:i4>0</vt:i4>
      </vt:variant>
      <vt:variant>
        <vt:i4>5</vt:i4>
      </vt:variant>
      <vt:variant>
        <vt:lpwstr/>
      </vt:variant>
      <vt:variant>
        <vt:lpwstr>_Toc120549458</vt:lpwstr>
      </vt:variant>
      <vt:variant>
        <vt:i4>1835057</vt:i4>
      </vt:variant>
      <vt:variant>
        <vt:i4>815</vt:i4>
      </vt:variant>
      <vt:variant>
        <vt:i4>0</vt:i4>
      </vt:variant>
      <vt:variant>
        <vt:i4>5</vt:i4>
      </vt:variant>
      <vt:variant>
        <vt:lpwstr/>
      </vt:variant>
      <vt:variant>
        <vt:lpwstr>_Toc120549457</vt:lpwstr>
      </vt:variant>
      <vt:variant>
        <vt:i4>1835057</vt:i4>
      </vt:variant>
      <vt:variant>
        <vt:i4>809</vt:i4>
      </vt:variant>
      <vt:variant>
        <vt:i4>0</vt:i4>
      </vt:variant>
      <vt:variant>
        <vt:i4>5</vt:i4>
      </vt:variant>
      <vt:variant>
        <vt:lpwstr/>
      </vt:variant>
      <vt:variant>
        <vt:lpwstr>_Toc120549456</vt:lpwstr>
      </vt:variant>
      <vt:variant>
        <vt:i4>1835057</vt:i4>
      </vt:variant>
      <vt:variant>
        <vt:i4>803</vt:i4>
      </vt:variant>
      <vt:variant>
        <vt:i4>0</vt:i4>
      </vt:variant>
      <vt:variant>
        <vt:i4>5</vt:i4>
      </vt:variant>
      <vt:variant>
        <vt:lpwstr/>
      </vt:variant>
      <vt:variant>
        <vt:lpwstr>_Toc120549455</vt:lpwstr>
      </vt:variant>
      <vt:variant>
        <vt:i4>1835057</vt:i4>
      </vt:variant>
      <vt:variant>
        <vt:i4>797</vt:i4>
      </vt:variant>
      <vt:variant>
        <vt:i4>0</vt:i4>
      </vt:variant>
      <vt:variant>
        <vt:i4>5</vt:i4>
      </vt:variant>
      <vt:variant>
        <vt:lpwstr/>
      </vt:variant>
      <vt:variant>
        <vt:lpwstr>_Toc120549454</vt:lpwstr>
      </vt:variant>
      <vt:variant>
        <vt:i4>1835057</vt:i4>
      </vt:variant>
      <vt:variant>
        <vt:i4>791</vt:i4>
      </vt:variant>
      <vt:variant>
        <vt:i4>0</vt:i4>
      </vt:variant>
      <vt:variant>
        <vt:i4>5</vt:i4>
      </vt:variant>
      <vt:variant>
        <vt:lpwstr/>
      </vt:variant>
      <vt:variant>
        <vt:lpwstr>_Toc120549453</vt:lpwstr>
      </vt:variant>
      <vt:variant>
        <vt:i4>1835057</vt:i4>
      </vt:variant>
      <vt:variant>
        <vt:i4>785</vt:i4>
      </vt:variant>
      <vt:variant>
        <vt:i4>0</vt:i4>
      </vt:variant>
      <vt:variant>
        <vt:i4>5</vt:i4>
      </vt:variant>
      <vt:variant>
        <vt:lpwstr/>
      </vt:variant>
      <vt:variant>
        <vt:lpwstr>_Toc120549452</vt:lpwstr>
      </vt:variant>
      <vt:variant>
        <vt:i4>1835057</vt:i4>
      </vt:variant>
      <vt:variant>
        <vt:i4>779</vt:i4>
      </vt:variant>
      <vt:variant>
        <vt:i4>0</vt:i4>
      </vt:variant>
      <vt:variant>
        <vt:i4>5</vt:i4>
      </vt:variant>
      <vt:variant>
        <vt:lpwstr/>
      </vt:variant>
      <vt:variant>
        <vt:lpwstr>_Toc120549451</vt:lpwstr>
      </vt:variant>
      <vt:variant>
        <vt:i4>1835057</vt:i4>
      </vt:variant>
      <vt:variant>
        <vt:i4>773</vt:i4>
      </vt:variant>
      <vt:variant>
        <vt:i4>0</vt:i4>
      </vt:variant>
      <vt:variant>
        <vt:i4>5</vt:i4>
      </vt:variant>
      <vt:variant>
        <vt:lpwstr/>
      </vt:variant>
      <vt:variant>
        <vt:lpwstr>_Toc120549450</vt:lpwstr>
      </vt:variant>
      <vt:variant>
        <vt:i4>1900593</vt:i4>
      </vt:variant>
      <vt:variant>
        <vt:i4>767</vt:i4>
      </vt:variant>
      <vt:variant>
        <vt:i4>0</vt:i4>
      </vt:variant>
      <vt:variant>
        <vt:i4>5</vt:i4>
      </vt:variant>
      <vt:variant>
        <vt:lpwstr/>
      </vt:variant>
      <vt:variant>
        <vt:lpwstr>_Toc120549449</vt:lpwstr>
      </vt:variant>
      <vt:variant>
        <vt:i4>1900593</vt:i4>
      </vt:variant>
      <vt:variant>
        <vt:i4>761</vt:i4>
      </vt:variant>
      <vt:variant>
        <vt:i4>0</vt:i4>
      </vt:variant>
      <vt:variant>
        <vt:i4>5</vt:i4>
      </vt:variant>
      <vt:variant>
        <vt:lpwstr/>
      </vt:variant>
      <vt:variant>
        <vt:lpwstr>_Toc120549448</vt:lpwstr>
      </vt:variant>
      <vt:variant>
        <vt:i4>1900593</vt:i4>
      </vt:variant>
      <vt:variant>
        <vt:i4>755</vt:i4>
      </vt:variant>
      <vt:variant>
        <vt:i4>0</vt:i4>
      </vt:variant>
      <vt:variant>
        <vt:i4>5</vt:i4>
      </vt:variant>
      <vt:variant>
        <vt:lpwstr/>
      </vt:variant>
      <vt:variant>
        <vt:lpwstr>_Toc120549447</vt:lpwstr>
      </vt:variant>
      <vt:variant>
        <vt:i4>1900593</vt:i4>
      </vt:variant>
      <vt:variant>
        <vt:i4>749</vt:i4>
      </vt:variant>
      <vt:variant>
        <vt:i4>0</vt:i4>
      </vt:variant>
      <vt:variant>
        <vt:i4>5</vt:i4>
      </vt:variant>
      <vt:variant>
        <vt:lpwstr/>
      </vt:variant>
      <vt:variant>
        <vt:lpwstr>_Toc120549446</vt:lpwstr>
      </vt:variant>
      <vt:variant>
        <vt:i4>1900593</vt:i4>
      </vt:variant>
      <vt:variant>
        <vt:i4>743</vt:i4>
      </vt:variant>
      <vt:variant>
        <vt:i4>0</vt:i4>
      </vt:variant>
      <vt:variant>
        <vt:i4>5</vt:i4>
      </vt:variant>
      <vt:variant>
        <vt:lpwstr/>
      </vt:variant>
      <vt:variant>
        <vt:lpwstr>_Toc120549445</vt:lpwstr>
      </vt:variant>
      <vt:variant>
        <vt:i4>1900593</vt:i4>
      </vt:variant>
      <vt:variant>
        <vt:i4>737</vt:i4>
      </vt:variant>
      <vt:variant>
        <vt:i4>0</vt:i4>
      </vt:variant>
      <vt:variant>
        <vt:i4>5</vt:i4>
      </vt:variant>
      <vt:variant>
        <vt:lpwstr/>
      </vt:variant>
      <vt:variant>
        <vt:lpwstr>_Toc120549444</vt:lpwstr>
      </vt:variant>
      <vt:variant>
        <vt:i4>1900593</vt:i4>
      </vt:variant>
      <vt:variant>
        <vt:i4>731</vt:i4>
      </vt:variant>
      <vt:variant>
        <vt:i4>0</vt:i4>
      </vt:variant>
      <vt:variant>
        <vt:i4>5</vt:i4>
      </vt:variant>
      <vt:variant>
        <vt:lpwstr/>
      </vt:variant>
      <vt:variant>
        <vt:lpwstr>_Toc120549443</vt:lpwstr>
      </vt:variant>
      <vt:variant>
        <vt:i4>1900593</vt:i4>
      </vt:variant>
      <vt:variant>
        <vt:i4>725</vt:i4>
      </vt:variant>
      <vt:variant>
        <vt:i4>0</vt:i4>
      </vt:variant>
      <vt:variant>
        <vt:i4>5</vt:i4>
      </vt:variant>
      <vt:variant>
        <vt:lpwstr/>
      </vt:variant>
      <vt:variant>
        <vt:lpwstr>_Toc120549442</vt:lpwstr>
      </vt:variant>
      <vt:variant>
        <vt:i4>1900593</vt:i4>
      </vt:variant>
      <vt:variant>
        <vt:i4>719</vt:i4>
      </vt:variant>
      <vt:variant>
        <vt:i4>0</vt:i4>
      </vt:variant>
      <vt:variant>
        <vt:i4>5</vt:i4>
      </vt:variant>
      <vt:variant>
        <vt:lpwstr/>
      </vt:variant>
      <vt:variant>
        <vt:lpwstr>_Toc120549441</vt:lpwstr>
      </vt:variant>
      <vt:variant>
        <vt:i4>1900593</vt:i4>
      </vt:variant>
      <vt:variant>
        <vt:i4>713</vt:i4>
      </vt:variant>
      <vt:variant>
        <vt:i4>0</vt:i4>
      </vt:variant>
      <vt:variant>
        <vt:i4>5</vt:i4>
      </vt:variant>
      <vt:variant>
        <vt:lpwstr/>
      </vt:variant>
      <vt:variant>
        <vt:lpwstr>_Toc120549440</vt:lpwstr>
      </vt:variant>
      <vt:variant>
        <vt:i4>1703985</vt:i4>
      </vt:variant>
      <vt:variant>
        <vt:i4>707</vt:i4>
      </vt:variant>
      <vt:variant>
        <vt:i4>0</vt:i4>
      </vt:variant>
      <vt:variant>
        <vt:i4>5</vt:i4>
      </vt:variant>
      <vt:variant>
        <vt:lpwstr/>
      </vt:variant>
      <vt:variant>
        <vt:lpwstr>_Toc120549439</vt:lpwstr>
      </vt:variant>
      <vt:variant>
        <vt:i4>1703985</vt:i4>
      </vt:variant>
      <vt:variant>
        <vt:i4>701</vt:i4>
      </vt:variant>
      <vt:variant>
        <vt:i4>0</vt:i4>
      </vt:variant>
      <vt:variant>
        <vt:i4>5</vt:i4>
      </vt:variant>
      <vt:variant>
        <vt:lpwstr/>
      </vt:variant>
      <vt:variant>
        <vt:lpwstr>_Toc120549438</vt:lpwstr>
      </vt:variant>
      <vt:variant>
        <vt:i4>1703985</vt:i4>
      </vt:variant>
      <vt:variant>
        <vt:i4>695</vt:i4>
      </vt:variant>
      <vt:variant>
        <vt:i4>0</vt:i4>
      </vt:variant>
      <vt:variant>
        <vt:i4>5</vt:i4>
      </vt:variant>
      <vt:variant>
        <vt:lpwstr/>
      </vt:variant>
      <vt:variant>
        <vt:lpwstr>_Toc120549437</vt:lpwstr>
      </vt:variant>
      <vt:variant>
        <vt:i4>1703985</vt:i4>
      </vt:variant>
      <vt:variant>
        <vt:i4>689</vt:i4>
      </vt:variant>
      <vt:variant>
        <vt:i4>0</vt:i4>
      </vt:variant>
      <vt:variant>
        <vt:i4>5</vt:i4>
      </vt:variant>
      <vt:variant>
        <vt:lpwstr/>
      </vt:variant>
      <vt:variant>
        <vt:lpwstr>_Toc120549436</vt:lpwstr>
      </vt:variant>
      <vt:variant>
        <vt:i4>1703985</vt:i4>
      </vt:variant>
      <vt:variant>
        <vt:i4>683</vt:i4>
      </vt:variant>
      <vt:variant>
        <vt:i4>0</vt:i4>
      </vt:variant>
      <vt:variant>
        <vt:i4>5</vt:i4>
      </vt:variant>
      <vt:variant>
        <vt:lpwstr/>
      </vt:variant>
      <vt:variant>
        <vt:lpwstr>_Toc120549435</vt:lpwstr>
      </vt:variant>
      <vt:variant>
        <vt:i4>1703985</vt:i4>
      </vt:variant>
      <vt:variant>
        <vt:i4>677</vt:i4>
      </vt:variant>
      <vt:variant>
        <vt:i4>0</vt:i4>
      </vt:variant>
      <vt:variant>
        <vt:i4>5</vt:i4>
      </vt:variant>
      <vt:variant>
        <vt:lpwstr/>
      </vt:variant>
      <vt:variant>
        <vt:lpwstr>_Toc120549434</vt:lpwstr>
      </vt:variant>
      <vt:variant>
        <vt:i4>1703985</vt:i4>
      </vt:variant>
      <vt:variant>
        <vt:i4>671</vt:i4>
      </vt:variant>
      <vt:variant>
        <vt:i4>0</vt:i4>
      </vt:variant>
      <vt:variant>
        <vt:i4>5</vt:i4>
      </vt:variant>
      <vt:variant>
        <vt:lpwstr/>
      </vt:variant>
      <vt:variant>
        <vt:lpwstr>_Toc120549433</vt:lpwstr>
      </vt:variant>
      <vt:variant>
        <vt:i4>1703985</vt:i4>
      </vt:variant>
      <vt:variant>
        <vt:i4>665</vt:i4>
      </vt:variant>
      <vt:variant>
        <vt:i4>0</vt:i4>
      </vt:variant>
      <vt:variant>
        <vt:i4>5</vt:i4>
      </vt:variant>
      <vt:variant>
        <vt:lpwstr/>
      </vt:variant>
      <vt:variant>
        <vt:lpwstr>_Toc120549432</vt:lpwstr>
      </vt:variant>
      <vt:variant>
        <vt:i4>1703985</vt:i4>
      </vt:variant>
      <vt:variant>
        <vt:i4>659</vt:i4>
      </vt:variant>
      <vt:variant>
        <vt:i4>0</vt:i4>
      </vt:variant>
      <vt:variant>
        <vt:i4>5</vt:i4>
      </vt:variant>
      <vt:variant>
        <vt:lpwstr/>
      </vt:variant>
      <vt:variant>
        <vt:lpwstr>_Toc120549431</vt:lpwstr>
      </vt:variant>
      <vt:variant>
        <vt:i4>1703985</vt:i4>
      </vt:variant>
      <vt:variant>
        <vt:i4>653</vt:i4>
      </vt:variant>
      <vt:variant>
        <vt:i4>0</vt:i4>
      </vt:variant>
      <vt:variant>
        <vt:i4>5</vt:i4>
      </vt:variant>
      <vt:variant>
        <vt:lpwstr/>
      </vt:variant>
      <vt:variant>
        <vt:lpwstr>_Toc120549430</vt:lpwstr>
      </vt:variant>
      <vt:variant>
        <vt:i4>1769521</vt:i4>
      </vt:variant>
      <vt:variant>
        <vt:i4>647</vt:i4>
      </vt:variant>
      <vt:variant>
        <vt:i4>0</vt:i4>
      </vt:variant>
      <vt:variant>
        <vt:i4>5</vt:i4>
      </vt:variant>
      <vt:variant>
        <vt:lpwstr/>
      </vt:variant>
      <vt:variant>
        <vt:lpwstr>_Toc120549429</vt:lpwstr>
      </vt:variant>
      <vt:variant>
        <vt:i4>1769521</vt:i4>
      </vt:variant>
      <vt:variant>
        <vt:i4>641</vt:i4>
      </vt:variant>
      <vt:variant>
        <vt:i4>0</vt:i4>
      </vt:variant>
      <vt:variant>
        <vt:i4>5</vt:i4>
      </vt:variant>
      <vt:variant>
        <vt:lpwstr/>
      </vt:variant>
      <vt:variant>
        <vt:lpwstr>_Toc120549428</vt:lpwstr>
      </vt:variant>
      <vt:variant>
        <vt:i4>1769521</vt:i4>
      </vt:variant>
      <vt:variant>
        <vt:i4>635</vt:i4>
      </vt:variant>
      <vt:variant>
        <vt:i4>0</vt:i4>
      </vt:variant>
      <vt:variant>
        <vt:i4>5</vt:i4>
      </vt:variant>
      <vt:variant>
        <vt:lpwstr/>
      </vt:variant>
      <vt:variant>
        <vt:lpwstr>_Toc120549427</vt:lpwstr>
      </vt:variant>
      <vt:variant>
        <vt:i4>1769521</vt:i4>
      </vt:variant>
      <vt:variant>
        <vt:i4>629</vt:i4>
      </vt:variant>
      <vt:variant>
        <vt:i4>0</vt:i4>
      </vt:variant>
      <vt:variant>
        <vt:i4>5</vt:i4>
      </vt:variant>
      <vt:variant>
        <vt:lpwstr/>
      </vt:variant>
      <vt:variant>
        <vt:lpwstr>_Toc120549426</vt:lpwstr>
      </vt:variant>
      <vt:variant>
        <vt:i4>1769521</vt:i4>
      </vt:variant>
      <vt:variant>
        <vt:i4>623</vt:i4>
      </vt:variant>
      <vt:variant>
        <vt:i4>0</vt:i4>
      </vt:variant>
      <vt:variant>
        <vt:i4>5</vt:i4>
      </vt:variant>
      <vt:variant>
        <vt:lpwstr/>
      </vt:variant>
      <vt:variant>
        <vt:lpwstr>_Toc120549425</vt:lpwstr>
      </vt:variant>
      <vt:variant>
        <vt:i4>1769521</vt:i4>
      </vt:variant>
      <vt:variant>
        <vt:i4>617</vt:i4>
      </vt:variant>
      <vt:variant>
        <vt:i4>0</vt:i4>
      </vt:variant>
      <vt:variant>
        <vt:i4>5</vt:i4>
      </vt:variant>
      <vt:variant>
        <vt:lpwstr/>
      </vt:variant>
      <vt:variant>
        <vt:lpwstr>_Toc120549424</vt:lpwstr>
      </vt:variant>
      <vt:variant>
        <vt:i4>1769521</vt:i4>
      </vt:variant>
      <vt:variant>
        <vt:i4>611</vt:i4>
      </vt:variant>
      <vt:variant>
        <vt:i4>0</vt:i4>
      </vt:variant>
      <vt:variant>
        <vt:i4>5</vt:i4>
      </vt:variant>
      <vt:variant>
        <vt:lpwstr/>
      </vt:variant>
      <vt:variant>
        <vt:lpwstr>_Toc120549423</vt:lpwstr>
      </vt:variant>
      <vt:variant>
        <vt:i4>1769521</vt:i4>
      </vt:variant>
      <vt:variant>
        <vt:i4>605</vt:i4>
      </vt:variant>
      <vt:variant>
        <vt:i4>0</vt:i4>
      </vt:variant>
      <vt:variant>
        <vt:i4>5</vt:i4>
      </vt:variant>
      <vt:variant>
        <vt:lpwstr/>
      </vt:variant>
      <vt:variant>
        <vt:lpwstr>_Toc120549422</vt:lpwstr>
      </vt:variant>
      <vt:variant>
        <vt:i4>1769521</vt:i4>
      </vt:variant>
      <vt:variant>
        <vt:i4>599</vt:i4>
      </vt:variant>
      <vt:variant>
        <vt:i4>0</vt:i4>
      </vt:variant>
      <vt:variant>
        <vt:i4>5</vt:i4>
      </vt:variant>
      <vt:variant>
        <vt:lpwstr/>
      </vt:variant>
      <vt:variant>
        <vt:lpwstr>_Toc120549421</vt:lpwstr>
      </vt:variant>
      <vt:variant>
        <vt:i4>1769521</vt:i4>
      </vt:variant>
      <vt:variant>
        <vt:i4>593</vt:i4>
      </vt:variant>
      <vt:variant>
        <vt:i4>0</vt:i4>
      </vt:variant>
      <vt:variant>
        <vt:i4>5</vt:i4>
      </vt:variant>
      <vt:variant>
        <vt:lpwstr/>
      </vt:variant>
      <vt:variant>
        <vt:lpwstr>_Toc120549420</vt:lpwstr>
      </vt:variant>
      <vt:variant>
        <vt:i4>1572913</vt:i4>
      </vt:variant>
      <vt:variant>
        <vt:i4>587</vt:i4>
      </vt:variant>
      <vt:variant>
        <vt:i4>0</vt:i4>
      </vt:variant>
      <vt:variant>
        <vt:i4>5</vt:i4>
      </vt:variant>
      <vt:variant>
        <vt:lpwstr/>
      </vt:variant>
      <vt:variant>
        <vt:lpwstr>_Toc120549419</vt:lpwstr>
      </vt:variant>
      <vt:variant>
        <vt:i4>1572913</vt:i4>
      </vt:variant>
      <vt:variant>
        <vt:i4>581</vt:i4>
      </vt:variant>
      <vt:variant>
        <vt:i4>0</vt:i4>
      </vt:variant>
      <vt:variant>
        <vt:i4>5</vt:i4>
      </vt:variant>
      <vt:variant>
        <vt:lpwstr/>
      </vt:variant>
      <vt:variant>
        <vt:lpwstr>_Toc120549418</vt:lpwstr>
      </vt:variant>
      <vt:variant>
        <vt:i4>1572913</vt:i4>
      </vt:variant>
      <vt:variant>
        <vt:i4>575</vt:i4>
      </vt:variant>
      <vt:variant>
        <vt:i4>0</vt:i4>
      </vt:variant>
      <vt:variant>
        <vt:i4>5</vt:i4>
      </vt:variant>
      <vt:variant>
        <vt:lpwstr/>
      </vt:variant>
      <vt:variant>
        <vt:lpwstr>_Toc120549417</vt:lpwstr>
      </vt:variant>
      <vt:variant>
        <vt:i4>1572913</vt:i4>
      </vt:variant>
      <vt:variant>
        <vt:i4>569</vt:i4>
      </vt:variant>
      <vt:variant>
        <vt:i4>0</vt:i4>
      </vt:variant>
      <vt:variant>
        <vt:i4>5</vt:i4>
      </vt:variant>
      <vt:variant>
        <vt:lpwstr/>
      </vt:variant>
      <vt:variant>
        <vt:lpwstr>_Toc120549416</vt:lpwstr>
      </vt:variant>
      <vt:variant>
        <vt:i4>1572913</vt:i4>
      </vt:variant>
      <vt:variant>
        <vt:i4>563</vt:i4>
      </vt:variant>
      <vt:variant>
        <vt:i4>0</vt:i4>
      </vt:variant>
      <vt:variant>
        <vt:i4>5</vt:i4>
      </vt:variant>
      <vt:variant>
        <vt:lpwstr/>
      </vt:variant>
      <vt:variant>
        <vt:lpwstr>_Toc120549415</vt:lpwstr>
      </vt:variant>
      <vt:variant>
        <vt:i4>1572913</vt:i4>
      </vt:variant>
      <vt:variant>
        <vt:i4>557</vt:i4>
      </vt:variant>
      <vt:variant>
        <vt:i4>0</vt:i4>
      </vt:variant>
      <vt:variant>
        <vt:i4>5</vt:i4>
      </vt:variant>
      <vt:variant>
        <vt:lpwstr/>
      </vt:variant>
      <vt:variant>
        <vt:lpwstr>_Toc120549414</vt:lpwstr>
      </vt:variant>
      <vt:variant>
        <vt:i4>1572913</vt:i4>
      </vt:variant>
      <vt:variant>
        <vt:i4>551</vt:i4>
      </vt:variant>
      <vt:variant>
        <vt:i4>0</vt:i4>
      </vt:variant>
      <vt:variant>
        <vt:i4>5</vt:i4>
      </vt:variant>
      <vt:variant>
        <vt:lpwstr/>
      </vt:variant>
      <vt:variant>
        <vt:lpwstr>_Toc120549413</vt:lpwstr>
      </vt:variant>
      <vt:variant>
        <vt:i4>1572913</vt:i4>
      </vt:variant>
      <vt:variant>
        <vt:i4>545</vt:i4>
      </vt:variant>
      <vt:variant>
        <vt:i4>0</vt:i4>
      </vt:variant>
      <vt:variant>
        <vt:i4>5</vt:i4>
      </vt:variant>
      <vt:variant>
        <vt:lpwstr/>
      </vt:variant>
      <vt:variant>
        <vt:lpwstr>_Toc120549412</vt:lpwstr>
      </vt:variant>
      <vt:variant>
        <vt:i4>1572913</vt:i4>
      </vt:variant>
      <vt:variant>
        <vt:i4>539</vt:i4>
      </vt:variant>
      <vt:variant>
        <vt:i4>0</vt:i4>
      </vt:variant>
      <vt:variant>
        <vt:i4>5</vt:i4>
      </vt:variant>
      <vt:variant>
        <vt:lpwstr/>
      </vt:variant>
      <vt:variant>
        <vt:lpwstr>_Toc120549411</vt:lpwstr>
      </vt:variant>
      <vt:variant>
        <vt:i4>1572913</vt:i4>
      </vt:variant>
      <vt:variant>
        <vt:i4>533</vt:i4>
      </vt:variant>
      <vt:variant>
        <vt:i4>0</vt:i4>
      </vt:variant>
      <vt:variant>
        <vt:i4>5</vt:i4>
      </vt:variant>
      <vt:variant>
        <vt:lpwstr/>
      </vt:variant>
      <vt:variant>
        <vt:lpwstr>_Toc120549410</vt:lpwstr>
      </vt:variant>
      <vt:variant>
        <vt:i4>1638449</vt:i4>
      </vt:variant>
      <vt:variant>
        <vt:i4>527</vt:i4>
      </vt:variant>
      <vt:variant>
        <vt:i4>0</vt:i4>
      </vt:variant>
      <vt:variant>
        <vt:i4>5</vt:i4>
      </vt:variant>
      <vt:variant>
        <vt:lpwstr/>
      </vt:variant>
      <vt:variant>
        <vt:lpwstr>_Toc120549409</vt:lpwstr>
      </vt:variant>
      <vt:variant>
        <vt:i4>1638449</vt:i4>
      </vt:variant>
      <vt:variant>
        <vt:i4>521</vt:i4>
      </vt:variant>
      <vt:variant>
        <vt:i4>0</vt:i4>
      </vt:variant>
      <vt:variant>
        <vt:i4>5</vt:i4>
      </vt:variant>
      <vt:variant>
        <vt:lpwstr/>
      </vt:variant>
      <vt:variant>
        <vt:lpwstr>_Toc120549408</vt:lpwstr>
      </vt:variant>
      <vt:variant>
        <vt:i4>1638449</vt:i4>
      </vt:variant>
      <vt:variant>
        <vt:i4>515</vt:i4>
      </vt:variant>
      <vt:variant>
        <vt:i4>0</vt:i4>
      </vt:variant>
      <vt:variant>
        <vt:i4>5</vt:i4>
      </vt:variant>
      <vt:variant>
        <vt:lpwstr/>
      </vt:variant>
      <vt:variant>
        <vt:lpwstr>_Toc120549407</vt:lpwstr>
      </vt:variant>
      <vt:variant>
        <vt:i4>1638449</vt:i4>
      </vt:variant>
      <vt:variant>
        <vt:i4>509</vt:i4>
      </vt:variant>
      <vt:variant>
        <vt:i4>0</vt:i4>
      </vt:variant>
      <vt:variant>
        <vt:i4>5</vt:i4>
      </vt:variant>
      <vt:variant>
        <vt:lpwstr/>
      </vt:variant>
      <vt:variant>
        <vt:lpwstr>_Toc120549406</vt:lpwstr>
      </vt:variant>
      <vt:variant>
        <vt:i4>1638449</vt:i4>
      </vt:variant>
      <vt:variant>
        <vt:i4>503</vt:i4>
      </vt:variant>
      <vt:variant>
        <vt:i4>0</vt:i4>
      </vt:variant>
      <vt:variant>
        <vt:i4>5</vt:i4>
      </vt:variant>
      <vt:variant>
        <vt:lpwstr/>
      </vt:variant>
      <vt:variant>
        <vt:lpwstr>_Toc120549405</vt:lpwstr>
      </vt:variant>
      <vt:variant>
        <vt:i4>1638449</vt:i4>
      </vt:variant>
      <vt:variant>
        <vt:i4>497</vt:i4>
      </vt:variant>
      <vt:variant>
        <vt:i4>0</vt:i4>
      </vt:variant>
      <vt:variant>
        <vt:i4>5</vt:i4>
      </vt:variant>
      <vt:variant>
        <vt:lpwstr/>
      </vt:variant>
      <vt:variant>
        <vt:lpwstr>_Toc120549404</vt:lpwstr>
      </vt:variant>
      <vt:variant>
        <vt:i4>1638449</vt:i4>
      </vt:variant>
      <vt:variant>
        <vt:i4>491</vt:i4>
      </vt:variant>
      <vt:variant>
        <vt:i4>0</vt:i4>
      </vt:variant>
      <vt:variant>
        <vt:i4>5</vt:i4>
      </vt:variant>
      <vt:variant>
        <vt:lpwstr/>
      </vt:variant>
      <vt:variant>
        <vt:lpwstr>_Toc120549403</vt:lpwstr>
      </vt:variant>
      <vt:variant>
        <vt:i4>1638449</vt:i4>
      </vt:variant>
      <vt:variant>
        <vt:i4>485</vt:i4>
      </vt:variant>
      <vt:variant>
        <vt:i4>0</vt:i4>
      </vt:variant>
      <vt:variant>
        <vt:i4>5</vt:i4>
      </vt:variant>
      <vt:variant>
        <vt:lpwstr/>
      </vt:variant>
      <vt:variant>
        <vt:lpwstr>_Toc120549402</vt:lpwstr>
      </vt:variant>
      <vt:variant>
        <vt:i4>1638449</vt:i4>
      </vt:variant>
      <vt:variant>
        <vt:i4>479</vt:i4>
      </vt:variant>
      <vt:variant>
        <vt:i4>0</vt:i4>
      </vt:variant>
      <vt:variant>
        <vt:i4>5</vt:i4>
      </vt:variant>
      <vt:variant>
        <vt:lpwstr/>
      </vt:variant>
      <vt:variant>
        <vt:lpwstr>_Toc120549401</vt:lpwstr>
      </vt:variant>
      <vt:variant>
        <vt:i4>1638449</vt:i4>
      </vt:variant>
      <vt:variant>
        <vt:i4>473</vt:i4>
      </vt:variant>
      <vt:variant>
        <vt:i4>0</vt:i4>
      </vt:variant>
      <vt:variant>
        <vt:i4>5</vt:i4>
      </vt:variant>
      <vt:variant>
        <vt:lpwstr/>
      </vt:variant>
      <vt:variant>
        <vt:lpwstr>_Toc120549400</vt:lpwstr>
      </vt:variant>
      <vt:variant>
        <vt:i4>1048630</vt:i4>
      </vt:variant>
      <vt:variant>
        <vt:i4>467</vt:i4>
      </vt:variant>
      <vt:variant>
        <vt:i4>0</vt:i4>
      </vt:variant>
      <vt:variant>
        <vt:i4>5</vt:i4>
      </vt:variant>
      <vt:variant>
        <vt:lpwstr/>
      </vt:variant>
      <vt:variant>
        <vt:lpwstr>_Toc120549399</vt:lpwstr>
      </vt:variant>
      <vt:variant>
        <vt:i4>1048630</vt:i4>
      </vt:variant>
      <vt:variant>
        <vt:i4>461</vt:i4>
      </vt:variant>
      <vt:variant>
        <vt:i4>0</vt:i4>
      </vt:variant>
      <vt:variant>
        <vt:i4>5</vt:i4>
      </vt:variant>
      <vt:variant>
        <vt:lpwstr/>
      </vt:variant>
      <vt:variant>
        <vt:lpwstr>_Toc120549398</vt:lpwstr>
      </vt:variant>
      <vt:variant>
        <vt:i4>1048630</vt:i4>
      </vt:variant>
      <vt:variant>
        <vt:i4>455</vt:i4>
      </vt:variant>
      <vt:variant>
        <vt:i4>0</vt:i4>
      </vt:variant>
      <vt:variant>
        <vt:i4>5</vt:i4>
      </vt:variant>
      <vt:variant>
        <vt:lpwstr/>
      </vt:variant>
      <vt:variant>
        <vt:lpwstr>_Toc120549397</vt:lpwstr>
      </vt:variant>
      <vt:variant>
        <vt:i4>1048630</vt:i4>
      </vt:variant>
      <vt:variant>
        <vt:i4>449</vt:i4>
      </vt:variant>
      <vt:variant>
        <vt:i4>0</vt:i4>
      </vt:variant>
      <vt:variant>
        <vt:i4>5</vt:i4>
      </vt:variant>
      <vt:variant>
        <vt:lpwstr/>
      </vt:variant>
      <vt:variant>
        <vt:lpwstr>_Toc120549396</vt:lpwstr>
      </vt:variant>
      <vt:variant>
        <vt:i4>1048630</vt:i4>
      </vt:variant>
      <vt:variant>
        <vt:i4>443</vt:i4>
      </vt:variant>
      <vt:variant>
        <vt:i4>0</vt:i4>
      </vt:variant>
      <vt:variant>
        <vt:i4>5</vt:i4>
      </vt:variant>
      <vt:variant>
        <vt:lpwstr/>
      </vt:variant>
      <vt:variant>
        <vt:lpwstr>_Toc120549395</vt:lpwstr>
      </vt:variant>
      <vt:variant>
        <vt:i4>1048630</vt:i4>
      </vt:variant>
      <vt:variant>
        <vt:i4>437</vt:i4>
      </vt:variant>
      <vt:variant>
        <vt:i4>0</vt:i4>
      </vt:variant>
      <vt:variant>
        <vt:i4>5</vt:i4>
      </vt:variant>
      <vt:variant>
        <vt:lpwstr/>
      </vt:variant>
      <vt:variant>
        <vt:lpwstr>_Toc120549394</vt:lpwstr>
      </vt:variant>
      <vt:variant>
        <vt:i4>1048630</vt:i4>
      </vt:variant>
      <vt:variant>
        <vt:i4>431</vt:i4>
      </vt:variant>
      <vt:variant>
        <vt:i4>0</vt:i4>
      </vt:variant>
      <vt:variant>
        <vt:i4>5</vt:i4>
      </vt:variant>
      <vt:variant>
        <vt:lpwstr/>
      </vt:variant>
      <vt:variant>
        <vt:lpwstr>_Toc120549393</vt:lpwstr>
      </vt:variant>
      <vt:variant>
        <vt:i4>1048630</vt:i4>
      </vt:variant>
      <vt:variant>
        <vt:i4>425</vt:i4>
      </vt:variant>
      <vt:variant>
        <vt:i4>0</vt:i4>
      </vt:variant>
      <vt:variant>
        <vt:i4>5</vt:i4>
      </vt:variant>
      <vt:variant>
        <vt:lpwstr/>
      </vt:variant>
      <vt:variant>
        <vt:lpwstr>_Toc120549392</vt:lpwstr>
      </vt:variant>
      <vt:variant>
        <vt:i4>1048630</vt:i4>
      </vt:variant>
      <vt:variant>
        <vt:i4>419</vt:i4>
      </vt:variant>
      <vt:variant>
        <vt:i4>0</vt:i4>
      </vt:variant>
      <vt:variant>
        <vt:i4>5</vt:i4>
      </vt:variant>
      <vt:variant>
        <vt:lpwstr/>
      </vt:variant>
      <vt:variant>
        <vt:lpwstr>_Toc120549391</vt:lpwstr>
      </vt:variant>
      <vt:variant>
        <vt:i4>1048630</vt:i4>
      </vt:variant>
      <vt:variant>
        <vt:i4>413</vt:i4>
      </vt:variant>
      <vt:variant>
        <vt:i4>0</vt:i4>
      </vt:variant>
      <vt:variant>
        <vt:i4>5</vt:i4>
      </vt:variant>
      <vt:variant>
        <vt:lpwstr/>
      </vt:variant>
      <vt:variant>
        <vt:lpwstr>_Toc120549390</vt:lpwstr>
      </vt:variant>
      <vt:variant>
        <vt:i4>1114166</vt:i4>
      </vt:variant>
      <vt:variant>
        <vt:i4>407</vt:i4>
      </vt:variant>
      <vt:variant>
        <vt:i4>0</vt:i4>
      </vt:variant>
      <vt:variant>
        <vt:i4>5</vt:i4>
      </vt:variant>
      <vt:variant>
        <vt:lpwstr/>
      </vt:variant>
      <vt:variant>
        <vt:lpwstr>_Toc120549389</vt:lpwstr>
      </vt:variant>
      <vt:variant>
        <vt:i4>1114166</vt:i4>
      </vt:variant>
      <vt:variant>
        <vt:i4>401</vt:i4>
      </vt:variant>
      <vt:variant>
        <vt:i4>0</vt:i4>
      </vt:variant>
      <vt:variant>
        <vt:i4>5</vt:i4>
      </vt:variant>
      <vt:variant>
        <vt:lpwstr/>
      </vt:variant>
      <vt:variant>
        <vt:lpwstr>_Toc120549388</vt:lpwstr>
      </vt:variant>
      <vt:variant>
        <vt:i4>1114166</vt:i4>
      </vt:variant>
      <vt:variant>
        <vt:i4>395</vt:i4>
      </vt:variant>
      <vt:variant>
        <vt:i4>0</vt:i4>
      </vt:variant>
      <vt:variant>
        <vt:i4>5</vt:i4>
      </vt:variant>
      <vt:variant>
        <vt:lpwstr/>
      </vt:variant>
      <vt:variant>
        <vt:lpwstr>_Toc120549387</vt:lpwstr>
      </vt:variant>
      <vt:variant>
        <vt:i4>1114166</vt:i4>
      </vt:variant>
      <vt:variant>
        <vt:i4>389</vt:i4>
      </vt:variant>
      <vt:variant>
        <vt:i4>0</vt:i4>
      </vt:variant>
      <vt:variant>
        <vt:i4>5</vt:i4>
      </vt:variant>
      <vt:variant>
        <vt:lpwstr/>
      </vt:variant>
      <vt:variant>
        <vt:lpwstr>_Toc120549386</vt:lpwstr>
      </vt:variant>
      <vt:variant>
        <vt:i4>1114166</vt:i4>
      </vt:variant>
      <vt:variant>
        <vt:i4>383</vt:i4>
      </vt:variant>
      <vt:variant>
        <vt:i4>0</vt:i4>
      </vt:variant>
      <vt:variant>
        <vt:i4>5</vt:i4>
      </vt:variant>
      <vt:variant>
        <vt:lpwstr/>
      </vt:variant>
      <vt:variant>
        <vt:lpwstr>_Toc120549385</vt:lpwstr>
      </vt:variant>
      <vt:variant>
        <vt:i4>1114166</vt:i4>
      </vt:variant>
      <vt:variant>
        <vt:i4>377</vt:i4>
      </vt:variant>
      <vt:variant>
        <vt:i4>0</vt:i4>
      </vt:variant>
      <vt:variant>
        <vt:i4>5</vt:i4>
      </vt:variant>
      <vt:variant>
        <vt:lpwstr/>
      </vt:variant>
      <vt:variant>
        <vt:lpwstr>_Toc120549384</vt:lpwstr>
      </vt:variant>
      <vt:variant>
        <vt:i4>1114166</vt:i4>
      </vt:variant>
      <vt:variant>
        <vt:i4>371</vt:i4>
      </vt:variant>
      <vt:variant>
        <vt:i4>0</vt:i4>
      </vt:variant>
      <vt:variant>
        <vt:i4>5</vt:i4>
      </vt:variant>
      <vt:variant>
        <vt:lpwstr/>
      </vt:variant>
      <vt:variant>
        <vt:lpwstr>_Toc120549383</vt:lpwstr>
      </vt:variant>
      <vt:variant>
        <vt:i4>1114166</vt:i4>
      </vt:variant>
      <vt:variant>
        <vt:i4>365</vt:i4>
      </vt:variant>
      <vt:variant>
        <vt:i4>0</vt:i4>
      </vt:variant>
      <vt:variant>
        <vt:i4>5</vt:i4>
      </vt:variant>
      <vt:variant>
        <vt:lpwstr/>
      </vt:variant>
      <vt:variant>
        <vt:lpwstr>_Toc120549382</vt:lpwstr>
      </vt:variant>
      <vt:variant>
        <vt:i4>1114166</vt:i4>
      </vt:variant>
      <vt:variant>
        <vt:i4>359</vt:i4>
      </vt:variant>
      <vt:variant>
        <vt:i4>0</vt:i4>
      </vt:variant>
      <vt:variant>
        <vt:i4>5</vt:i4>
      </vt:variant>
      <vt:variant>
        <vt:lpwstr/>
      </vt:variant>
      <vt:variant>
        <vt:lpwstr>_Toc120549381</vt:lpwstr>
      </vt:variant>
      <vt:variant>
        <vt:i4>1114166</vt:i4>
      </vt:variant>
      <vt:variant>
        <vt:i4>353</vt:i4>
      </vt:variant>
      <vt:variant>
        <vt:i4>0</vt:i4>
      </vt:variant>
      <vt:variant>
        <vt:i4>5</vt:i4>
      </vt:variant>
      <vt:variant>
        <vt:lpwstr/>
      </vt:variant>
      <vt:variant>
        <vt:lpwstr>_Toc120549380</vt:lpwstr>
      </vt:variant>
      <vt:variant>
        <vt:i4>1966134</vt:i4>
      </vt:variant>
      <vt:variant>
        <vt:i4>347</vt:i4>
      </vt:variant>
      <vt:variant>
        <vt:i4>0</vt:i4>
      </vt:variant>
      <vt:variant>
        <vt:i4>5</vt:i4>
      </vt:variant>
      <vt:variant>
        <vt:lpwstr/>
      </vt:variant>
      <vt:variant>
        <vt:lpwstr>_Toc120549379</vt:lpwstr>
      </vt:variant>
      <vt:variant>
        <vt:i4>1966134</vt:i4>
      </vt:variant>
      <vt:variant>
        <vt:i4>341</vt:i4>
      </vt:variant>
      <vt:variant>
        <vt:i4>0</vt:i4>
      </vt:variant>
      <vt:variant>
        <vt:i4>5</vt:i4>
      </vt:variant>
      <vt:variant>
        <vt:lpwstr/>
      </vt:variant>
      <vt:variant>
        <vt:lpwstr>_Toc120549378</vt:lpwstr>
      </vt:variant>
      <vt:variant>
        <vt:i4>1966134</vt:i4>
      </vt:variant>
      <vt:variant>
        <vt:i4>335</vt:i4>
      </vt:variant>
      <vt:variant>
        <vt:i4>0</vt:i4>
      </vt:variant>
      <vt:variant>
        <vt:i4>5</vt:i4>
      </vt:variant>
      <vt:variant>
        <vt:lpwstr/>
      </vt:variant>
      <vt:variant>
        <vt:lpwstr>_Toc120549377</vt:lpwstr>
      </vt:variant>
      <vt:variant>
        <vt:i4>1966134</vt:i4>
      </vt:variant>
      <vt:variant>
        <vt:i4>329</vt:i4>
      </vt:variant>
      <vt:variant>
        <vt:i4>0</vt:i4>
      </vt:variant>
      <vt:variant>
        <vt:i4>5</vt:i4>
      </vt:variant>
      <vt:variant>
        <vt:lpwstr/>
      </vt:variant>
      <vt:variant>
        <vt:lpwstr>_Toc120549376</vt:lpwstr>
      </vt:variant>
      <vt:variant>
        <vt:i4>1966134</vt:i4>
      </vt:variant>
      <vt:variant>
        <vt:i4>323</vt:i4>
      </vt:variant>
      <vt:variant>
        <vt:i4>0</vt:i4>
      </vt:variant>
      <vt:variant>
        <vt:i4>5</vt:i4>
      </vt:variant>
      <vt:variant>
        <vt:lpwstr/>
      </vt:variant>
      <vt:variant>
        <vt:lpwstr>_Toc120549375</vt:lpwstr>
      </vt:variant>
      <vt:variant>
        <vt:i4>1966134</vt:i4>
      </vt:variant>
      <vt:variant>
        <vt:i4>317</vt:i4>
      </vt:variant>
      <vt:variant>
        <vt:i4>0</vt:i4>
      </vt:variant>
      <vt:variant>
        <vt:i4>5</vt:i4>
      </vt:variant>
      <vt:variant>
        <vt:lpwstr/>
      </vt:variant>
      <vt:variant>
        <vt:lpwstr>_Toc120549374</vt:lpwstr>
      </vt:variant>
      <vt:variant>
        <vt:i4>1966134</vt:i4>
      </vt:variant>
      <vt:variant>
        <vt:i4>311</vt:i4>
      </vt:variant>
      <vt:variant>
        <vt:i4>0</vt:i4>
      </vt:variant>
      <vt:variant>
        <vt:i4>5</vt:i4>
      </vt:variant>
      <vt:variant>
        <vt:lpwstr/>
      </vt:variant>
      <vt:variant>
        <vt:lpwstr>_Toc120549373</vt:lpwstr>
      </vt:variant>
      <vt:variant>
        <vt:i4>1966134</vt:i4>
      </vt:variant>
      <vt:variant>
        <vt:i4>305</vt:i4>
      </vt:variant>
      <vt:variant>
        <vt:i4>0</vt:i4>
      </vt:variant>
      <vt:variant>
        <vt:i4>5</vt:i4>
      </vt:variant>
      <vt:variant>
        <vt:lpwstr/>
      </vt:variant>
      <vt:variant>
        <vt:lpwstr>_Toc120549372</vt:lpwstr>
      </vt:variant>
      <vt:variant>
        <vt:i4>1966134</vt:i4>
      </vt:variant>
      <vt:variant>
        <vt:i4>299</vt:i4>
      </vt:variant>
      <vt:variant>
        <vt:i4>0</vt:i4>
      </vt:variant>
      <vt:variant>
        <vt:i4>5</vt:i4>
      </vt:variant>
      <vt:variant>
        <vt:lpwstr/>
      </vt:variant>
      <vt:variant>
        <vt:lpwstr>_Toc120549371</vt:lpwstr>
      </vt:variant>
      <vt:variant>
        <vt:i4>1966134</vt:i4>
      </vt:variant>
      <vt:variant>
        <vt:i4>293</vt:i4>
      </vt:variant>
      <vt:variant>
        <vt:i4>0</vt:i4>
      </vt:variant>
      <vt:variant>
        <vt:i4>5</vt:i4>
      </vt:variant>
      <vt:variant>
        <vt:lpwstr/>
      </vt:variant>
      <vt:variant>
        <vt:lpwstr>_Toc120549370</vt:lpwstr>
      </vt:variant>
      <vt:variant>
        <vt:i4>2031670</vt:i4>
      </vt:variant>
      <vt:variant>
        <vt:i4>287</vt:i4>
      </vt:variant>
      <vt:variant>
        <vt:i4>0</vt:i4>
      </vt:variant>
      <vt:variant>
        <vt:i4>5</vt:i4>
      </vt:variant>
      <vt:variant>
        <vt:lpwstr/>
      </vt:variant>
      <vt:variant>
        <vt:lpwstr>_Toc120549369</vt:lpwstr>
      </vt:variant>
      <vt:variant>
        <vt:i4>2031670</vt:i4>
      </vt:variant>
      <vt:variant>
        <vt:i4>281</vt:i4>
      </vt:variant>
      <vt:variant>
        <vt:i4>0</vt:i4>
      </vt:variant>
      <vt:variant>
        <vt:i4>5</vt:i4>
      </vt:variant>
      <vt:variant>
        <vt:lpwstr/>
      </vt:variant>
      <vt:variant>
        <vt:lpwstr>_Toc120549368</vt:lpwstr>
      </vt:variant>
      <vt:variant>
        <vt:i4>2031670</vt:i4>
      </vt:variant>
      <vt:variant>
        <vt:i4>275</vt:i4>
      </vt:variant>
      <vt:variant>
        <vt:i4>0</vt:i4>
      </vt:variant>
      <vt:variant>
        <vt:i4>5</vt:i4>
      </vt:variant>
      <vt:variant>
        <vt:lpwstr/>
      </vt:variant>
      <vt:variant>
        <vt:lpwstr>_Toc120549367</vt:lpwstr>
      </vt:variant>
      <vt:variant>
        <vt:i4>2031670</vt:i4>
      </vt:variant>
      <vt:variant>
        <vt:i4>269</vt:i4>
      </vt:variant>
      <vt:variant>
        <vt:i4>0</vt:i4>
      </vt:variant>
      <vt:variant>
        <vt:i4>5</vt:i4>
      </vt:variant>
      <vt:variant>
        <vt:lpwstr/>
      </vt:variant>
      <vt:variant>
        <vt:lpwstr>_Toc120549366</vt:lpwstr>
      </vt:variant>
      <vt:variant>
        <vt:i4>2031670</vt:i4>
      </vt:variant>
      <vt:variant>
        <vt:i4>263</vt:i4>
      </vt:variant>
      <vt:variant>
        <vt:i4>0</vt:i4>
      </vt:variant>
      <vt:variant>
        <vt:i4>5</vt:i4>
      </vt:variant>
      <vt:variant>
        <vt:lpwstr/>
      </vt:variant>
      <vt:variant>
        <vt:lpwstr>_Toc120549365</vt:lpwstr>
      </vt:variant>
      <vt:variant>
        <vt:i4>2031670</vt:i4>
      </vt:variant>
      <vt:variant>
        <vt:i4>257</vt:i4>
      </vt:variant>
      <vt:variant>
        <vt:i4>0</vt:i4>
      </vt:variant>
      <vt:variant>
        <vt:i4>5</vt:i4>
      </vt:variant>
      <vt:variant>
        <vt:lpwstr/>
      </vt:variant>
      <vt:variant>
        <vt:lpwstr>_Toc120549364</vt:lpwstr>
      </vt:variant>
      <vt:variant>
        <vt:i4>2031670</vt:i4>
      </vt:variant>
      <vt:variant>
        <vt:i4>251</vt:i4>
      </vt:variant>
      <vt:variant>
        <vt:i4>0</vt:i4>
      </vt:variant>
      <vt:variant>
        <vt:i4>5</vt:i4>
      </vt:variant>
      <vt:variant>
        <vt:lpwstr/>
      </vt:variant>
      <vt:variant>
        <vt:lpwstr>_Toc120549363</vt:lpwstr>
      </vt:variant>
      <vt:variant>
        <vt:i4>2031670</vt:i4>
      </vt:variant>
      <vt:variant>
        <vt:i4>245</vt:i4>
      </vt:variant>
      <vt:variant>
        <vt:i4>0</vt:i4>
      </vt:variant>
      <vt:variant>
        <vt:i4>5</vt:i4>
      </vt:variant>
      <vt:variant>
        <vt:lpwstr/>
      </vt:variant>
      <vt:variant>
        <vt:lpwstr>_Toc120549362</vt:lpwstr>
      </vt:variant>
      <vt:variant>
        <vt:i4>2031670</vt:i4>
      </vt:variant>
      <vt:variant>
        <vt:i4>239</vt:i4>
      </vt:variant>
      <vt:variant>
        <vt:i4>0</vt:i4>
      </vt:variant>
      <vt:variant>
        <vt:i4>5</vt:i4>
      </vt:variant>
      <vt:variant>
        <vt:lpwstr/>
      </vt:variant>
      <vt:variant>
        <vt:lpwstr>_Toc120549361</vt:lpwstr>
      </vt:variant>
      <vt:variant>
        <vt:i4>2031670</vt:i4>
      </vt:variant>
      <vt:variant>
        <vt:i4>233</vt:i4>
      </vt:variant>
      <vt:variant>
        <vt:i4>0</vt:i4>
      </vt:variant>
      <vt:variant>
        <vt:i4>5</vt:i4>
      </vt:variant>
      <vt:variant>
        <vt:lpwstr/>
      </vt:variant>
      <vt:variant>
        <vt:lpwstr>_Toc120549360</vt:lpwstr>
      </vt:variant>
      <vt:variant>
        <vt:i4>1835062</vt:i4>
      </vt:variant>
      <vt:variant>
        <vt:i4>227</vt:i4>
      </vt:variant>
      <vt:variant>
        <vt:i4>0</vt:i4>
      </vt:variant>
      <vt:variant>
        <vt:i4>5</vt:i4>
      </vt:variant>
      <vt:variant>
        <vt:lpwstr/>
      </vt:variant>
      <vt:variant>
        <vt:lpwstr>_Toc120549359</vt:lpwstr>
      </vt:variant>
      <vt:variant>
        <vt:i4>1835062</vt:i4>
      </vt:variant>
      <vt:variant>
        <vt:i4>221</vt:i4>
      </vt:variant>
      <vt:variant>
        <vt:i4>0</vt:i4>
      </vt:variant>
      <vt:variant>
        <vt:i4>5</vt:i4>
      </vt:variant>
      <vt:variant>
        <vt:lpwstr/>
      </vt:variant>
      <vt:variant>
        <vt:lpwstr>_Toc120549358</vt:lpwstr>
      </vt:variant>
      <vt:variant>
        <vt:i4>1835062</vt:i4>
      </vt:variant>
      <vt:variant>
        <vt:i4>215</vt:i4>
      </vt:variant>
      <vt:variant>
        <vt:i4>0</vt:i4>
      </vt:variant>
      <vt:variant>
        <vt:i4>5</vt:i4>
      </vt:variant>
      <vt:variant>
        <vt:lpwstr/>
      </vt:variant>
      <vt:variant>
        <vt:lpwstr>_Toc120549357</vt:lpwstr>
      </vt:variant>
      <vt:variant>
        <vt:i4>1835062</vt:i4>
      </vt:variant>
      <vt:variant>
        <vt:i4>209</vt:i4>
      </vt:variant>
      <vt:variant>
        <vt:i4>0</vt:i4>
      </vt:variant>
      <vt:variant>
        <vt:i4>5</vt:i4>
      </vt:variant>
      <vt:variant>
        <vt:lpwstr/>
      </vt:variant>
      <vt:variant>
        <vt:lpwstr>_Toc120549356</vt:lpwstr>
      </vt:variant>
      <vt:variant>
        <vt:i4>1835062</vt:i4>
      </vt:variant>
      <vt:variant>
        <vt:i4>203</vt:i4>
      </vt:variant>
      <vt:variant>
        <vt:i4>0</vt:i4>
      </vt:variant>
      <vt:variant>
        <vt:i4>5</vt:i4>
      </vt:variant>
      <vt:variant>
        <vt:lpwstr/>
      </vt:variant>
      <vt:variant>
        <vt:lpwstr>_Toc120549355</vt:lpwstr>
      </vt:variant>
      <vt:variant>
        <vt:i4>1835062</vt:i4>
      </vt:variant>
      <vt:variant>
        <vt:i4>197</vt:i4>
      </vt:variant>
      <vt:variant>
        <vt:i4>0</vt:i4>
      </vt:variant>
      <vt:variant>
        <vt:i4>5</vt:i4>
      </vt:variant>
      <vt:variant>
        <vt:lpwstr/>
      </vt:variant>
      <vt:variant>
        <vt:lpwstr>_Toc120549354</vt:lpwstr>
      </vt:variant>
      <vt:variant>
        <vt:i4>1835062</vt:i4>
      </vt:variant>
      <vt:variant>
        <vt:i4>191</vt:i4>
      </vt:variant>
      <vt:variant>
        <vt:i4>0</vt:i4>
      </vt:variant>
      <vt:variant>
        <vt:i4>5</vt:i4>
      </vt:variant>
      <vt:variant>
        <vt:lpwstr/>
      </vt:variant>
      <vt:variant>
        <vt:lpwstr>_Toc120549353</vt:lpwstr>
      </vt:variant>
      <vt:variant>
        <vt:i4>1835062</vt:i4>
      </vt:variant>
      <vt:variant>
        <vt:i4>185</vt:i4>
      </vt:variant>
      <vt:variant>
        <vt:i4>0</vt:i4>
      </vt:variant>
      <vt:variant>
        <vt:i4>5</vt:i4>
      </vt:variant>
      <vt:variant>
        <vt:lpwstr/>
      </vt:variant>
      <vt:variant>
        <vt:lpwstr>_Toc120549352</vt:lpwstr>
      </vt:variant>
      <vt:variant>
        <vt:i4>1835062</vt:i4>
      </vt:variant>
      <vt:variant>
        <vt:i4>179</vt:i4>
      </vt:variant>
      <vt:variant>
        <vt:i4>0</vt:i4>
      </vt:variant>
      <vt:variant>
        <vt:i4>5</vt:i4>
      </vt:variant>
      <vt:variant>
        <vt:lpwstr/>
      </vt:variant>
      <vt:variant>
        <vt:lpwstr>_Toc120549351</vt:lpwstr>
      </vt:variant>
      <vt:variant>
        <vt:i4>1835062</vt:i4>
      </vt:variant>
      <vt:variant>
        <vt:i4>173</vt:i4>
      </vt:variant>
      <vt:variant>
        <vt:i4>0</vt:i4>
      </vt:variant>
      <vt:variant>
        <vt:i4>5</vt:i4>
      </vt:variant>
      <vt:variant>
        <vt:lpwstr/>
      </vt:variant>
      <vt:variant>
        <vt:lpwstr>_Toc120549350</vt:lpwstr>
      </vt:variant>
      <vt:variant>
        <vt:i4>1900598</vt:i4>
      </vt:variant>
      <vt:variant>
        <vt:i4>167</vt:i4>
      </vt:variant>
      <vt:variant>
        <vt:i4>0</vt:i4>
      </vt:variant>
      <vt:variant>
        <vt:i4>5</vt:i4>
      </vt:variant>
      <vt:variant>
        <vt:lpwstr/>
      </vt:variant>
      <vt:variant>
        <vt:lpwstr>_Toc120549349</vt:lpwstr>
      </vt:variant>
      <vt:variant>
        <vt:i4>1900598</vt:i4>
      </vt:variant>
      <vt:variant>
        <vt:i4>161</vt:i4>
      </vt:variant>
      <vt:variant>
        <vt:i4>0</vt:i4>
      </vt:variant>
      <vt:variant>
        <vt:i4>5</vt:i4>
      </vt:variant>
      <vt:variant>
        <vt:lpwstr/>
      </vt:variant>
      <vt:variant>
        <vt:lpwstr>_Toc120549348</vt:lpwstr>
      </vt:variant>
      <vt:variant>
        <vt:i4>1900598</vt:i4>
      </vt:variant>
      <vt:variant>
        <vt:i4>155</vt:i4>
      </vt:variant>
      <vt:variant>
        <vt:i4>0</vt:i4>
      </vt:variant>
      <vt:variant>
        <vt:i4>5</vt:i4>
      </vt:variant>
      <vt:variant>
        <vt:lpwstr/>
      </vt:variant>
      <vt:variant>
        <vt:lpwstr>_Toc120549347</vt:lpwstr>
      </vt:variant>
      <vt:variant>
        <vt:i4>1900598</vt:i4>
      </vt:variant>
      <vt:variant>
        <vt:i4>149</vt:i4>
      </vt:variant>
      <vt:variant>
        <vt:i4>0</vt:i4>
      </vt:variant>
      <vt:variant>
        <vt:i4>5</vt:i4>
      </vt:variant>
      <vt:variant>
        <vt:lpwstr/>
      </vt:variant>
      <vt:variant>
        <vt:lpwstr>_Toc120549346</vt:lpwstr>
      </vt:variant>
      <vt:variant>
        <vt:i4>1900598</vt:i4>
      </vt:variant>
      <vt:variant>
        <vt:i4>143</vt:i4>
      </vt:variant>
      <vt:variant>
        <vt:i4>0</vt:i4>
      </vt:variant>
      <vt:variant>
        <vt:i4>5</vt:i4>
      </vt:variant>
      <vt:variant>
        <vt:lpwstr/>
      </vt:variant>
      <vt:variant>
        <vt:lpwstr>_Toc120549345</vt:lpwstr>
      </vt:variant>
      <vt:variant>
        <vt:i4>1900598</vt:i4>
      </vt:variant>
      <vt:variant>
        <vt:i4>137</vt:i4>
      </vt:variant>
      <vt:variant>
        <vt:i4>0</vt:i4>
      </vt:variant>
      <vt:variant>
        <vt:i4>5</vt:i4>
      </vt:variant>
      <vt:variant>
        <vt:lpwstr/>
      </vt:variant>
      <vt:variant>
        <vt:lpwstr>_Toc120549344</vt:lpwstr>
      </vt:variant>
      <vt:variant>
        <vt:i4>1900598</vt:i4>
      </vt:variant>
      <vt:variant>
        <vt:i4>131</vt:i4>
      </vt:variant>
      <vt:variant>
        <vt:i4>0</vt:i4>
      </vt:variant>
      <vt:variant>
        <vt:i4>5</vt:i4>
      </vt:variant>
      <vt:variant>
        <vt:lpwstr/>
      </vt:variant>
      <vt:variant>
        <vt:lpwstr>_Toc120549343</vt:lpwstr>
      </vt:variant>
      <vt:variant>
        <vt:i4>1900598</vt:i4>
      </vt:variant>
      <vt:variant>
        <vt:i4>125</vt:i4>
      </vt:variant>
      <vt:variant>
        <vt:i4>0</vt:i4>
      </vt:variant>
      <vt:variant>
        <vt:i4>5</vt:i4>
      </vt:variant>
      <vt:variant>
        <vt:lpwstr/>
      </vt:variant>
      <vt:variant>
        <vt:lpwstr>_Toc120549342</vt:lpwstr>
      </vt:variant>
      <vt:variant>
        <vt:i4>1900598</vt:i4>
      </vt:variant>
      <vt:variant>
        <vt:i4>119</vt:i4>
      </vt:variant>
      <vt:variant>
        <vt:i4>0</vt:i4>
      </vt:variant>
      <vt:variant>
        <vt:i4>5</vt:i4>
      </vt:variant>
      <vt:variant>
        <vt:lpwstr/>
      </vt:variant>
      <vt:variant>
        <vt:lpwstr>_Toc120549341</vt:lpwstr>
      </vt:variant>
      <vt:variant>
        <vt:i4>1900598</vt:i4>
      </vt:variant>
      <vt:variant>
        <vt:i4>113</vt:i4>
      </vt:variant>
      <vt:variant>
        <vt:i4>0</vt:i4>
      </vt:variant>
      <vt:variant>
        <vt:i4>5</vt:i4>
      </vt:variant>
      <vt:variant>
        <vt:lpwstr/>
      </vt:variant>
      <vt:variant>
        <vt:lpwstr>_Toc120549340</vt:lpwstr>
      </vt:variant>
      <vt:variant>
        <vt:i4>1703990</vt:i4>
      </vt:variant>
      <vt:variant>
        <vt:i4>107</vt:i4>
      </vt:variant>
      <vt:variant>
        <vt:i4>0</vt:i4>
      </vt:variant>
      <vt:variant>
        <vt:i4>5</vt:i4>
      </vt:variant>
      <vt:variant>
        <vt:lpwstr/>
      </vt:variant>
      <vt:variant>
        <vt:lpwstr>_Toc120549339</vt:lpwstr>
      </vt:variant>
      <vt:variant>
        <vt:i4>1703990</vt:i4>
      </vt:variant>
      <vt:variant>
        <vt:i4>101</vt:i4>
      </vt:variant>
      <vt:variant>
        <vt:i4>0</vt:i4>
      </vt:variant>
      <vt:variant>
        <vt:i4>5</vt:i4>
      </vt:variant>
      <vt:variant>
        <vt:lpwstr/>
      </vt:variant>
      <vt:variant>
        <vt:lpwstr>_Toc120549338</vt:lpwstr>
      </vt:variant>
      <vt:variant>
        <vt:i4>1703990</vt:i4>
      </vt:variant>
      <vt:variant>
        <vt:i4>95</vt:i4>
      </vt:variant>
      <vt:variant>
        <vt:i4>0</vt:i4>
      </vt:variant>
      <vt:variant>
        <vt:i4>5</vt:i4>
      </vt:variant>
      <vt:variant>
        <vt:lpwstr/>
      </vt:variant>
      <vt:variant>
        <vt:lpwstr>_Toc120549337</vt:lpwstr>
      </vt:variant>
      <vt:variant>
        <vt:i4>1703990</vt:i4>
      </vt:variant>
      <vt:variant>
        <vt:i4>89</vt:i4>
      </vt:variant>
      <vt:variant>
        <vt:i4>0</vt:i4>
      </vt:variant>
      <vt:variant>
        <vt:i4>5</vt:i4>
      </vt:variant>
      <vt:variant>
        <vt:lpwstr/>
      </vt:variant>
      <vt:variant>
        <vt:lpwstr>_Toc120549336</vt:lpwstr>
      </vt:variant>
      <vt:variant>
        <vt:i4>1703990</vt:i4>
      </vt:variant>
      <vt:variant>
        <vt:i4>83</vt:i4>
      </vt:variant>
      <vt:variant>
        <vt:i4>0</vt:i4>
      </vt:variant>
      <vt:variant>
        <vt:i4>5</vt:i4>
      </vt:variant>
      <vt:variant>
        <vt:lpwstr/>
      </vt:variant>
      <vt:variant>
        <vt:lpwstr>_Toc120549335</vt:lpwstr>
      </vt:variant>
      <vt:variant>
        <vt:i4>1703990</vt:i4>
      </vt:variant>
      <vt:variant>
        <vt:i4>77</vt:i4>
      </vt:variant>
      <vt:variant>
        <vt:i4>0</vt:i4>
      </vt:variant>
      <vt:variant>
        <vt:i4>5</vt:i4>
      </vt:variant>
      <vt:variant>
        <vt:lpwstr/>
      </vt:variant>
      <vt:variant>
        <vt:lpwstr>_Toc120549334</vt:lpwstr>
      </vt:variant>
      <vt:variant>
        <vt:i4>1703990</vt:i4>
      </vt:variant>
      <vt:variant>
        <vt:i4>71</vt:i4>
      </vt:variant>
      <vt:variant>
        <vt:i4>0</vt:i4>
      </vt:variant>
      <vt:variant>
        <vt:i4>5</vt:i4>
      </vt:variant>
      <vt:variant>
        <vt:lpwstr/>
      </vt:variant>
      <vt:variant>
        <vt:lpwstr>_Toc120549333</vt:lpwstr>
      </vt:variant>
      <vt:variant>
        <vt:i4>1703990</vt:i4>
      </vt:variant>
      <vt:variant>
        <vt:i4>65</vt:i4>
      </vt:variant>
      <vt:variant>
        <vt:i4>0</vt:i4>
      </vt:variant>
      <vt:variant>
        <vt:i4>5</vt:i4>
      </vt:variant>
      <vt:variant>
        <vt:lpwstr/>
      </vt:variant>
      <vt:variant>
        <vt:lpwstr>_Toc120549332</vt:lpwstr>
      </vt:variant>
      <vt:variant>
        <vt:i4>1703990</vt:i4>
      </vt:variant>
      <vt:variant>
        <vt:i4>59</vt:i4>
      </vt:variant>
      <vt:variant>
        <vt:i4>0</vt:i4>
      </vt:variant>
      <vt:variant>
        <vt:i4>5</vt:i4>
      </vt:variant>
      <vt:variant>
        <vt:lpwstr/>
      </vt:variant>
      <vt:variant>
        <vt:lpwstr>_Toc120549331</vt:lpwstr>
      </vt:variant>
      <vt:variant>
        <vt:i4>1703990</vt:i4>
      </vt:variant>
      <vt:variant>
        <vt:i4>53</vt:i4>
      </vt:variant>
      <vt:variant>
        <vt:i4>0</vt:i4>
      </vt:variant>
      <vt:variant>
        <vt:i4>5</vt:i4>
      </vt:variant>
      <vt:variant>
        <vt:lpwstr/>
      </vt:variant>
      <vt:variant>
        <vt:lpwstr>_Toc120549330</vt:lpwstr>
      </vt:variant>
      <vt:variant>
        <vt:i4>1769526</vt:i4>
      </vt:variant>
      <vt:variant>
        <vt:i4>47</vt:i4>
      </vt:variant>
      <vt:variant>
        <vt:i4>0</vt:i4>
      </vt:variant>
      <vt:variant>
        <vt:i4>5</vt:i4>
      </vt:variant>
      <vt:variant>
        <vt:lpwstr/>
      </vt:variant>
      <vt:variant>
        <vt:lpwstr>_Toc120549329</vt:lpwstr>
      </vt:variant>
      <vt:variant>
        <vt:i4>1769526</vt:i4>
      </vt:variant>
      <vt:variant>
        <vt:i4>41</vt:i4>
      </vt:variant>
      <vt:variant>
        <vt:i4>0</vt:i4>
      </vt:variant>
      <vt:variant>
        <vt:i4>5</vt:i4>
      </vt:variant>
      <vt:variant>
        <vt:lpwstr/>
      </vt:variant>
      <vt:variant>
        <vt:lpwstr>_Toc120549328</vt:lpwstr>
      </vt:variant>
      <vt:variant>
        <vt:i4>1769526</vt:i4>
      </vt:variant>
      <vt:variant>
        <vt:i4>35</vt:i4>
      </vt:variant>
      <vt:variant>
        <vt:i4>0</vt:i4>
      </vt:variant>
      <vt:variant>
        <vt:i4>5</vt:i4>
      </vt:variant>
      <vt:variant>
        <vt:lpwstr/>
      </vt:variant>
      <vt:variant>
        <vt:lpwstr>_Toc120549327</vt:lpwstr>
      </vt:variant>
      <vt:variant>
        <vt:i4>1769526</vt:i4>
      </vt:variant>
      <vt:variant>
        <vt:i4>29</vt:i4>
      </vt:variant>
      <vt:variant>
        <vt:i4>0</vt:i4>
      </vt:variant>
      <vt:variant>
        <vt:i4>5</vt:i4>
      </vt:variant>
      <vt:variant>
        <vt:lpwstr/>
      </vt:variant>
      <vt:variant>
        <vt:lpwstr>_Toc120549326</vt:lpwstr>
      </vt:variant>
      <vt:variant>
        <vt:i4>1769526</vt:i4>
      </vt:variant>
      <vt:variant>
        <vt:i4>23</vt:i4>
      </vt:variant>
      <vt:variant>
        <vt:i4>0</vt:i4>
      </vt:variant>
      <vt:variant>
        <vt:i4>5</vt:i4>
      </vt:variant>
      <vt:variant>
        <vt:lpwstr/>
      </vt:variant>
      <vt:variant>
        <vt:lpwstr>_Toc120549325</vt:lpwstr>
      </vt:variant>
      <vt:variant>
        <vt:i4>1769526</vt:i4>
      </vt:variant>
      <vt:variant>
        <vt:i4>17</vt:i4>
      </vt:variant>
      <vt:variant>
        <vt:i4>0</vt:i4>
      </vt:variant>
      <vt:variant>
        <vt:i4>5</vt:i4>
      </vt:variant>
      <vt:variant>
        <vt:lpwstr/>
      </vt:variant>
      <vt:variant>
        <vt:lpwstr>_Toc120549324</vt:lpwstr>
      </vt:variant>
      <vt:variant>
        <vt:i4>1769526</vt:i4>
      </vt:variant>
      <vt:variant>
        <vt:i4>11</vt:i4>
      </vt:variant>
      <vt:variant>
        <vt:i4>0</vt:i4>
      </vt:variant>
      <vt:variant>
        <vt:i4>5</vt:i4>
      </vt:variant>
      <vt:variant>
        <vt:lpwstr/>
      </vt:variant>
      <vt:variant>
        <vt:lpwstr>_Toc120549323</vt:lpwstr>
      </vt:variant>
      <vt:variant>
        <vt:i4>3735620</vt:i4>
      </vt:variant>
      <vt:variant>
        <vt:i4>6</vt:i4>
      </vt:variant>
      <vt:variant>
        <vt:i4>0</vt:i4>
      </vt:variant>
      <vt:variant>
        <vt:i4>5</vt:i4>
      </vt:variant>
      <vt:variant>
        <vt:lpwstr>mailto:communications@humanrights.gov.au</vt:lpwstr>
      </vt:variant>
      <vt:variant>
        <vt:lpwstr/>
      </vt:variant>
      <vt:variant>
        <vt:i4>3407917</vt:i4>
      </vt:variant>
      <vt:variant>
        <vt:i4>3</vt:i4>
      </vt:variant>
      <vt:variant>
        <vt:i4>0</vt:i4>
      </vt:variant>
      <vt:variant>
        <vt:i4>5</vt:i4>
      </vt:variant>
      <vt:variant>
        <vt:lpwstr>https://humanrights.gov.au/our-work/rights-and-freedoms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196629</vt:i4>
      </vt:variant>
      <vt:variant>
        <vt:i4>855</vt:i4>
      </vt:variant>
      <vt:variant>
        <vt:i4>0</vt:i4>
      </vt:variant>
      <vt:variant>
        <vt:i4>5</vt:i4>
      </vt:variant>
      <vt:variant>
        <vt:lpwstr>https://www.un.org/africarenewal/magazine/july-2022/un-general-assembly-declares-access-clean-and-healthy-environment-universal-human</vt:lpwstr>
      </vt:variant>
      <vt:variant>
        <vt:lpwstr/>
      </vt:variant>
      <vt:variant>
        <vt:i4>196629</vt:i4>
      </vt:variant>
      <vt:variant>
        <vt:i4>852</vt:i4>
      </vt:variant>
      <vt:variant>
        <vt:i4>0</vt:i4>
      </vt:variant>
      <vt:variant>
        <vt:i4>5</vt:i4>
      </vt:variant>
      <vt:variant>
        <vt:lpwstr>https://www.un.org/africarenewal/magazine/july-2022/un-general-assembly-declares-access-clean-and-healthy-environment-universal-human</vt:lpwstr>
      </vt:variant>
      <vt:variant>
        <vt:lpwstr/>
      </vt:variant>
      <vt:variant>
        <vt:i4>4718604</vt:i4>
      </vt:variant>
      <vt:variant>
        <vt:i4>849</vt:i4>
      </vt:variant>
      <vt:variant>
        <vt:i4>0</vt:i4>
      </vt:variant>
      <vt:variant>
        <vt:i4>5</vt:i4>
      </vt:variant>
      <vt:variant>
        <vt:lpwstr>https://humanrights.gov.au/our-work/rights-and-freedoms/publications/free-and-equal-reform-agenda-federal-discrimination-laws</vt:lpwstr>
      </vt:variant>
      <vt:variant>
        <vt:lpwstr/>
      </vt:variant>
      <vt:variant>
        <vt:i4>1114194</vt:i4>
      </vt:variant>
      <vt:variant>
        <vt:i4>846</vt:i4>
      </vt:variant>
      <vt:variant>
        <vt:i4>0</vt:i4>
      </vt:variant>
      <vt:variant>
        <vt:i4>5</vt:i4>
      </vt:variant>
      <vt:variant>
        <vt:lpwstr>https://ganhri.org/accreditation/</vt:lpwstr>
      </vt:variant>
      <vt:variant>
        <vt:lpwstr/>
      </vt:variant>
      <vt:variant>
        <vt:i4>327765</vt:i4>
      </vt:variant>
      <vt:variant>
        <vt:i4>843</vt:i4>
      </vt:variant>
      <vt:variant>
        <vt:i4>0</vt:i4>
      </vt:variant>
      <vt:variant>
        <vt:i4>5</vt:i4>
      </vt:variant>
      <vt:variant>
        <vt:lpwstr>https://www.humanrights.vic.gov.au/resources/2020-charter-report/</vt:lpwstr>
      </vt:variant>
      <vt:variant>
        <vt:lpwstr/>
      </vt:variant>
      <vt:variant>
        <vt:i4>4718604</vt:i4>
      </vt:variant>
      <vt:variant>
        <vt:i4>840</vt:i4>
      </vt:variant>
      <vt:variant>
        <vt:i4>0</vt:i4>
      </vt:variant>
      <vt:variant>
        <vt:i4>5</vt:i4>
      </vt:variant>
      <vt:variant>
        <vt:lpwstr>https://humanrights.gov.au/our-work/rights-and-freedoms/publications/free-and-equal-reform-agenda-federal-discrimination-laws</vt:lpwstr>
      </vt:variant>
      <vt:variant>
        <vt:lpwstr/>
      </vt:variant>
      <vt:variant>
        <vt:i4>4522025</vt:i4>
      </vt:variant>
      <vt:variant>
        <vt:i4>837</vt:i4>
      </vt:variant>
      <vt:variant>
        <vt:i4>0</vt:i4>
      </vt:variant>
      <vt:variant>
        <vt:i4>5</vt:i4>
      </vt:variant>
      <vt:variant>
        <vt:lpwstr>C:\Users\AHRC User\Downloads\Second_Report_Statement_110214.pdf</vt:lpwstr>
      </vt:variant>
      <vt:variant>
        <vt:lpwstr/>
      </vt:variant>
      <vt:variant>
        <vt:i4>4259929</vt:i4>
      </vt:variant>
      <vt:variant>
        <vt:i4>834</vt:i4>
      </vt:variant>
      <vt:variant>
        <vt:i4>0</vt:i4>
      </vt:variant>
      <vt:variant>
        <vt:i4>5</vt:i4>
      </vt:variant>
      <vt:variant>
        <vt:lpwstr>https://www.aph.gov.au/Parliamentary_Business/Committees/Senate/Scrutiny_of_Delegated_Legislation</vt:lpwstr>
      </vt:variant>
      <vt:variant>
        <vt:lpwstr/>
      </vt:variant>
      <vt:variant>
        <vt:i4>6422539</vt:i4>
      </vt:variant>
      <vt:variant>
        <vt:i4>831</vt:i4>
      </vt:variant>
      <vt:variant>
        <vt:i4>0</vt:i4>
      </vt:variant>
      <vt:variant>
        <vt:i4>5</vt:i4>
      </vt:variant>
      <vt:variant>
        <vt:lpwstr>https://www.aph.gov.au/Parliamentary_Business/Committees/Joint/Human_Rights/Committee_Membership</vt:lpwstr>
      </vt:variant>
      <vt:variant>
        <vt:lpwstr/>
      </vt:variant>
      <vt:variant>
        <vt:i4>7078001</vt:i4>
      </vt:variant>
      <vt:variant>
        <vt:i4>828</vt:i4>
      </vt:variant>
      <vt:variant>
        <vt:i4>0</vt:i4>
      </vt:variant>
      <vt:variant>
        <vt:i4>5</vt:i4>
      </vt:variant>
      <vt:variant>
        <vt:lpwstr>https://www.aph.gov.au/Parliamentary_Business/Committees/Joint/Human_Rights</vt:lpwstr>
      </vt:variant>
      <vt:variant>
        <vt:lpwstr/>
      </vt:variant>
      <vt:variant>
        <vt:i4>393318</vt:i4>
      </vt:variant>
      <vt:variant>
        <vt:i4>825</vt:i4>
      </vt:variant>
      <vt:variant>
        <vt:i4>0</vt:i4>
      </vt:variant>
      <vt:variant>
        <vt:i4>5</vt:i4>
      </vt:variant>
      <vt:variant>
        <vt:lpwstr>https://www.humanrightsinitiative.org/publications/hradvocacy/parliamentary_committee_as_promoter_of_hr.pdf</vt:lpwstr>
      </vt:variant>
      <vt:variant>
        <vt:lpwstr/>
      </vt:variant>
      <vt:variant>
        <vt:i4>4718604</vt:i4>
      </vt:variant>
      <vt:variant>
        <vt:i4>822</vt:i4>
      </vt:variant>
      <vt:variant>
        <vt:i4>0</vt:i4>
      </vt:variant>
      <vt:variant>
        <vt:i4>5</vt:i4>
      </vt:variant>
      <vt:variant>
        <vt:lpwstr>https://humanrights.gov.au/our-work/rights-and-freedoms/publications/free-and-equal-reform-agenda-federal-discrimination-laws</vt:lpwstr>
      </vt:variant>
      <vt:variant>
        <vt:lpwstr/>
      </vt:variant>
      <vt:variant>
        <vt:i4>5308424</vt:i4>
      </vt:variant>
      <vt:variant>
        <vt:i4>819</vt:i4>
      </vt:variant>
      <vt:variant>
        <vt:i4>0</vt:i4>
      </vt:variant>
      <vt:variant>
        <vt:i4>5</vt:i4>
      </vt:variant>
      <vt:variant>
        <vt:lpwstr>https://www.lawcouncil.asn.au/files/pdf/policy-statement/Law Council of Australia - Federal Human Rights Charter.pdf</vt:lpwstr>
      </vt:variant>
      <vt:variant>
        <vt:lpwstr/>
      </vt:variant>
      <vt:variant>
        <vt:i4>4718604</vt:i4>
      </vt:variant>
      <vt:variant>
        <vt:i4>816</vt:i4>
      </vt:variant>
      <vt:variant>
        <vt:i4>0</vt:i4>
      </vt:variant>
      <vt:variant>
        <vt:i4>5</vt:i4>
      </vt:variant>
      <vt:variant>
        <vt:lpwstr>https://humanrights.gov.au/our-work/rights-and-freedoms/publications/free-and-equal-reform-agenda-federal-discrimination-laws</vt:lpwstr>
      </vt:variant>
      <vt:variant>
        <vt:lpwstr/>
      </vt:variant>
      <vt:variant>
        <vt:i4>7864433</vt:i4>
      </vt:variant>
      <vt:variant>
        <vt:i4>813</vt:i4>
      </vt:variant>
      <vt:variant>
        <vt:i4>0</vt:i4>
      </vt:variant>
      <vt:variant>
        <vt:i4>5</vt:i4>
      </vt:variant>
      <vt:variant>
        <vt:lpwstr>http://www.austlii.edu.au/au/other/lawreform/ALRC/1996/78.html</vt:lpwstr>
      </vt:variant>
      <vt:variant>
        <vt:lpwstr>ALRC78Ch2Publicinterestl</vt:lpwstr>
      </vt:variant>
      <vt:variant>
        <vt:i4>7864433</vt:i4>
      </vt:variant>
      <vt:variant>
        <vt:i4>810</vt:i4>
      </vt:variant>
      <vt:variant>
        <vt:i4>0</vt:i4>
      </vt:variant>
      <vt:variant>
        <vt:i4>5</vt:i4>
      </vt:variant>
      <vt:variant>
        <vt:lpwstr>http://www.austlii.edu.au/au/other/lawreform/ALRC/1996/78.html</vt:lpwstr>
      </vt:variant>
      <vt:variant>
        <vt:lpwstr>ALRC78Ch2Publicinterestl</vt:lpwstr>
      </vt:variant>
      <vt:variant>
        <vt:i4>7864433</vt:i4>
      </vt:variant>
      <vt:variant>
        <vt:i4>807</vt:i4>
      </vt:variant>
      <vt:variant>
        <vt:i4>0</vt:i4>
      </vt:variant>
      <vt:variant>
        <vt:i4>5</vt:i4>
      </vt:variant>
      <vt:variant>
        <vt:lpwstr>http://www.austlii.edu.au/au/other/lawreform/ALRC/1996/78.html</vt:lpwstr>
      </vt:variant>
      <vt:variant>
        <vt:lpwstr>ALRC78Ch2Publicinterestl</vt:lpwstr>
      </vt:variant>
      <vt:variant>
        <vt:i4>7864433</vt:i4>
      </vt:variant>
      <vt:variant>
        <vt:i4>804</vt:i4>
      </vt:variant>
      <vt:variant>
        <vt:i4>0</vt:i4>
      </vt:variant>
      <vt:variant>
        <vt:i4>5</vt:i4>
      </vt:variant>
      <vt:variant>
        <vt:lpwstr>http://www.austlii.edu.au/au/other/lawreform/ALRC/1996/78.html</vt:lpwstr>
      </vt:variant>
      <vt:variant>
        <vt:lpwstr>ALRC78Ch2Publicinterestl</vt:lpwstr>
      </vt:variant>
      <vt:variant>
        <vt:i4>7864433</vt:i4>
      </vt:variant>
      <vt:variant>
        <vt:i4>801</vt:i4>
      </vt:variant>
      <vt:variant>
        <vt:i4>0</vt:i4>
      </vt:variant>
      <vt:variant>
        <vt:i4>5</vt:i4>
      </vt:variant>
      <vt:variant>
        <vt:lpwstr>http://www.austlii.edu.au/au/other/lawreform/ALRC/1996/78.html</vt:lpwstr>
      </vt:variant>
      <vt:variant>
        <vt:lpwstr>ALRC78Ch2Publicinterestl</vt:lpwstr>
      </vt:variant>
      <vt:variant>
        <vt:i4>8257579</vt:i4>
      </vt:variant>
      <vt:variant>
        <vt:i4>798</vt:i4>
      </vt:variant>
      <vt:variant>
        <vt:i4>0</vt:i4>
      </vt:variant>
      <vt:variant>
        <vt:i4>5</vt:i4>
      </vt:variant>
      <vt:variant>
        <vt:lpwstr>https://hrc.act.gov.au/resources/guides/achieving-rights-outcome/6/</vt:lpwstr>
      </vt:variant>
      <vt:variant>
        <vt:lpwstr/>
      </vt:variant>
      <vt:variant>
        <vt:i4>4718604</vt:i4>
      </vt:variant>
      <vt:variant>
        <vt:i4>795</vt:i4>
      </vt:variant>
      <vt:variant>
        <vt:i4>0</vt:i4>
      </vt:variant>
      <vt:variant>
        <vt:i4>5</vt:i4>
      </vt:variant>
      <vt:variant>
        <vt:lpwstr>https://humanrights.gov.au/our-work/rights-and-freedoms/publications/free-and-equal-reform-agenda-federal-discrimination-laws</vt:lpwstr>
      </vt:variant>
      <vt:variant>
        <vt:lpwstr/>
      </vt:variant>
      <vt:variant>
        <vt:i4>4718604</vt:i4>
      </vt:variant>
      <vt:variant>
        <vt:i4>792</vt:i4>
      </vt:variant>
      <vt:variant>
        <vt:i4>0</vt:i4>
      </vt:variant>
      <vt:variant>
        <vt:i4>5</vt:i4>
      </vt:variant>
      <vt:variant>
        <vt:lpwstr>https://humanrights.gov.au/our-work/rights-and-freedoms/publications/free-and-equal-reform-agenda-federal-discrimination-laws</vt:lpwstr>
      </vt:variant>
      <vt:variant>
        <vt:lpwstr/>
      </vt:variant>
      <vt:variant>
        <vt:i4>6815857</vt:i4>
      </vt:variant>
      <vt:variant>
        <vt:i4>789</vt:i4>
      </vt:variant>
      <vt:variant>
        <vt:i4>0</vt:i4>
      </vt:variant>
      <vt:variant>
        <vt:i4>5</vt:i4>
      </vt:variant>
      <vt:variant>
        <vt:lpwstr>https://www.crownlaw.qld.gov.au/resources/publications/the-human-rights-act-2019-legal-proceedings-and-human-rights-complaints</vt:lpwstr>
      </vt:variant>
      <vt:variant>
        <vt:lpwstr/>
      </vt:variant>
      <vt:variant>
        <vt:i4>2949125</vt:i4>
      </vt:variant>
      <vt:variant>
        <vt:i4>786</vt:i4>
      </vt:variant>
      <vt:variant>
        <vt:i4>0</vt:i4>
      </vt:variant>
      <vt:variant>
        <vt:i4>5</vt:i4>
      </vt:variant>
      <vt:variant>
        <vt:lpwstr>https://www.qhrc.qld.gov.au/__data/assets/pdf_file/0015/35511/Queensland-Human-Rights-Commission-Annual-Report-2020-21.pdf</vt:lpwstr>
      </vt:variant>
      <vt:variant>
        <vt:lpwstr/>
      </vt:variant>
      <vt:variant>
        <vt:i4>4718604</vt:i4>
      </vt:variant>
      <vt:variant>
        <vt:i4>783</vt:i4>
      </vt:variant>
      <vt:variant>
        <vt:i4>0</vt:i4>
      </vt:variant>
      <vt:variant>
        <vt:i4>5</vt:i4>
      </vt:variant>
      <vt:variant>
        <vt:lpwstr>https://humanrights.gov.au/our-work/rights-and-freedoms/publications/free-and-equal-reform-agenda-federal-discrimination-laws</vt:lpwstr>
      </vt:variant>
      <vt:variant>
        <vt:lpwstr/>
      </vt:variant>
      <vt:variant>
        <vt:i4>3145762</vt:i4>
      </vt:variant>
      <vt:variant>
        <vt:i4>780</vt:i4>
      </vt:variant>
      <vt:variant>
        <vt:i4>0</vt:i4>
      </vt:variant>
      <vt:variant>
        <vt:i4>5</vt:i4>
      </vt:variant>
      <vt:variant>
        <vt:lpwstr>http://www.humanrights.gov.au/legal/FDL/index.html</vt:lpwstr>
      </vt:variant>
      <vt:variant>
        <vt:lpwstr/>
      </vt:variant>
      <vt:variant>
        <vt:i4>1966109</vt:i4>
      </vt:variant>
      <vt:variant>
        <vt:i4>777</vt:i4>
      </vt:variant>
      <vt:variant>
        <vt:i4>0</vt:i4>
      </vt:variant>
      <vt:variant>
        <vt:i4>5</vt:i4>
      </vt:variant>
      <vt:variant>
        <vt:lpwstr>http://www.humanrights.gov.au/publications/human-rights-act-courts-and-constitution-hon-michael-mchugh-ac-qc-2009</vt:lpwstr>
      </vt:variant>
      <vt:variant>
        <vt:lpwstr/>
      </vt:variant>
      <vt:variant>
        <vt:i4>3473461</vt:i4>
      </vt:variant>
      <vt:variant>
        <vt:i4>774</vt:i4>
      </vt:variant>
      <vt:variant>
        <vt:i4>0</vt:i4>
      </vt:variant>
      <vt:variant>
        <vt:i4>5</vt:i4>
      </vt:variant>
      <vt:variant>
        <vt:lpwstr>https://www.lawcouncil.asn.au/publicassets/c517fdbd-9a28-eb11-9436-005056be13b5/Law Council of Australia - Federal Human Rights Charter.pdf</vt:lpwstr>
      </vt:variant>
      <vt:variant>
        <vt:lpwstr/>
      </vt:variant>
      <vt:variant>
        <vt:i4>1441870</vt:i4>
      </vt:variant>
      <vt:variant>
        <vt:i4>771</vt:i4>
      </vt:variant>
      <vt:variant>
        <vt:i4>0</vt:i4>
      </vt:variant>
      <vt:variant>
        <vt:i4>5</vt:i4>
      </vt:variant>
      <vt:variant>
        <vt:lpwstr>https://www.auspublaw.org/2016/10/same-same-or-different/</vt:lpwstr>
      </vt:variant>
      <vt:variant>
        <vt:lpwstr/>
      </vt:variant>
      <vt:variant>
        <vt:i4>4390933</vt:i4>
      </vt:variant>
      <vt:variant>
        <vt:i4>768</vt:i4>
      </vt:variant>
      <vt:variant>
        <vt:i4>0</vt:i4>
      </vt:variant>
      <vt:variant>
        <vt:i4>5</vt:i4>
      </vt:variant>
      <vt:variant>
        <vt:lpwstr>https://documents.parliament.qld.gov.au/committees/LACSC/2018/HumanRights2018/submissions/008.pdf</vt:lpwstr>
      </vt:variant>
      <vt:variant>
        <vt:lpwstr/>
      </vt:variant>
      <vt:variant>
        <vt:i4>3276854</vt:i4>
      </vt:variant>
      <vt:variant>
        <vt:i4>765</vt:i4>
      </vt:variant>
      <vt:variant>
        <vt:i4>0</vt:i4>
      </vt:variant>
      <vt:variant>
        <vt:i4>5</vt:i4>
      </vt:variant>
      <vt:variant>
        <vt:lpwstr>https://documents.parliament.qld.gov.au/tableOffice/TabledPapers/2016/5516T1030.pdf</vt:lpwstr>
      </vt:variant>
      <vt:variant>
        <vt:lpwstr/>
      </vt:variant>
      <vt:variant>
        <vt:i4>3276854</vt:i4>
      </vt:variant>
      <vt:variant>
        <vt:i4>762</vt:i4>
      </vt:variant>
      <vt:variant>
        <vt:i4>0</vt:i4>
      </vt:variant>
      <vt:variant>
        <vt:i4>5</vt:i4>
      </vt:variant>
      <vt:variant>
        <vt:lpwstr>https://documents.parliament.qld.gov.au/tableOffice/TabledPapers/2016/5516T1030.pdf</vt:lpwstr>
      </vt:variant>
      <vt:variant>
        <vt:lpwstr/>
      </vt:variant>
      <vt:variant>
        <vt:i4>4456449</vt:i4>
      </vt:variant>
      <vt:variant>
        <vt:i4>759</vt:i4>
      </vt:variant>
      <vt:variant>
        <vt:i4>0</vt:i4>
      </vt:variant>
      <vt:variant>
        <vt:i4>5</vt:i4>
      </vt:variant>
      <vt:variant>
        <vt:lpwstr>mailto:https://www.ombudsman.gov.au/Our-responsibilities/our-legislation</vt:lpwstr>
      </vt:variant>
      <vt:variant>
        <vt:lpwstr/>
      </vt:variant>
      <vt:variant>
        <vt:i4>2031646</vt:i4>
      </vt:variant>
      <vt:variant>
        <vt:i4>750</vt:i4>
      </vt:variant>
      <vt:variant>
        <vt:i4>0</vt:i4>
      </vt:variant>
      <vt:variant>
        <vt:i4>5</vt:i4>
      </vt:variant>
      <vt:variant>
        <vt:lpwstr>https://www.abc.net.au/news/2017-07-28/gene-gibson-indigenous-translation-may-have-saved-innocent-man/8755396</vt:lpwstr>
      </vt:variant>
      <vt:variant>
        <vt:lpwstr/>
      </vt:variant>
      <vt:variant>
        <vt:i4>589855</vt:i4>
      </vt:variant>
      <vt:variant>
        <vt:i4>747</vt:i4>
      </vt:variant>
      <vt:variant>
        <vt:i4>0</vt:i4>
      </vt:variant>
      <vt:variant>
        <vt:i4>5</vt:i4>
      </vt:variant>
      <vt:variant>
        <vt:lpwstr>https://jccd.org.au/wp-content/uploads/2021/06/JCCD-Interpreter-Standards.pdf</vt:lpwstr>
      </vt:variant>
      <vt:variant>
        <vt:lpwstr/>
      </vt:variant>
      <vt:variant>
        <vt:i4>1245271</vt:i4>
      </vt:variant>
      <vt:variant>
        <vt:i4>744</vt:i4>
      </vt:variant>
      <vt:variant>
        <vt:i4>0</vt:i4>
      </vt:variant>
      <vt:variant>
        <vt:i4>5</vt:i4>
      </vt:variant>
      <vt:variant>
        <vt:lpwstr>https://www.ag.gov.au/legal-system/legal-assistance-services</vt:lpwstr>
      </vt:variant>
      <vt:variant>
        <vt:lpwstr/>
      </vt:variant>
      <vt:variant>
        <vt:i4>5373974</vt:i4>
      </vt:variant>
      <vt:variant>
        <vt:i4>741</vt:i4>
      </vt:variant>
      <vt:variant>
        <vt:i4>0</vt:i4>
      </vt:variant>
      <vt:variant>
        <vt:i4>5</vt:i4>
      </vt:variant>
      <vt:variant>
        <vt:lpwstr>https://www.un.org/ruleoflaw/thematic-areas/access-to-justice-and-rule-of-law-institutions/access-to-justice/</vt:lpwstr>
      </vt:variant>
      <vt:variant>
        <vt:lpwstr/>
      </vt:variant>
      <vt:variant>
        <vt:i4>1310808</vt:i4>
      </vt:variant>
      <vt:variant>
        <vt:i4>738</vt:i4>
      </vt:variant>
      <vt:variant>
        <vt:i4>0</vt:i4>
      </vt:variant>
      <vt:variant>
        <vt:i4>5</vt:i4>
      </vt:variant>
      <vt:variant>
        <vt:lpwstr>https://www.theguardian.com/australia-news/2021/dec/07/disability-royal-commission-woman-with-disability-sexually-assaulted-in-park-after-men-banned-from-visiting-her-accommodation</vt:lpwstr>
      </vt:variant>
      <vt:variant>
        <vt:lpwstr/>
      </vt:variant>
      <vt:variant>
        <vt:i4>2556010</vt:i4>
      </vt:variant>
      <vt:variant>
        <vt:i4>735</vt:i4>
      </vt:variant>
      <vt:variant>
        <vt:i4>0</vt:i4>
      </vt:variant>
      <vt:variant>
        <vt:i4>5</vt:i4>
      </vt:variant>
      <vt:variant>
        <vt:lpwstr>https://dpoa.org.au/wp-content/uploads/2019/08/CRPD-Shadow-Report-2019-English-PDF.pdf</vt:lpwstr>
      </vt:variant>
      <vt:variant>
        <vt:lpwstr/>
      </vt:variant>
      <vt:variant>
        <vt:i4>2293818</vt:i4>
      </vt:variant>
      <vt:variant>
        <vt:i4>726</vt:i4>
      </vt:variant>
      <vt:variant>
        <vt:i4>0</vt:i4>
      </vt:variant>
      <vt:variant>
        <vt:i4>5</vt:i4>
      </vt:variant>
      <vt:variant>
        <vt:lpwstr>https://hrc.act.gov.au/wp-content/uploads/2015/06/130529-CIA-info-sheet-for-CMCD-Triple-Bottom-Line-process.pdf</vt:lpwstr>
      </vt:variant>
      <vt:variant>
        <vt:lpwstr/>
      </vt:variant>
      <vt:variant>
        <vt:i4>6094876</vt:i4>
      </vt:variant>
      <vt:variant>
        <vt:i4>723</vt:i4>
      </vt:variant>
      <vt:variant>
        <vt:i4>0</vt:i4>
      </vt:variant>
      <vt:variant>
        <vt:i4>5</vt:i4>
      </vt:variant>
      <vt:variant>
        <vt:lpwstr>https://www.lawcouncil.asn.au/publicassets/2283f410-9c01-e911-93fc-005056be13b5/3537 - Alternative Report to the United Nations Committee on the Rights of the Child.pdf</vt:lpwstr>
      </vt:variant>
      <vt:variant>
        <vt:lpwstr/>
      </vt:variant>
      <vt:variant>
        <vt:i4>6094876</vt:i4>
      </vt:variant>
      <vt:variant>
        <vt:i4>720</vt:i4>
      </vt:variant>
      <vt:variant>
        <vt:i4>0</vt:i4>
      </vt:variant>
      <vt:variant>
        <vt:i4>5</vt:i4>
      </vt:variant>
      <vt:variant>
        <vt:lpwstr>https://www.lawcouncil.asn.au/publicassets/2283f410-9c01-e911-93fc-005056be13b5/3537 - Alternative Report to the United Nations Committee on the Rights of the Child.pdf</vt:lpwstr>
      </vt:variant>
      <vt:variant>
        <vt:lpwstr/>
      </vt:variant>
      <vt:variant>
        <vt:i4>2556011</vt:i4>
      </vt:variant>
      <vt:variant>
        <vt:i4>717</vt:i4>
      </vt:variant>
      <vt:variant>
        <vt:i4>0</vt:i4>
      </vt:variant>
      <vt:variant>
        <vt:i4>5</vt:i4>
      </vt:variant>
      <vt:variant>
        <vt:lpwstr>https://humanrights.gov.au/intersex-report-2021</vt:lpwstr>
      </vt:variant>
      <vt:variant>
        <vt:lpwstr/>
      </vt:variant>
      <vt:variant>
        <vt:i4>6225947</vt:i4>
      </vt:variant>
      <vt:variant>
        <vt:i4>714</vt:i4>
      </vt:variant>
      <vt:variant>
        <vt:i4>0</vt:i4>
      </vt:variant>
      <vt:variant>
        <vt:i4>5</vt:i4>
      </vt:variant>
      <vt:variant>
        <vt:lpwstr>https://aifs.gov.au/cfca/publications/australian-child-protection-legislation</vt:lpwstr>
      </vt:variant>
      <vt:variant>
        <vt:lpwstr/>
      </vt:variant>
      <vt:variant>
        <vt:i4>6225947</vt:i4>
      </vt:variant>
      <vt:variant>
        <vt:i4>711</vt:i4>
      </vt:variant>
      <vt:variant>
        <vt:i4>0</vt:i4>
      </vt:variant>
      <vt:variant>
        <vt:i4>5</vt:i4>
      </vt:variant>
      <vt:variant>
        <vt:lpwstr>https://aifs.gov.au/cfca/publications/australian-child-protection-legislation</vt:lpwstr>
      </vt:variant>
      <vt:variant>
        <vt:lpwstr/>
      </vt:variant>
      <vt:variant>
        <vt:i4>1048668</vt:i4>
      </vt:variant>
      <vt:variant>
        <vt:i4>708</vt:i4>
      </vt:variant>
      <vt:variant>
        <vt:i4>0</vt:i4>
      </vt:variant>
      <vt:variant>
        <vt:i4>5</vt:i4>
      </vt:variant>
      <vt:variant>
        <vt:lpwstr>https://www.togetherscotland.org.uk/pdfs/UNCRC in Practice - post seminar briefing paper.pdf</vt:lpwstr>
      </vt:variant>
      <vt:variant>
        <vt:lpwstr/>
      </vt:variant>
      <vt:variant>
        <vt:i4>1048668</vt:i4>
      </vt:variant>
      <vt:variant>
        <vt:i4>705</vt:i4>
      </vt:variant>
      <vt:variant>
        <vt:i4>0</vt:i4>
      </vt:variant>
      <vt:variant>
        <vt:i4>5</vt:i4>
      </vt:variant>
      <vt:variant>
        <vt:lpwstr>https://www.togetherscotland.org.uk/pdfs/UNCRC in Practice - post seminar briefing paper.pdf</vt:lpwstr>
      </vt:variant>
      <vt:variant>
        <vt:lpwstr/>
      </vt:variant>
      <vt:variant>
        <vt:i4>1048668</vt:i4>
      </vt:variant>
      <vt:variant>
        <vt:i4>702</vt:i4>
      </vt:variant>
      <vt:variant>
        <vt:i4>0</vt:i4>
      </vt:variant>
      <vt:variant>
        <vt:i4>5</vt:i4>
      </vt:variant>
      <vt:variant>
        <vt:lpwstr>https://www.togetherscotland.org.uk/pdfs/UNCRC in Practice - post seminar briefing paper.pdf</vt:lpwstr>
      </vt:variant>
      <vt:variant>
        <vt:lpwstr/>
      </vt:variant>
      <vt:variant>
        <vt:i4>2621484</vt:i4>
      </vt:variant>
      <vt:variant>
        <vt:i4>699</vt:i4>
      </vt:variant>
      <vt:variant>
        <vt:i4>0</vt:i4>
      </vt:variant>
      <vt:variant>
        <vt:i4>5</vt:i4>
      </vt:variant>
      <vt:variant>
        <vt:lpwstr>https://www.parliament.scot/-/media/files/legislation/bills/current-bills/united-nations-convention-on-the-rights-of-the-child-incorporation-scotland-bill/introduced/policy-memorandum-united-nations-convention-on-the-rights-of-the-child-scotland-bill.pdf</vt:lpwstr>
      </vt:variant>
      <vt:variant>
        <vt:lpwstr/>
      </vt:variant>
      <vt:variant>
        <vt:i4>2621484</vt:i4>
      </vt:variant>
      <vt:variant>
        <vt:i4>696</vt:i4>
      </vt:variant>
      <vt:variant>
        <vt:i4>0</vt:i4>
      </vt:variant>
      <vt:variant>
        <vt:i4>5</vt:i4>
      </vt:variant>
      <vt:variant>
        <vt:lpwstr>https://www.parliament.scot/-/media/files/legislation/bills/current-bills/united-nations-convention-on-the-rights-of-the-child-incorporation-scotland-bill/introduced/policy-memorandum-united-nations-convention-on-the-rights-of-the-child-scotland-bill.pdf</vt:lpwstr>
      </vt:variant>
      <vt:variant>
        <vt:lpwstr/>
      </vt:variant>
      <vt:variant>
        <vt:i4>5636124</vt:i4>
      </vt:variant>
      <vt:variant>
        <vt:i4>693</vt:i4>
      </vt:variant>
      <vt:variant>
        <vt:i4>0</vt:i4>
      </vt:variant>
      <vt:variant>
        <vt:i4>5</vt:i4>
      </vt:variant>
      <vt:variant>
        <vt:lpwstr>https://www.gov.scot/policies/human-rights/childrens-rights/</vt:lpwstr>
      </vt:variant>
      <vt:variant>
        <vt:lpwstr/>
      </vt:variant>
      <vt:variant>
        <vt:i4>5636124</vt:i4>
      </vt:variant>
      <vt:variant>
        <vt:i4>690</vt:i4>
      </vt:variant>
      <vt:variant>
        <vt:i4>0</vt:i4>
      </vt:variant>
      <vt:variant>
        <vt:i4>5</vt:i4>
      </vt:variant>
      <vt:variant>
        <vt:lpwstr>https://www.gov.scot/policies/human-rights/childrens-rights/</vt:lpwstr>
      </vt:variant>
      <vt:variant>
        <vt:lpwstr/>
      </vt:variant>
      <vt:variant>
        <vt:i4>2883624</vt:i4>
      </vt:variant>
      <vt:variant>
        <vt:i4>687</vt:i4>
      </vt:variant>
      <vt:variant>
        <vt:i4>0</vt:i4>
      </vt:variant>
      <vt:variant>
        <vt:i4>5</vt:i4>
      </vt:variant>
      <vt:variant>
        <vt:lpwstr>https://humanrights.gov.au/our-work/human-rights-brief-no-1</vt:lpwstr>
      </vt:variant>
      <vt:variant>
        <vt:lpwstr/>
      </vt:variant>
      <vt:variant>
        <vt:i4>4784129</vt:i4>
      </vt:variant>
      <vt:variant>
        <vt:i4>684</vt:i4>
      </vt:variant>
      <vt:variant>
        <vt:i4>0</vt:i4>
      </vt:variant>
      <vt:variant>
        <vt:i4>5</vt:i4>
      </vt:variant>
      <vt:variant>
        <vt:lpwstr>https://www.unicef.org/armenia/en/stories/four-principles-convention-rights-child</vt:lpwstr>
      </vt:variant>
      <vt:variant>
        <vt:lpwstr/>
      </vt:variant>
      <vt:variant>
        <vt:i4>7929954</vt:i4>
      </vt:variant>
      <vt:variant>
        <vt:i4>681</vt:i4>
      </vt:variant>
      <vt:variant>
        <vt:i4>0</vt:i4>
      </vt:variant>
      <vt:variant>
        <vt:i4>5</vt:i4>
      </vt:variant>
      <vt:variant>
        <vt:lpwstr>https://www.unicef.org/child-rights-convention</vt:lpwstr>
      </vt:variant>
      <vt:variant>
        <vt:lpwstr/>
      </vt:variant>
      <vt:variant>
        <vt:i4>3473480</vt:i4>
      </vt:variant>
      <vt:variant>
        <vt:i4>678</vt:i4>
      </vt:variant>
      <vt:variant>
        <vt:i4>0</vt:i4>
      </vt:variant>
      <vt:variant>
        <vt:i4>5</vt:i4>
      </vt:variant>
      <vt:variant>
        <vt:lpwstr>https://papers.ssrn.com/sol3/papers.cfm?abstract_id=2972393</vt:lpwstr>
      </vt:variant>
      <vt:variant>
        <vt:lpwstr/>
      </vt:variant>
      <vt:variant>
        <vt:i4>1966083</vt:i4>
      </vt:variant>
      <vt:variant>
        <vt:i4>675</vt:i4>
      </vt:variant>
      <vt:variant>
        <vt:i4>0</vt:i4>
      </vt:variant>
      <vt:variant>
        <vt:i4>5</vt:i4>
      </vt:variant>
      <vt:variant>
        <vt:lpwstr>https://theconversation.com/lessons-from-new-zealand-on-the-duty-to-consult-first-nations-106245</vt:lpwstr>
      </vt:variant>
      <vt:variant>
        <vt:lpwstr/>
      </vt:variant>
      <vt:variant>
        <vt:i4>6946921</vt:i4>
      </vt:variant>
      <vt:variant>
        <vt:i4>672</vt:i4>
      </vt:variant>
      <vt:variant>
        <vt:i4>0</vt:i4>
      </vt:variant>
      <vt:variant>
        <vt:i4>5</vt:i4>
      </vt:variant>
      <vt:variant>
        <vt:lpwstr>https://www.cba.org/cba/cle/PDF/Constit09_Sterling_paper.pdf</vt:lpwstr>
      </vt:variant>
      <vt:variant>
        <vt:lpwstr/>
      </vt:variant>
      <vt:variant>
        <vt:i4>4128848</vt:i4>
      </vt:variant>
      <vt:variant>
        <vt:i4>669</vt:i4>
      </vt:variant>
      <vt:variant>
        <vt:i4>0</vt:i4>
      </vt:variant>
      <vt:variant>
        <vt:i4>5</vt:i4>
      </vt:variant>
      <vt:variant>
        <vt:lpwstr>https://lop.parl.ca/sites/PublicWebsite/default/en_CA/ResearchPublications/201917E</vt:lpwstr>
      </vt:variant>
      <vt:variant>
        <vt:lpwstr/>
      </vt:variant>
      <vt:variant>
        <vt:i4>4128848</vt:i4>
      </vt:variant>
      <vt:variant>
        <vt:i4>666</vt:i4>
      </vt:variant>
      <vt:variant>
        <vt:i4>0</vt:i4>
      </vt:variant>
      <vt:variant>
        <vt:i4>5</vt:i4>
      </vt:variant>
      <vt:variant>
        <vt:lpwstr>https://lop.parl.ca/sites/PublicWebsite/default/en_CA/ResearchPublications/201917E</vt:lpwstr>
      </vt:variant>
      <vt:variant>
        <vt:lpwstr/>
      </vt:variant>
      <vt:variant>
        <vt:i4>4128848</vt:i4>
      </vt:variant>
      <vt:variant>
        <vt:i4>663</vt:i4>
      </vt:variant>
      <vt:variant>
        <vt:i4>0</vt:i4>
      </vt:variant>
      <vt:variant>
        <vt:i4>5</vt:i4>
      </vt:variant>
      <vt:variant>
        <vt:lpwstr>https://lop.parl.ca/sites/PublicWebsite/default/en_CA/ResearchPublications/201917E</vt:lpwstr>
      </vt:variant>
      <vt:variant>
        <vt:lpwstr/>
      </vt:variant>
      <vt:variant>
        <vt:i4>4128848</vt:i4>
      </vt:variant>
      <vt:variant>
        <vt:i4>660</vt:i4>
      </vt:variant>
      <vt:variant>
        <vt:i4>0</vt:i4>
      </vt:variant>
      <vt:variant>
        <vt:i4>5</vt:i4>
      </vt:variant>
      <vt:variant>
        <vt:lpwstr>https://lop.parl.ca/sites/PublicWebsite/default/en_CA/ResearchPublications/201917E</vt:lpwstr>
      </vt:variant>
      <vt:variant>
        <vt:lpwstr/>
      </vt:variant>
      <vt:variant>
        <vt:i4>4128848</vt:i4>
      </vt:variant>
      <vt:variant>
        <vt:i4>657</vt:i4>
      </vt:variant>
      <vt:variant>
        <vt:i4>0</vt:i4>
      </vt:variant>
      <vt:variant>
        <vt:i4>5</vt:i4>
      </vt:variant>
      <vt:variant>
        <vt:lpwstr>https://lop.parl.ca/sites/PublicWebsite/default/en_CA/ResearchPublications/201917E</vt:lpwstr>
      </vt:variant>
      <vt:variant>
        <vt:lpwstr/>
      </vt:variant>
      <vt:variant>
        <vt:i4>4128848</vt:i4>
      </vt:variant>
      <vt:variant>
        <vt:i4>654</vt:i4>
      </vt:variant>
      <vt:variant>
        <vt:i4>0</vt:i4>
      </vt:variant>
      <vt:variant>
        <vt:i4>5</vt:i4>
      </vt:variant>
      <vt:variant>
        <vt:lpwstr>https://lop.parl.ca/sites/PublicWebsite/default/en_CA/ResearchPublications/201917E</vt:lpwstr>
      </vt:variant>
      <vt:variant>
        <vt:lpwstr/>
      </vt:variant>
      <vt:variant>
        <vt:i4>4128848</vt:i4>
      </vt:variant>
      <vt:variant>
        <vt:i4>651</vt:i4>
      </vt:variant>
      <vt:variant>
        <vt:i4>0</vt:i4>
      </vt:variant>
      <vt:variant>
        <vt:i4>5</vt:i4>
      </vt:variant>
      <vt:variant>
        <vt:lpwstr>https://lop.parl.ca/sites/PublicWebsite/default/en_CA/ResearchPublications/201917E</vt:lpwstr>
      </vt:variant>
      <vt:variant>
        <vt:lpwstr/>
      </vt:variant>
      <vt:variant>
        <vt:i4>4128848</vt:i4>
      </vt:variant>
      <vt:variant>
        <vt:i4>648</vt:i4>
      </vt:variant>
      <vt:variant>
        <vt:i4>0</vt:i4>
      </vt:variant>
      <vt:variant>
        <vt:i4>5</vt:i4>
      </vt:variant>
      <vt:variant>
        <vt:lpwstr>https://lop.parl.ca/sites/PublicWebsite/default/en_CA/ResearchPublications/201917E</vt:lpwstr>
      </vt:variant>
      <vt:variant>
        <vt:lpwstr/>
      </vt:variant>
      <vt:variant>
        <vt:i4>4128848</vt:i4>
      </vt:variant>
      <vt:variant>
        <vt:i4>645</vt:i4>
      </vt:variant>
      <vt:variant>
        <vt:i4>0</vt:i4>
      </vt:variant>
      <vt:variant>
        <vt:i4>5</vt:i4>
      </vt:variant>
      <vt:variant>
        <vt:lpwstr>https://lop.parl.ca/sites/PublicWebsite/default/en_CA/ResearchPublications/201917E</vt:lpwstr>
      </vt:variant>
      <vt:variant>
        <vt:lpwstr/>
      </vt:variant>
      <vt:variant>
        <vt:i4>7929976</vt:i4>
      </vt:variant>
      <vt:variant>
        <vt:i4>642</vt:i4>
      </vt:variant>
      <vt:variant>
        <vt:i4>0</vt:i4>
      </vt:variant>
      <vt:variant>
        <vt:i4>5</vt:i4>
      </vt:variant>
      <vt:variant>
        <vt:lpwstr>https://pursuit.unimelb.edu.au/articles/duty-and-honour-at-the-heart-of-indigenous-recognition</vt:lpwstr>
      </vt:variant>
      <vt:variant>
        <vt:lpwstr/>
      </vt:variant>
      <vt:variant>
        <vt:i4>1966158</vt:i4>
      </vt:variant>
      <vt:variant>
        <vt:i4>639</vt:i4>
      </vt:variant>
      <vt:variant>
        <vt:i4>0</vt:i4>
      </vt:variant>
      <vt:variant>
        <vt:i4>5</vt:i4>
      </vt:variant>
      <vt:variant>
        <vt:lpwstr>http://regnet.anu.edu.au/sites/default/files/B_ESCR_government_response_.pdf</vt:lpwstr>
      </vt:variant>
      <vt:variant>
        <vt:lpwstr/>
      </vt:variant>
      <vt:variant>
        <vt:i4>2555949</vt:i4>
      </vt:variant>
      <vt:variant>
        <vt:i4>636</vt:i4>
      </vt:variant>
      <vt:variant>
        <vt:i4>0</vt:i4>
      </vt:variant>
      <vt:variant>
        <vt:i4>5</vt:i4>
      </vt:variant>
      <vt:variant>
        <vt:lpwstr>https://ohrh.law.ox.ac.uk/understanding-indigenous-peoples-rights-collective-or-individual/</vt:lpwstr>
      </vt:variant>
      <vt:variant>
        <vt:lpwstr/>
      </vt:variant>
      <vt:variant>
        <vt:i4>196619</vt:i4>
      </vt:variant>
      <vt:variant>
        <vt:i4>633</vt:i4>
      </vt:variant>
      <vt:variant>
        <vt:i4>0</vt:i4>
      </vt:variant>
      <vt:variant>
        <vt:i4>5</vt:i4>
      </vt:variant>
      <vt:variant>
        <vt:lpwstr>https://www.businessnews.com.au/article/Business-sector-backs-Uluru-Statement</vt:lpwstr>
      </vt:variant>
      <vt:variant>
        <vt:lpwstr/>
      </vt:variant>
      <vt:variant>
        <vt:i4>5570637</vt:i4>
      </vt:variant>
      <vt:variant>
        <vt:i4>630</vt:i4>
      </vt:variant>
      <vt:variant>
        <vt:i4>0</vt:i4>
      </vt:variant>
      <vt:variant>
        <vt:i4>5</vt:i4>
      </vt:variant>
      <vt:variant>
        <vt:lpwstr>https://humanrights.gov.au/about/news/uluru-statement-calls-first-nations-voice-constitution</vt:lpwstr>
      </vt:variant>
      <vt:variant>
        <vt:lpwstr/>
      </vt:variant>
      <vt:variant>
        <vt:i4>1114215</vt:i4>
      </vt:variant>
      <vt:variant>
        <vt:i4>627</vt:i4>
      </vt:variant>
      <vt:variant>
        <vt:i4>0</vt:i4>
      </vt:variant>
      <vt:variant>
        <vt:i4>5</vt:i4>
      </vt:variant>
      <vt:variant>
        <vt:lpwstr>https://www.referendumcouncil.org.au/sites/default/files/201705/Uluru_Statement_From_The_Heart_0.PDF</vt:lpwstr>
      </vt:variant>
      <vt:variant>
        <vt:lpwstr/>
      </vt:variant>
      <vt:variant>
        <vt:i4>1114215</vt:i4>
      </vt:variant>
      <vt:variant>
        <vt:i4>624</vt:i4>
      </vt:variant>
      <vt:variant>
        <vt:i4>0</vt:i4>
      </vt:variant>
      <vt:variant>
        <vt:i4>5</vt:i4>
      </vt:variant>
      <vt:variant>
        <vt:lpwstr>https://www.referendumcouncil.org.au/sites/default/files/201705/Uluru_Statement_From_The_Heart_0.PDF</vt:lpwstr>
      </vt:variant>
      <vt:variant>
        <vt:lpwstr/>
      </vt:variant>
      <vt:variant>
        <vt:i4>262146</vt:i4>
      </vt:variant>
      <vt:variant>
        <vt:i4>621</vt:i4>
      </vt:variant>
      <vt:variant>
        <vt:i4>0</vt:i4>
      </vt:variant>
      <vt:variant>
        <vt:i4>5</vt:i4>
      </vt:variant>
      <vt:variant>
        <vt:lpwstr>https://www.vic.gov.au/sites/default/files/2019-10/Victorian-Guide-to-Regulation.pdf</vt:lpwstr>
      </vt:variant>
      <vt:variant>
        <vt:lpwstr/>
      </vt:variant>
      <vt:variant>
        <vt:i4>262146</vt:i4>
      </vt:variant>
      <vt:variant>
        <vt:i4>618</vt:i4>
      </vt:variant>
      <vt:variant>
        <vt:i4>0</vt:i4>
      </vt:variant>
      <vt:variant>
        <vt:i4>5</vt:i4>
      </vt:variant>
      <vt:variant>
        <vt:lpwstr>https://www.vic.gov.au/sites/default/files/2019-10/Victorian-Guide-to-Regulation.pdf</vt:lpwstr>
      </vt:variant>
      <vt:variant>
        <vt:lpwstr/>
      </vt:variant>
      <vt:variant>
        <vt:i4>262146</vt:i4>
      </vt:variant>
      <vt:variant>
        <vt:i4>615</vt:i4>
      </vt:variant>
      <vt:variant>
        <vt:i4>0</vt:i4>
      </vt:variant>
      <vt:variant>
        <vt:i4>5</vt:i4>
      </vt:variant>
      <vt:variant>
        <vt:lpwstr>https://www.vic.gov.au/sites/default/files/2019-10/Victorian-Guide-to-Regulation.pdf</vt:lpwstr>
      </vt:variant>
      <vt:variant>
        <vt:lpwstr/>
      </vt:variant>
      <vt:variant>
        <vt:i4>262146</vt:i4>
      </vt:variant>
      <vt:variant>
        <vt:i4>612</vt:i4>
      </vt:variant>
      <vt:variant>
        <vt:i4>0</vt:i4>
      </vt:variant>
      <vt:variant>
        <vt:i4>5</vt:i4>
      </vt:variant>
      <vt:variant>
        <vt:lpwstr>https://www.vic.gov.au/sites/default/files/2019-10/Victorian-Guide-to-Regulation.pdf</vt:lpwstr>
      </vt:variant>
      <vt:variant>
        <vt:lpwstr/>
      </vt:variant>
      <vt:variant>
        <vt:i4>262146</vt:i4>
      </vt:variant>
      <vt:variant>
        <vt:i4>609</vt:i4>
      </vt:variant>
      <vt:variant>
        <vt:i4>0</vt:i4>
      </vt:variant>
      <vt:variant>
        <vt:i4>5</vt:i4>
      </vt:variant>
      <vt:variant>
        <vt:lpwstr>https://www.vic.gov.au/sites/default/files/2019-10/Victorian-Guide-to-Regulation.pdf</vt:lpwstr>
      </vt:variant>
      <vt:variant>
        <vt:lpwstr/>
      </vt:variant>
      <vt:variant>
        <vt:i4>262146</vt:i4>
      </vt:variant>
      <vt:variant>
        <vt:i4>606</vt:i4>
      </vt:variant>
      <vt:variant>
        <vt:i4>0</vt:i4>
      </vt:variant>
      <vt:variant>
        <vt:i4>5</vt:i4>
      </vt:variant>
      <vt:variant>
        <vt:lpwstr>https://www.vic.gov.au/sites/default/files/2019-10/Victorian-Guide-to-Regulation.pdf</vt:lpwstr>
      </vt:variant>
      <vt:variant>
        <vt:lpwstr/>
      </vt:variant>
      <vt:variant>
        <vt:i4>262146</vt:i4>
      </vt:variant>
      <vt:variant>
        <vt:i4>603</vt:i4>
      </vt:variant>
      <vt:variant>
        <vt:i4>0</vt:i4>
      </vt:variant>
      <vt:variant>
        <vt:i4>5</vt:i4>
      </vt:variant>
      <vt:variant>
        <vt:lpwstr>https://www.vic.gov.au/sites/default/files/2019-10/Victorian-Guide-to-Regulation.pdf</vt:lpwstr>
      </vt:variant>
      <vt:variant>
        <vt:lpwstr/>
      </vt:variant>
      <vt:variant>
        <vt:i4>262146</vt:i4>
      </vt:variant>
      <vt:variant>
        <vt:i4>600</vt:i4>
      </vt:variant>
      <vt:variant>
        <vt:i4>0</vt:i4>
      </vt:variant>
      <vt:variant>
        <vt:i4>5</vt:i4>
      </vt:variant>
      <vt:variant>
        <vt:lpwstr>https://www.vic.gov.au/sites/default/files/2019-10/Victorian-Guide-to-Regulation.pdf</vt:lpwstr>
      </vt:variant>
      <vt:variant>
        <vt:lpwstr/>
      </vt:variant>
      <vt:variant>
        <vt:i4>262146</vt:i4>
      </vt:variant>
      <vt:variant>
        <vt:i4>597</vt:i4>
      </vt:variant>
      <vt:variant>
        <vt:i4>0</vt:i4>
      </vt:variant>
      <vt:variant>
        <vt:i4>5</vt:i4>
      </vt:variant>
      <vt:variant>
        <vt:lpwstr>https://www.vic.gov.au/sites/default/files/2019-10/Victorian-Guide-to-Regulation.pdf</vt:lpwstr>
      </vt:variant>
      <vt:variant>
        <vt:lpwstr/>
      </vt:variant>
      <vt:variant>
        <vt:i4>262146</vt:i4>
      </vt:variant>
      <vt:variant>
        <vt:i4>594</vt:i4>
      </vt:variant>
      <vt:variant>
        <vt:i4>0</vt:i4>
      </vt:variant>
      <vt:variant>
        <vt:i4>5</vt:i4>
      </vt:variant>
      <vt:variant>
        <vt:lpwstr>https://www.vic.gov.au/sites/default/files/2019-10/Victorian-Guide-to-Regulation.pdf</vt:lpwstr>
      </vt:variant>
      <vt:variant>
        <vt:lpwstr/>
      </vt:variant>
      <vt:variant>
        <vt:i4>262146</vt:i4>
      </vt:variant>
      <vt:variant>
        <vt:i4>591</vt:i4>
      </vt:variant>
      <vt:variant>
        <vt:i4>0</vt:i4>
      </vt:variant>
      <vt:variant>
        <vt:i4>5</vt:i4>
      </vt:variant>
      <vt:variant>
        <vt:lpwstr>https://www.vic.gov.au/sites/default/files/2019-10/Victorian-Guide-to-Regulation.pdf</vt:lpwstr>
      </vt:variant>
      <vt:variant>
        <vt:lpwstr/>
      </vt:variant>
      <vt:variant>
        <vt:i4>262146</vt:i4>
      </vt:variant>
      <vt:variant>
        <vt:i4>588</vt:i4>
      </vt:variant>
      <vt:variant>
        <vt:i4>0</vt:i4>
      </vt:variant>
      <vt:variant>
        <vt:i4>5</vt:i4>
      </vt:variant>
      <vt:variant>
        <vt:lpwstr>https://www.vic.gov.au/sites/default/files/2019-10/Victorian-Guide-to-Regulation.pdf</vt:lpwstr>
      </vt:variant>
      <vt:variant>
        <vt:lpwstr/>
      </vt:variant>
      <vt:variant>
        <vt:i4>262146</vt:i4>
      </vt:variant>
      <vt:variant>
        <vt:i4>585</vt:i4>
      </vt:variant>
      <vt:variant>
        <vt:i4>0</vt:i4>
      </vt:variant>
      <vt:variant>
        <vt:i4>5</vt:i4>
      </vt:variant>
      <vt:variant>
        <vt:lpwstr>https://www.vic.gov.au/sites/default/files/2019-10/Victorian-Guide-to-Regulation.pdf</vt:lpwstr>
      </vt:variant>
      <vt:variant>
        <vt:lpwstr/>
      </vt:variant>
      <vt:variant>
        <vt:i4>1638404</vt:i4>
      </vt:variant>
      <vt:variant>
        <vt:i4>528</vt:i4>
      </vt:variant>
      <vt:variant>
        <vt:i4>0</vt:i4>
      </vt:variant>
      <vt:variant>
        <vt:i4>5</vt:i4>
      </vt:variant>
      <vt:variant>
        <vt:lpwstr>https://ec.europa.eu/environment/aarhus/</vt:lpwstr>
      </vt:variant>
      <vt:variant>
        <vt:lpwstr/>
      </vt:variant>
      <vt:variant>
        <vt:i4>1638404</vt:i4>
      </vt:variant>
      <vt:variant>
        <vt:i4>525</vt:i4>
      </vt:variant>
      <vt:variant>
        <vt:i4>0</vt:i4>
      </vt:variant>
      <vt:variant>
        <vt:i4>5</vt:i4>
      </vt:variant>
      <vt:variant>
        <vt:lpwstr>https://ec.europa.eu/environment/aarhus/</vt:lpwstr>
      </vt:variant>
      <vt:variant>
        <vt:lpwstr/>
      </vt:variant>
      <vt:variant>
        <vt:i4>65549</vt:i4>
      </vt:variant>
      <vt:variant>
        <vt:i4>522</vt:i4>
      </vt:variant>
      <vt:variant>
        <vt:i4>0</vt:i4>
      </vt:variant>
      <vt:variant>
        <vt:i4>5</vt:i4>
      </vt:variant>
      <vt:variant>
        <vt:lpwstr>https://www.pinsentmasons.com/out-law/analysis/uk-public-bodies-principles-consultation-pandemic</vt:lpwstr>
      </vt:variant>
      <vt:variant>
        <vt:lpwstr/>
      </vt:variant>
      <vt:variant>
        <vt:i4>2359420</vt:i4>
      </vt:variant>
      <vt:variant>
        <vt:i4>519</vt:i4>
      </vt:variant>
      <vt:variant>
        <vt:i4>0</vt:i4>
      </vt:variant>
      <vt:variant>
        <vt:i4>5</vt:i4>
      </vt:variant>
      <vt:variant>
        <vt:lpwstr>https://www.mondaq.com/uk/constitutional-administrative-law/758518/public-law-case-update--consultation-edition</vt:lpwstr>
      </vt:variant>
      <vt:variant>
        <vt:lpwstr/>
      </vt:variant>
      <vt:variant>
        <vt:i4>2359420</vt:i4>
      </vt:variant>
      <vt:variant>
        <vt:i4>516</vt:i4>
      </vt:variant>
      <vt:variant>
        <vt:i4>0</vt:i4>
      </vt:variant>
      <vt:variant>
        <vt:i4>5</vt:i4>
      </vt:variant>
      <vt:variant>
        <vt:lpwstr>https://www.mondaq.com/uk/constitutional-administrative-law/758518/public-law-case-update--consultation-edition</vt:lpwstr>
      </vt:variant>
      <vt:variant>
        <vt:lpwstr/>
      </vt:variant>
      <vt:variant>
        <vt:i4>7143461</vt:i4>
      </vt:variant>
      <vt:variant>
        <vt:i4>513</vt:i4>
      </vt:variant>
      <vt:variant>
        <vt:i4>0</vt:i4>
      </vt:variant>
      <vt:variant>
        <vt:i4>5</vt:i4>
      </vt:variant>
      <vt:variant>
        <vt:lpwstr>https://adminlaw.org.uk/wp-content/uploads/18-January-2012-Sheldon.pdf</vt:lpwstr>
      </vt:variant>
      <vt:variant>
        <vt:lpwstr/>
      </vt:variant>
      <vt:variant>
        <vt:i4>7143461</vt:i4>
      </vt:variant>
      <vt:variant>
        <vt:i4>510</vt:i4>
      </vt:variant>
      <vt:variant>
        <vt:i4>0</vt:i4>
      </vt:variant>
      <vt:variant>
        <vt:i4>5</vt:i4>
      </vt:variant>
      <vt:variant>
        <vt:lpwstr>https://adminlaw.org.uk/wp-content/uploads/18-January-2012-Sheldon.pdf</vt:lpwstr>
      </vt:variant>
      <vt:variant>
        <vt:lpwstr/>
      </vt:variant>
      <vt:variant>
        <vt:i4>3145781</vt:i4>
      </vt:variant>
      <vt:variant>
        <vt:i4>507</vt:i4>
      </vt:variant>
      <vt:variant>
        <vt:i4>0</vt:i4>
      </vt:variant>
      <vt:variant>
        <vt:i4>5</vt:i4>
      </vt:variant>
      <vt:variant>
        <vt:lpwstr>https://www.local.gov.uk/sites/default/files/documents/Do I need to consult.pdf</vt:lpwstr>
      </vt:variant>
      <vt:variant>
        <vt:lpwstr/>
      </vt:variant>
      <vt:variant>
        <vt:i4>8126516</vt:i4>
      </vt:variant>
      <vt:variant>
        <vt:i4>504</vt:i4>
      </vt:variant>
      <vt:variant>
        <vt:i4>0</vt:i4>
      </vt:variant>
      <vt:variant>
        <vt:i4>5</vt:i4>
      </vt:variant>
      <vt:variant>
        <vt:lpwstr>https://www.gov.uk/guidance/environmental-impact-assessment</vt:lpwstr>
      </vt:variant>
      <vt:variant>
        <vt:lpwstr/>
      </vt:variant>
      <vt:variant>
        <vt:i4>3145781</vt:i4>
      </vt:variant>
      <vt:variant>
        <vt:i4>501</vt:i4>
      </vt:variant>
      <vt:variant>
        <vt:i4>0</vt:i4>
      </vt:variant>
      <vt:variant>
        <vt:i4>5</vt:i4>
      </vt:variant>
      <vt:variant>
        <vt:lpwstr>https://www.local.gov.uk/sites/default/files/documents/Do I need to consult.pdf</vt:lpwstr>
      </vt:variant>
      <vt:variant>
        <vt:lpwstr/>
      </vt:variant>
      <vt:variant>
        <vt:i4>393219</vt:i4>
      </vt:variant>
      <vt:variant>
        <vt:i4>498</vt:i4>
      </vt:variant>
      <vt:variant>
        <vt:i4>0</vt:i4>
      </vt:variant>
      <vt:variant>
        <vt:i4>5</vt:i4>
      </vt:variant>
      <vt:variant>
        <vt:lpwstr>https://www.hcourt.gov.au/assets/publications/speeches/current-justices/frenchcj/frenchcj07oct10.pdf</vt:lpwstr>
      </vt:variant>
      <vt:variant>
        <vt:lpwstr/>
      </vt:variant>
      <vt:variant>
        <vt:i4>393219</vt:i4>
      </vt:variant>
      <vt:variant>
        <vt:i4>495</vt:i4>
      </vt:variant>
      <vt:variant>
        <vt:i4>0</vt:i4>
      </vt:variant>
      <vt:variant>
        <vt:i4>5</vt:i4>
      </vt:variant>
      <vt:variant>
        <vt:lpwstr>https://www.hcourt.gov.au/assets/publications/speeches/current-justices/frenchcj/frenchcj07oct10.pdf</vt:lpwstr>
      </vt:variant>
      <vt:variant>
        <vt:lpwstr/>
      </vt:variant>
      <vt:variant>
        <vt:i4>6750268</vt:i4>
      </vt:variant>
      <vt:variant>
        <vt:i4>492</vt:i4>
      </vt:variant>
      <vt:variant>
        <vt:i4>0</vt:i4>
      </vt:variant>
      <vt:variant>
        <vt:i4>5</vt:i4>
      </vt:variant>
      <vt:variant>
        <vt:lpwstr>https://disability.royalcommission.gov.au/news-and-media/media-releases/routinely-ignoring-rights-people-disability-key-factor-mistreatment</vt:lpwstr>
      </vt:variant>
      <vt:variant>
        <vt:lpwstr/>
      </vt:variant>
      <vt:variant>
        <vt:i4>2556011</vt:i4>
      </vt:variant>
      <vt:variant>
        <vt:i4>486</vt:i4>
      </vt:variant>
      <vt:variant>
        <vt:i4>0</vt:i4>
      </vt:variant>
      <vt:variant>
        <vt:i4>5</vt:i4>
      </vt:variant>
      <vt:variant>
        <vt:lpwstr>https://humanrights.gov.au/intersex-report-2021</vt:lpwstr>
      </vt:variant>
      <vt:variant>
        <vt:lpwstr/>
      </vt:variant>
      <vt:variant>
        <vt:i4>3014709</vt:i4>
      </vt:variant>
      <vt:variant>
        <vt:i4>483</vt:i4>
      </vt:variant>
      <vt:variant>
        <vt:i4>0</vt:i4>
      </vt:variant>
      <vt:variant>
        <vt:i4>5</vt:i4>
      </vt:variant>
      <vt:variant>
        <vt:lpwstr>https://www.judicialcollege.vic.edu.au/eManuals/CHRBB/57270.htm</vt:lpwstr>
      </vt:variant>
      <vt:variant>
        <vt:lpwstr/>
      </vt:variant>
      <vt:variant>
        <vt:i4>3014709</vt:i4>
      </vt:variant>
      <vt:variant>
        <vt:i4>480</vt:i4>
      </vt:variant>
      <vt:variant>
        <vt:i4>0</vt:i4>
      </vt:variant>
      <vt:variant>
        <vt:i4>5</vt:i4>
      </vt:variant>
      <vt:variant>
        <vt:lpwstr>https://www.judicialcollege.vic.edu.au/eManuals/CHRBB/57270.htm</vt:lpwstr>
      </vt:variant>
      <vt:variant>
        <vt:lpwstr/>
      </vt:variant>
      <vt:variant>
        <vt:i4>3014709</vt:i4>
      </vt:variant>
      <vt:variant>
        <vt:i4>477</vt:i4>
      </vt:variant>
      <vt:variant>
        <vt:i4>0</vt:i4>
      </vt:variant>
      <vt:variant>
        <vt:i4>5</vt:i4>
      </vt:variant>
      <vt:variant>
        <vt:lpwstr>https://www.judicialcollege.vic.edu.au/eManuals/CHRBB/57270.htm</vt:lpwstr>
      </vt:variant>
      <vt:variant>
        <vt:lpwstr/>
      </vt:variant>
      <vt:variant>
        <vt:i4>5832774</vt:i4>
      </vt:variant>
      <vt:variant>
        <vt:i4>474</vt:i4>
      </vt:variant>
      <vt:variant>
        <vt:i4>0</vt:i4>
      </vt:variant>
      <vt:variant>
        <vt:i4>5</vt:i4>
      </vt:variant>
      <vt:variant>
        <vt:lpwstr>https://www.aat.gov.au/about-the-aat/engagement/speeches-and-papers/the-honourable-justice-garry-downes-am-former-pres/tribunals-in-australia-their-roles-and-responsibil</vt:lpwstr>
      </vt:variant>
      <vt:variant>
        <vt:lpwstr/>
      </vt:variant>
      <vt:variant>
        <vt:i4>3080252</vt:i4>
      </vt:variant>
      <vt:variant>
        <vt:i4>471</vt:i4>
      </vt:variant>
      <vt:variant>
        <vt:i4>0</vt:i4>
      </vt:variant>
      <vt:variant>
        <vt:i4>5</vt:i4>
      </vt:variant>
      <vt:variant>
        <vt:lpwstr>https://www.judicialcollege.vic.edu.au/eManuals/CHRBB/57269.htm</vt:lpwstr>
      </vt:variant>
      <vt:variant>
        <vt:lpwstr/>
      </vt:variant>
      <vt:variant>
        <vt:i4>6422567</vt:i4>
      </vt:variant>
      <vt:variant>
        <vt:i4>468</vt:i4>
      </vt:variant>
      <vt:variant>
        <vt:i4>0</vt:i4>
      </vt:variant>
      <vt:variant>
        <vt:i4>5</vt:i4>
      </vt:variant>
      <vt:variant>
        <vt:lpwstr>https://www.niaa.gov.au/indigenous-affairs/land-and-housing</vt:lpwstr>
      </vt:variant>
      <vt:variant>
        <vt:lpwstr/>
      </vt:variant>
      <vt:variant>
        <vt:i4>7929910</vt:i4>
      </vt:variant>
      <vt:variant>
        <vt:i4>465</vt:i4>
      </vt:variant>
      <vt:variant>
        <vt:i4>0</vt:i4>
      </vt:variant>
      <vt:variant>
        <vt:i4>5</vt:i4>
      </vt:variant>
      <vt:variant>
        <vt:lpwstr>https://www.homeaffairs.gov.au/about-us/our-portfolios/emergency-management/about-emergency-management</vt:lpwstr>
      </vt:variant>
      <vt:variant>
        <vt:lpwstr/>
      </vt:variant>
      <vt:variant>
        <vt:i4>8126503</vt:i4>
      </vt:variant>
      <vt:variant>
        <vt:i4>462</vt:i4>
      </vt:variant>
      <vt:variant>
        <vt:i4>0</vt:i4>
      </vt:variant>
      <vt:variant>
        <vt:i4>5</vt:i4>
      </vt:variant>
      <vt:variant>
        <vt:lpwstr>https://static1.squarespace.com/static/580025f66b8f5b2dabbe4291/t/5ab45dd31ae6cf2ed3804195/1521769952176/VictorianCharter_in_Action_CASESTUDIES_march2012.pdf</vt:lpwstr>
      </vt:variant>
      <vt:variant>
        <vt:lpwstr/>
      </vt:variant>
      <vt:variant>
        <vt:i4>4456457</vt:i4>
      </vt:variant>
      <vt:variant>
        <vt:i4>459</vt:i4>
      </vt:variant>
      <vt:variant>
        <vt:i4>0</vt:i4>
      </vt:variant>
      <vt:variant>
        <vt:i4>5</vt:i4>
      </vt:variant>
      <vt:variant>
        <vt:lpwstr>https://www.bihr.org.uk/Handlers/Download.ashx?IDMF=6efd6aef-3bc3-4c75-867c-d744ede5d0c9</vt:lpwstr>
      </vt:variant>
      <vt:variant>
        <vt:lpwstr/>
      </vt:variant>
      <vt:variant>
        <vt:i4>4456457</vt:i4>
      </vt:variant>
      <vt:variant>
        <vt:i4>456</vt:i4>
      </vt:variant>
      <vt:variant>
        <vt:i4>0</vt:i4>
      </vt:variant>
      <vt:variant>
        <vt:i4>5</vt:i4>
      </vt:variant>
      <vt:variant>
        <vt:lpwstr>https://www.bihr.org.uk/Handlers/Download.ashx?IDMF=6efd6aef-3bc3-4c75-867c-d744ede5d0c9</vt:lpwstr>
      </vt:variant>
      <vt:variant>
        <vt:lpwstr/>
      </vt:variant>
      <vt:variant>
        <vt:i4>196629</vt:i4>
      </vt:variant>
      <vt:variant>
        <vt:i4>453</vt:i4>
      </vt:variant>
      <vt:variant>
        <vt:i4>0</vt:i4>
      </vt:variant>
      <vt:variant>
        <vt:i4>5</vt:i4>
      </vt:variant>
      <vt:variant>
        <vt:lpwstr>https://www.un.org/africarenewal/magazine/july-2022/un-general-assembly-declares-access-clean-and-healthy-environment-universal-human</vt:lpwstr>
      </vt:variant>
      <vt:variant>
        <vt:lpwstr/>
      </vt:variant>
      <vt:variant>
        <vt:i4>196629</vt:i4>
      </vt:variant>
      <vt:variant>
        <vt:i4>450</vt:i4>
      </vt:variant>
      <vt:variant>
        <vt:i4>0</vt:i4>
      </vt:variant>
      <vt:variant>
        <vt:i4>5</vt:i4>
      </vt:variant>
      <vt:variant>
        <vt:lpwstr>https://www.un.org/africarenewal/magazine/july-2022/un-general-assembly-declares-access-clean-and-healthy-environment-universal-human</vt:lpwstr>
      </vt:variant>
      <vt:variant>
        <vt:lpwstr/>
      </vt:variant>
      <vt:variant>
        <vt:i4>6684793</vt:i4>
      </vt:variant>
      <vt:variant>
        <vt:i4>447</vt:i4>
      </vt:variant>
      <vt:variant>
        <vt:i4>0</vt:i4>
      </vt:variant>
      <vt:variant>
        <vt:i4>5</vt:i4>
      </vt:variant>
      <vt:variant>
        <vt:lpwstr>https://www.ohchr.org/sites/default/files/Documents/Publications/FactSheet33en.pdf</vt:lpwstr>
      </vt:variant>
      <vt:variant>
        <vt:lpwstr/>
      </vt:variant>
      <vt:variant>
        <vt:i4>6684793</vt:i4>
      </vt:variant>
      <vt:variant>
        <vt:i4>444</vt:i4>
      </vt:variant>
      <vt:variant>
        <vt:i4>0</vt:i4>
      </vt:variant>
      <vt:variant>
        <vt:i4>5</vt:i4>
      </vt:variant>
      <vt:variant>
        <vt:lpwstr>https://www.ohchr.org/sites/default/files/Documents/Publications/FactSheet33en.pdf</vt:lpwstr>
      </vt:variant>
      <vt:variant>
        <vt:lpwstr/>
      </vt:variant>
      <vt:variant>
        <vt:i4>1310785</vt:i4>
      </vt:variant>
      <vt:variant>
        <vt:i4>441</vt:i4>
      </vt:variant>
      <vt:variant>
        <vt:i4>0</vt:i4>
      </vt:variant>
      <vt:variant>
        <vt:i4>5</vt:i4>
      </vt:variant>
      <vt:variant>
        <vt:lpwstr>https://apo.org.au/sites/default/files/resource-files/2007-11/apo-nid3818.pdf</vt:lpwstr>
      </vt:variant>
      <vt:variant>
        <vt:lpwstr/>
      </vt:variant>
      <vt:variant>
        <vt:i4>7077935</vt:i4>
      </vt:variant>
      <vt:variant>
        <vt:i4>438</vt:i4>
      </vt:variant>
      <vt:variant>
        <vt:i4>0</vt:i4>
      </vt:variant>
      <vt:variant>
        <vt:i4>5</vt:i4>
      </vt:variant>
      <vt:variant>
        <vt:lpwstr>https://ctgreport.niaa.gov.au/</vt:lpwstr>
      </vt:variant>
      <vt:variant>
        <vt:lpwstr/>
      </vt:variant>
      <vt:variant>
        <vt:i4>5767199</vt:i4>
      </vt:variant>
      <vt:variant>
        <vt:i4>435</vt:i4>
      </vt:variant>
      <vt:variant>
        <vt:i4>0</vt:i4>
      </vt:variant>
      <vt:variant>
        <vt:i4>5</vt:i4>
      </vt:variant>
      <vt:variant>
        <vt:lpwstr>https://www.ohchr.org/en/human-rights/economic-social-cultural-rights/escr-vs-civil-political-rights</vt:lpwstr>
      </vt:variant>
      <vt:variant>
        <vt:lpwstr/>
      </vt:variant>
      <vt:variant>
        <vt:i4>5767199</vt:i4>
      </vt:variant>
      <vt:variant>
        <vt:i4>432</vt:i4>
      </vt:variant>
      <vt:variant>
        <vt:i4>0</vt:i4>
      </vt:variant>
      <vt:variant>
        <vt:i4>5</vt:i4>
      </vt:variant>
      <vt:variant>
        <vt:lpwstr>https://www.ohchr.org/en/human-rights/economic-social-cultural-rights/escr-vs-civil-political-rights</vt:lpwstr>
      </vt:variant>
      <vt:variant>
        <vt:lpwstr/>
      </vt:variant>
      <vt:variant>
        <vt:i4>7798908</vt:i4>
      </vt:variant>
      <vt:variant>
        <vt:i4>429</vt:i4>
      </vt:variant>
      <vt:variant>
        <vt:i4>0</vt:i4>
      </vt:variant>
      <vt:variant>
        <vt:i4>5</vt:i4>
      </vt:variant>
      <vt:variant>
        <vt:lpwstr>https://www.ohchr.org/en/what-are-human-rights/international-bill-human-rights</vt:lpwstr>
      </vt:variant>
      <vt:variant>
        <vt:lpwstr/>
      </vt:variant>
      <vt:variant>
        <vt:i4>7471208</vt:i4>
      </vt:variant>
      <vt:variant>
        <vt:i4>426</vt:i4>
      </vt:variant>
      <vt:variant>
        <vt:i4>0</vt:i4>
      </vt:variant>
      <vt:variant>
        <vt:i4>5</vt:i4>
      </vt:variant>
      <vt:variant>
        <vt:lpwstr>https://legallibrary.crin.org/minister-of-health-and-others-v-treatment-action-campaign-and-others/</vt:lpwstr>
      </vt:variant>
      <vt:variant>
        <vt:lpwstr/>
      </vt:variant>
      <vt:variant>
        <vt:i4>7995425</vt:i4>
      </vt:variant>
      <vt:variant>
        <vt:i4>423</vt:i4>
      </vt:variant>
      <vt:variant>
        <vt:i4>0</vt:i4>
      </vt:variant>
      <vt:variant>
        <vt:i4>5</vt:i4>
      </vt:variant>
      <vt:variant>
        <vt:lpwstr>https://humanrights.gov.au/sites/default/files/content/social_justice/sj_report/sjreport05/pdf/SocialJustice2005.pdf</vt:lpwstr>
      </vt:variant>
      <vt:variant>
        <vt:lpwstr/>
      </vt:variant>
      <vt:variant>
        <vt:i4>6684793</vt:i4>
      </vt:variant>
      <vt:variant>
        <vt:i4>420</vt:i4>
      </vt:variant>
      <vt:variant>
        <vt:i4>0</vt:i4>
      </vt:variant>
      <vt:variant>
        <vt:i4>5</vt:i4>
      </vt:variant>
      <vt:variant>
        <vt:lpwstr>https://www.ohchr.org/sites/default/files/Documents/Publications/FactSheet33en.pdf</vt:lpwstr>
      </vt:variant>
      <vt:variant>
        <vt:lpwstr/>
      </vt:variant>
      <vt:variant>
        <vt:i4>6684793</vt:i4>
      </vt:variant>
      <vt:variant>
        <vt:i4>417</vt:i4>
      </vt:variant>
      <vt:variant>
        <vt:i4>0</vt:i4>
      </vt:variant>
      <vt:variant>
        <vt:i4>5</vt:i4>
      </vt:variant>
      <vt:variant>
        <vt:lpwstr>https://www.ohchr.org/sites/default/files/Documents/Publications/FactSheet33en.pdf</vt:lpwstr>
      </vt:variant>
      <vt:variant>
        <vt:lpwstr/>
      </vt:variant>
      <vt:variant>
        <vt:i4>7405622</vt:i4>
      </vt:variant>
      <vt:variant>
        <vt:i4>414</vt:i4>
      </vt:variant>
      <vt:variant>
        <vt:i4>0</vt:i4>
      </vt:variant>
      <vt:variant>
        <vt:i4>5</vt:i4>
      </vt:variant>
      <vt:variant>
        <vt:lpwstr>https://www.ohchr.org/sites/default/files/Documents/Publications/FS21_rev_1_Housing_en.pdf</vt:lpwstr>
      </vt:variant>
      <vt:variant>
        <vt:lpwstr/>
      </vt:variant>
      <vt:variant>
        <vt:i4>6684793</vt:i4>
      </vt:variant>
      <vt:variant>
        <vt:i4>411</vt:i4>
      </vt:variant>
      <vt:variant>
        <vt:i4>0</vt:i4>
      </vt:variant>
      <vt:variant>
        <vt:i4>5</vt:i4>
      </vt:variant>
      <vt:variant>
        <vt:lpwstr>https://www.ohchr.org/sites/default/files/Documents/Publications/FactSheet33en.pdf</vt:lpwstr>
      </vt:variant>
      <vt:variant>
        <vt:lpwstr/>
      </vt:variant>
      <vt:variant>
        <vt:i4>6684793</vt:i4>
      </vt:variant>
      <vt:variant>
        <vt:i4>408</vt:i4>
      </vt:variant>
      <vt:variant>
        <vt:i4>0</vt:i4>
      </vt:variant>
      <vt:variant>
        <vt:i4>5</vt:i4>
      </vt:variant>
      <vt:variant>
        <vt:lpwstr>https://www.ohchr.org/sites/default/files/Documents/Publications/FactSheet33en.pdf</vt:lpwstr>
      </vt:variant>
      <vt:variant>
        <vt:lpwstr/>
      </vt:variant>
      <vt:variant>
        <vt:i4>2949218</vt:i4>
      </vt:variant>
      <vt:variant>
        <vt:i4>405</vt:i4>
      </vt:variant>
      <vt:variant>
        <vt:i4>0</vt:i4>
      </vt:variant>
      <vt:variant>
        <vt:i4>5</vt:i4>
      </vt:variant>
      <vt:variant>
        <vt:lpwstr>https://www.closingthegap.gov.au/national-agreement/national-agreement-closing-the-gap</vt:lpwstr>
      </vt:variant>
      <vt:variant>
        <vt:lpwstr/>
      </vt:variant>
      <vt:variant>
        <vt:i4>6684723</vt:i4>
      </vt:variant>
      <vt:variant>
        <vt:i4>402</vt:i4>
      </vt:variant>
      <vt:variant>
        <vt:i4>0</vt:i4>
      </vt:variant>
      <vt:variant>
        <vt:i4>5</vt:i4>
      </vt:variant>
      <vt:variant>
        <vt:lpwstr>https://apo.org.au/sites/default/files/resourcefiles/200711/apo-nid3818.pdf</vt:lpwstr>
      </vt:variant>
      <vt:variant>
        <vt:lpwstr/>
      </vt:variant>
      <vt:variant>
        <vt:i4>3276854</vt:i4>
      </vt:variant>
      <vt:variant>
        <vt:i4>399</vt:i4>
      </vt:variant>
      <vt:variant>
        <vt:i4>0</vt:i4>
      </vt:variant>
      <vt:variant>
        <vt:i4>5</vt:i4>
      </vt:variant>
      <vt:variant>
        <vt:lpwstr>https://documents.parliament.qld.gov.au/tableOffice/TabledPapers/2016/5516T1030.pdf</vt:lpwstr>
      </vt:variant>
      <vt:variant>
        <vt:lpwstr/>
      </vt:variant>
      <vt:variant>
        <vt:i4>2949168</vt:i4>
      </vt:variant>
      <vt:variant>
        <vt:i4>396</vt:i4>
      </vt:variant>
      <vt:variant>
        <vt:i4>0</vt:i4>
      </vt:variant>
      <vt:variant>
        <vt:i4>5</vt:i4>
      </vt:variant>
      <vt:variant>
        <vt:lpwstr>https://www.judicialcollege.vic.edu.au/eManuals/CHRBB/57245.htm</vt:lpwstr>
      </vt:variant>
      <vt:variant>
        <vt:lpwstr/>
      </vt:variant>
      <vt:variant>
        <vt:i4>3997809</vt:i4>
      </vt:variant>
      <vt:variant>
        <vt:i4>393</vt:i4>
      </vt:variant>
      <vt:variant>
        <vt:i4>0</vt:i4>
      </vt:variant>
      <vt:variant>
        <vt:i4>5</vt:i4>
      </vt:variant>
      <vt:variant>
        <vt:lpwstr>https://www.abc.net.au/news/2017-11-28/royal-commission-costs-the-northern-territory-government-million/9201928</vt:lpwstr>
      </vt:variant>
      <vt:variant>
        <vt:lpwstr/>
      </vt:variant>
      <vt:variant>
        <vt:i4>2097208</vt:i4>
      </vt:variant>
      <vt:variant>
        <vt:i4>390</vt:i4>
      </vt:variant>
      <vt:variant>
        <vt:i4>0</vt:i4>
      </vt:variant>
      <vt:variant>
        <vt:i4>5</vt:i4>
      </vt:variant>
      <vt:variant>
        <vt:lpwstr>https://www.sbs.com.au/news/article/its-not-flash-being-disabled-pm-launches-527-million-disability-royal-commission/wt11e0a3k</vt:lpwstr>
      </vt:variant>
      <vt:variant>
        <vt:lpwstr/>
      </vt:variant>
      <vt:variant>
        <vt:i4>1310790</vt:i4>
      </vt:variant>
      <vt:variant>
        <vt:i4>387</vt:i4>
      </vt:variant>
      <vt:variant>
        <vt:i4>0</vt:i4>
      </vt:variant>
      <vt:variant>
        <vt:i4>5</vt:i4>
      </vt:variant>
      <vt:variant>
        <vt:lpwstr>https://theconversation.com/royal-commission-on-the-abuse-of-disabled-people-to-be-announced-soon-112621</vt:lpwstr>
      </vt:variant>
      <vt:variant>
        <vt:lpwstr/>
      </vt:variant>
      <vt:variant>
        <vt:i4>4456535</vt:i4>
      </vt:variant>
      <vt:variant>
        <vt:i4>384</vt:i4>
      </vt:variant>
      <vt:variant>
        <vt:i4>0</vt:i4>
      </vt:variant>
      <vt:variant>
        <vt:i4>5</vt:i4>
      </vt:variant>
      <vt:variant>
        <vt:lpwstr>https://www.abc.net.au/news/sarah-scopelianos/6806558</vt:lpwstr>
      </vt:variant>
      <vt:variant>
        <vt:lpwstr/>
      </vt:variant>
      <vt:variant>
        <vt:i4>3997811</vt:i4>
      </vt:variant>
      <vt:variant>
        <vt:i4>381</vt:i4>
      </vt:variant>
      <vt:variant>
        <vt:i4>0</vt:i4>
      </vt:variant>
      <vt:variant>
        <vt:i4>5</vt:i4>
      </vt:variant>
      <vt:variant>
        <vt:lpwstr>https://www.theguardian.com/australia-news/2021/jun/11/robodebt-court-approves-18bn-settlement-for-victims-of-governments-shameful-failure</vt:lpwstr>
      </vt:variant>
      <vt:variant>
        <vt:lpwstr/>
      </vt:variant>
      <vt:variant>
        <vt:i4>3932270</vt:i4>
      </vt:variant>
      <vt:variant>
        <vt:i4>378</vt:i4>
      </vt:variant>
      <vt:variant>
        <vt:i4>0</vt:i4>
      </vt:variant>
      <vt:variant>
        <vt:i4>5</vt:i4>
      </vt:variant>
      <vt:variant>
        <vt:lpwstr>https://remedy.org.au/cases/19/</vt:lpwstr>
      </vt:variant>
      <vt:variant>
        <vt:lpwstr/>
      </vt:variant>
      <vt:variant>
        <vt:i4>5963797</vt:i4>
      </vt:variant>
      <vt:variant>
        <vt:i4>375</vt:i4>
      </vt:variant>
      <vt:variant>
        <vt:i4>0</vt:i4>
      </vt:variant>
      <vt:variant>
        <vt:i4>5</vt:i4>
      </vt:variant>
      <vt:variant>
        <vt:lpwstr>https://remedy.org.au/cases/treaty/4/</vt:lpwstr>
      </vt:variant>
      <vt:variant>
        <vt:lpwstr/>
      </vt:variant>
      <vt:variant>
        <vt:i4>5505106</vt:i4>
      </vt:variant>
      <vt:variant>
        <vt:i4>372</vt:i4>
      </vt:variant>
      <vt:variant>
        <vt:i4>0</vt:i4>
      </vt:variant>
      <vt:variant>
        <vt:i4>5</vt:i4>
      </vt:variant>
      <vt:variant>
        <vt:lpwstr>https://humanrights.gov.au/our-work/education/human-rights-explained-case-studies-complaints-about-australia-human-rights</vt:lpwstr>
      </vt:variant>
      <vt:variant>
        <vt:lpwstr/>
      </vt:variant>
      <vt:variant>
        <vt:i4>3014716</vt:i4>
      </vt:variant>
      <vt:variant>
        <vt:i4>369</vt:i4>
      </vt:variant>
      <vt:variant>
        <vt:i4>0</vt:i4>
      </vt:variant>
      <vt:variant>
        <vt:i4>5</vt:i4>
      </vt:variant>
      <vt:variant>
        <vt:lpwstr>https://remedy.org.au/</vt:lpwstr>
      </vt:variant>
      <vt:variant>
        <vt:lpwstr/>
      </vt:variant>
      <vt:variant>
        <vt:i4>327775</vt:i4>
      </vt:variant>
      <vt:variant>
        <vt:i4>366</vt:i4>
      </vt:variant>
      <vt:variant>
        <vt:i4>0</vt:i4>
      </vt:variant>
      <vt:variant>
        <vt:i4>5</vt:i4>
      </vt:variant>
      <vt:variant>
        <vt:lpwstr>https://remedy.org.au/cases/</vt:lpwstr>
      </vt:variant>
      <vt:variant>
        <vt:lpwstr/>
      </vt:variant>
      <vt:variant>
        <vt:i4>5767195</vt:i4>
      </vt:variant>
      <vt:variant>
        <vt:i4>363</vt:i4>
      </vt:variant>
      <vt:variant>
        <vt:i4>0</vt:i4>
      </vt:variant>
      <vt:variant>
        <vt:i4>5</vt:i4>
      </vt:variant>
      <vt:variant>
        <vt:lpwstr>http://www.unhchr.ch/tbs/doc.nsf/0/f8755fbb0a55e15ac1256c7f002f17bd?Opendocument</vt:lpwstr>
      </vt:variant>
      <vt:variant>
        <vt:lpwstr/>
      </vt:variant>
      <vt:variant>
        <vt:i4>2293801</vt:i4>
      </vt:variant>
      <vt:variant>
        <vt:i4>360</vt:i4>
      </vt:variant>
      <vt:variant>
        <vt:i4>0</vt:i4>
      </vt:variant>
      <vt:variant>
        <vt:i4>5</vt:i4>
      </vt:variant>
      <vt:variant>
        <vt:lpwstr>https://www.hrlc.org.au/reports/2022/6/2/charters-of-human-rights-make-our-lives-better</vt:lpwstr>
      </vt:variant>
      <vt:variant>
        <vt:lpwstr/>
      </vt:variant>
      <vt:variant>
        <vt:i4>2293801</vt:i4>
      </vt:variant>
      <vt:variant>
        <vt:i4>357</vt:i4>
      </vt:variant>
      <vt:variant>
        <vt:i4>0</vt:i4>
      </vt:variant>
      <vt:variant>
        <vt:i4>5</vt:i4>
      </vt:variant>
      <vt:variant>
        <vt:lpwstr>https://www.hrlc.org.au/reports/2022/6/2/charters-of-human-rights-make-our-lives-better</vt:lpwstr>
      </vt:variant>
      <vt:variant>
        <vt:lpwstr/>
      </vt:variant>
      <vt:variant>
        <vt:i4>2359356</vt:i4>
      </vt:variant>
      <vt:variant>
        <vt:i4>354</vt:i4>
      </vt:variant>
      <vt:variant>
        <vt:i4>0</vt:i4>
      </vt:variant>
      <vt:variant>
        <vt:i4>5</vt:i4>
      </vt:variant>
      <vt:variant>
        <vt:lpwstr>https://www.royalcommission.gov.au/child-detention/final-report</vt:lpwstr>
      </vt:variant>
      <vt:variant>
        <vt:lpwstr/>
      </vt:variant>
      <vt:variant>
        <vt:i4>4587614</vt:i4>
      </vt:variant>
      <vt:variant>
        <vt:i4>351</vt:i4>
      </vt:variant>
      <vt:variant>
        <vt:i4>0</vt:i4>
      </vt:variant>
      <vt:variant>
        <vt:i4>5</vt:i4>
      </vt:variant>
      <vt:variant>
        <vt:lpwstr>https://www.childabuseroyalcommission.gov.au/final-report</vt:lpwstr>
      </vt:variant>
      <vt:variant>
        <vt:lpwstr/>
      </vt:variant>
      <vt:variant>
        <vt:i4>3735614</vt:i4>
      </vt:variant>
      <vt:variant>
        <vt:i4>348</vt:i4>
      </vt:variant>
      <vt:variant>
        <vt:i4>0</vt:i4>
      </vt:variant>
      <vt:variant>
        <vt:i4>5</vt:i4>
      </vt:variant>
      <vt:variant>
        <vt:lpwstr>https://humanrights.gov.au/our-work/asylum-seekers-and-refugees/publications/last-resort-national-inquiry-children-immigration</vt:lpwstr>
      </vt:variant>
      <vt:variant>
        <vt:lpwstr/>
      </vt:variant>
      <vt:variant>
        <vt:i4>5963803</vt:i4>
      </vt:variant>
      <vt:variant>
        <vt:i4>345</vt:i4>
      </vt:variant>
      <vt:variant>
        <vt:i4>0</vt:i4>
      </vt:variant>
      <vt:variant>
        <vt:i4>5</vt:i4>
      </vt:variant>
      <vt:variant>
        <vt:lpwstr>https://humanrights.gov.au/our-work/asylum-seekers-and-refugees/publications/forgotten-children-national-inquiry-children</vt:lpwstr>
      </vt:variant>
      <vt:variant>
        <vt:lpwstr/>
      </vt:variant>
      <vt:variant>
        <vt:i4>7602281</vt:i4>
      </vt:variant>
      <vt:variant>
        <vt:i4>342</vt:i4>
      </vt:variant>
      <vt:variant>
        <vt:i4>0</vt:i4>
      </vt:variant>
      <vt:variant>
        <vt:i4>5</vt:i4>
      </vt:variant>
      <vt:variant>
        <vt:lpwstr>https://www.equalityhumanrights.com/sites/default/files/close_to_home.pdf</vt:lpwstr>
      </vt:variant>
      <vt:variant>
        <vt:lpwstr/>
      </vt:variant>
      <vt:variant>
        <vt:i4>655447</vt:i4>
      </vt:variant>
      <vt:variant>
        <vt:i4>339</vt:i4>
      </vt:variant>
      <vt:variant>
        <vt:i4>0</vt:i4>
      </vt:variant>
      <vt:variant>
        <vt:i4>5</vt:i4>
      </vt:variant>
      <vt:variant>
        <vt:lpwstr>https://www.escr-net.org/caselaw/2015/queen-application-bernard-v-london-borough-enfield-2002-ewhc-2282-admin</vt:lpwstr>
      </vt:variant>
      <vt:variant>
        <vt:lpwstr/>
      </vt:variant>
      <vt:variant>
        <vt:i4>1704003</vt:i4>
      </vt:variant>
      <vt:variant>
        <vt:i4>336</vt:i4>
      </vt:variant>
      <vt:variant>
        <vt:i4>0</vt:i4>
      </vt:variant>
      <vt:variant>
        <vt:i4>5</vt:i4>
      </vt:variant>
      <vt:variant>
        <vt:lpwstr>https://www.amnesty.org.uk/eight-reasons-why-human-rights-act-has-made-uk-better-place-british-bill-of-rights</vt:lpwstr>
      </vt:variant>
      <vt:variant>
        <vt:lpwstr/>
      </vt:variant>
      <vt:variant>
        <vt:i4>7864435</vt:i4>
      </vt:variant>
      <vt:variant>
        <vt:i4>333</vt:i4>
      </vt:variant>
      <vt:variant>
        <vt:i4>0</vt:i4>
      </vt:variant>
      <vt:variant>
        <vt:i4>5</vt:i4>
      </vt:variant>
      <vt:variant>
        <vt:lpwstr>https://lx.iriss.org.uk/sites/default/files/resources/human rights act.pdf</vt:lpwstr>
      </vt:variant>
      <vt:variant>
        <vt:lpwstr/>
      </vt:variant>
      <vt:variant>
        <vt:i4>6225951</vt:i4>
      </vt:variant>
      <vt:variant>
        <vt:i4>330</vt:i4>
      </vt:variant>
      <vt:variant>
        <vt:i4>0</vt:i4>
      </vt:variant>
      <vt:variant>
        <vt:i4>5</vt:i4>
      </vt:variant>
      <vt:variant>
        <vt:lpwstr>https://www.bbc.com/news/uk-england-tees-33153031</vt:lpwstr>
      </vt:variant>
      <vt:variant>
        <vt:lpwstr/>
      </vt:variant>
      <vt:variant>
        <vt:i4>6619192</vt:i4>
      </vt:variant>
      <vt:variant>
        <vt:i4>327</vt:i4>
      </vt:variant>
      <vt:variant>
        <vt:i4>0</vt:i4>
      </vt:variant>
      <vt:variant>
        <vt:i4>5</vt:i4>
      </vt:variant>
      <vt:variant>
        <vt:lpwstr>https://www.bihr.org.uk/blog/poor-practice-in-care</vt:lpwstr>
      </vt:variant>
      <vt:variant>
        <vt:lpwstr/>
      </vt:variant>
      <vt:variant>
        <vt:i4>6225951</vt:i4>
      </vt:variant>
      <vt:variant>
        <vt:i4>324</vt:i4>
      </vt:variant>
      <vt:variant>
        <vt:i4>0</vt:i4>
      </vt:variant>
      <vt:variant>
        <vt:i4>5</vt:i4>
      </vt:variant>
      <vt:variant>
        <vt:lpwstr>https://www.bbc.com/news/uk-england-tees-33153031</vt:lpwstr>
      </vt:variant>
      <vt:variant>
        <vt:lpwstr/>
      </vt:variant>
      <vt:variant>
        <vt:i4>6619192</vt:i4>
      </vt:variant>
      <vt:variant>
        <vt:i4>321</vt:i4>
      </vt:variant>
      <vt:variant>
        <vt:i4>0</vt:i4>
      </vt:variant>
      <vt:variant>
        <vt:i4>5</vt:i4>
      </vt:variant>
      <vt:variant>
        <vt:lpwstr>https://www.bihr.org.uk/blog/poor-practice-in-care</vt:lpwstr>
      </vt:variant>
      <vt:variant>
        <vt:lpwstr/>
      </vt:variant>
      <vt:variant>
        <vt:i4>3473507</vt:i4>
      </vt:variant>
      <vt:variant>
        <vt:i4>318</vt:i4>
      </vt:variant>
      <vt:variant>
        <vt:i4>0</vt:i4>
      </vt:variant>
      <vt:variant>
        <vt:i4>5</vt:i4>
      </vt:variant>
      <vt:variant>
        <vt:lpwstr>https://www.cqc.org.uk/sites/default/files/20200922_Our_human_rights_approach_post_consultation_document_FINAL_WEB_accessible.pdf</vt:lpwstr>
      </vt:variant>
      <vt:variant>
        <vt:lpwstr/>
      </vt:variant>
      <vt:variant>
        <vt:i4>3473507</vt:i4>
      </vt:variant>
      <vt:variant>
        <vt:i4>315</vt:i4>
      </vt:variant>
      <vt:variant>
        <vt:i4>0</vt:i4>
      </vt:variant>
      <vt:variant>
        <vt:i4>5</vt:i4>
      </vt:variant>
      <vt:variant>
        <vt:lpwstr>https://www.cqc.org.uk/sites/default/files/20200922_Our_human_rights_approach_post_consultation_document_FINAL_WEB_accessible.pdf</vt:lpwstr>
      </vt:variant>
      <vt:variant>
        <vt:lpwstr/>
      </vt:variant>
      <vt:variant>
        <vt:i4>2293801</vt:i4>
      </vt:variant>
      <vt:variant>
        <vt:i4>312</vt:i4>
      </vt:variant>
      <vt:variant>
        <vt:i4>0</vt:i4>
      </vt:variant>
      <vt:variant>
        <vt:i4>5</vt:i4>
      </vt:variant>
      <vt:variant>
        <vt:lpwstr>https://www.hrlc.org.au/reports/2022/6/2/charters-of-human-rights-make-our-lives-better</vt:lpwstr>
      </vt:variant>
      <vt:variant>
        <vt:lpwstr/>
      </vt:variant>
      <vt:variant>
        <vt:i4>7733371</vt:i4>
      </vt:variant>
      <vt:variant>
        <vt:i4>309</vt:i4>
      </vt:variant>
      <vt:variant>
        <vt:i4>0</vt:i4>
      </vt:variant>
      <vt:variant>
        <vt:i4>5</vt:i4>
      </vt:variant>
      <vt:variant>
        <vt:lpwstr>https://justice.act.gov.au/sites/default/files/2019-08/report_HumanRightsAct_5YearReview_ANU_2009.pdf</vt:lpwstr>
      </vt:variant>
      <vt:variant>
        <vt:lpwstr/>
      </vt:variant>
      <vt:variant>
        <vt:i4>2293801</vt:i4>
      </vt:variant>
      <vt:variant>
        <vt:i4>306</vt:i4>
      </vt:variant>
      <vt:variant>
        <vt:i4>0</vt:i4>
      </vt:variant>
      <vt:variant>
        <vt:i4>5</vt:i4>
      </vt:variant>
      <vt:variant>
        <vt:lpwstr>https://www.hrlc.org.au/reports/2022/6/2/charters-of-human-rights-make-our-lives-better</vt:lpwstr>
      </vt:variant>
      <vt:variant>
        <vt:lpwstr/>
      </vt:variant>
      <vt:variant>
        <vt:i4>6422632</vt:i4>
      </vt:variant>
      <vt:variant>
        <vt:i4>303</vt:i4>
      </vt:variant>
      <vt:variant>
        <vt:i4>0</vt:i4>
      </vt:variant>
      <vt:variant>
        <vt:i4>5</vt:i4>
      </vt:variant>
      <vt:variant>
        <vt:lpwstr>https://www.aph.gov.au/Parliamentary_Business/Committees/Senate/Legal_and_Constitutional_Affairs/ConstitutionAlteration/Submissions</vt:lpwstr>
      </vt:variant>
      <vt:variant>
        <vt:lpwstr/>
      </vt:variant>
      <vt:variant>
        <vt:i4>1966090</vt:i4>
      </vt:variant>
      <vt:variant>
        <vt:i4>300</vt:i4>
      </vt:variant>
      <vt:variant>
        <vt:i4>0</vt:i4>
      </vt:variant>
      <vt:variant>
        <vt:i4>5</vt:i4>
      </vt:variant>
      <vt:variant>
        <vt:lpwstr>https://theconversation.com/using-military-language-and-presence-might-not-be-the-best-approach-to-covid-and-public-health-166019</vt:lpwstr>
      </vt:variant>
      <vt:variant>
        <vt:lpwstr/>
      </vt:variant>
      <vt:variant>
        <vt:i4>1441858</vt:i4>
      </vt:variant>
      <vt:variant>
        <vt:i4>297</vt:i4>
      </vt:variant>
      <vt:variant>
        <vt:i4>0</vt:i4>
      </vt:variant>
      <vt:variant>
        <vt:i4>5</vt:i4>
      </vt:variant>
      <vt:variant>
        <vt:lpwstr>https://www.theguardian.com/australia-news/2021/jul/08/western-sydney-residents-feel-they-are-being-scapegoated-as-police-pledge-covid-crackdown</vt:lpwstr>
      </vt:variant>
      <vt:variant>
        <vt:lpwstr/>
      </vt:variant>
      <vt:variant>
        <vt:i4>3407930</vt:i4>
      </vt:variant>
      <vt:variant>
        <vt:i4>294</vt:i4>
      </vt:variant>
      <vt:variant>
        <vt:i4>0</vt:i4>
      </vt:variant>
      <vt:variant>
        <vt:i4>5</vt:i4>
      </vt:variant>
      <vt:variant>
        <vt:lpwstr>https://www.theguardian.com/australia-news/2021/oct/27/western-sydney-disproportionately-fined-for-covid-lockdown-breaches</vt:lpwstr>
      </vt:variant>
      <vt:variant>
        <vt:lpwstr/>
      </vt:variant>
      <vt:variant>
        <vt:i4>7667770</vt:i4>
      </vt:variant>
      <vt:variant>
        <vt:i4>291</vt:i4>
      </vt:variant>
      <vt:variant>
        <vt:i4>0</vt:i4>
      </vt:variant>
      <vt:variant>
        <vt:i4>5</vt:i4>
      </vt:variant>
      <vt:variant>
        <vt:lpwstr>https://www.abc.net.au/news/2022-06-26/nsw-delta-lockdown-one-year-on/101183272</vt:lpwstr>
      </vt:variant>
      <vt:variant>
        <vt:lpwstr/>
      </vt:variant>
      <vt:variant>
        <vt:i4>3276836</vt:i4>
      </vt:variant>
      <vt:variant>
        <vt:i4>288</vt:i4>
      </vt:variant>
      <vt:variant>
        <vt:i4>0</vt:i4>
      </vt:variant>
      <vt:variant>
        <vt:i4>5</vt:i4>
      </vt:variant>
      <vt:variant>
        <vt:lpwstr>https://www.bocsar.nsw.gov.au/Publications/BB/2021-Report-COVID-breaches-BB157.pdf</vt:lpwstr>
      </vt:variant>
      <vt:variant>
        <vt:lpwstr/>
      </vt:variant>
      <vt:variant>
        <vt:i4>3276836</vt:i4>
      </vt:variant>
      <vt:variant>
        <vt:i4>285</vt:i4>
      </vt:variant>
      <vt:variant>
        <vt:i4>0</vt:i4>
      </vt:variant>
      <vt:variant>
        <vt:i4>5</vt:i4>
      </vt:variant>
      <vt:variant>
        <vt:lpwstr>https://www.bocsar.nsw.gov.au/Publications/BB/2021-Report-COVID-breaches-BB157.pdf</vt:lpwstr>
      </vt:variant>
      <vt:variant>
        <vt:lpwstr/>
      </vt:variant>
      <vt:variant>
        <vt:i4>3276836</vt:i4>
      </vt:variant>
      <vt:variant>
        <vt:i4>282</vt:i4>
      </vt:variant>
      <vt:variant>
        <vt:i4>0</vt:i4>
      </vt:variant>
      <vt:variant>
        <vt:i4>5</vt:i4>
      </vt:variant>
      <vt:variant>
        <vt:lpwstr>https://www.bocsar.nsw.gov.au/Publications/BB/2021-Report-COVID-breaches-BB157.pdf</vt:lpwstr>
      </vt:variant>
      <vt:variant>
        <vt:lpwstr/>
      </vt:variant>
      <vt:variant>
        <vt:i4>1966090</vt:i4>
      </vt:variant>
      <vt:variant>
        <vt:i4>279</vt:i4>
      </vt:variant>
      <vt:variant>
        <vt:i4>0</vt:i4>
      </vt:variant>
      <vt:variant>
        <vt:i4>5</vt:i4>
      </vt:variant>
      <vt:variant>
        <vt:lpwstr>https://theconversation.com/using-military-language-and-presence-might-not-be-the-best-approach-to-covid-and-public-health-166019</vt:lpwstr>
      </vt:variant>
      <vt:variant>
        <vt:lpwstr/>
      </vt:variant>
      <vt:variant>
        <vt:i4>7602298</vt:i4>
      </vt:variant>
      <vt:variant>
        <vt:i4>276</vt:i4>
      </vt:variant>
      <vt:variant>
        <vt:i4>0</vt:i4>
      </vt:variant>
      <vt:variant>
        <vt:i4>5</vt:i4>
      </vt:variant>
      <vt:variant>
        <vt:lpwstr>https://www.aihw.gov.au/getmedia/a69ee08a-857f-412b-b617-a29acb66a475/aihw-phe-287.pdf.aspx?inline=true</vt:lpwstr>
      </vt:variant>
      <vt:variant>
        <vt:lpwstr/>
      </vt:variant>
      <vt:variant>
        <vt:i4>7667770</vt:i4>
      </vt:variant>
      <vt:variant>
        <vt:i4>273</vt:i4>
      </vt:variant>
      <vt:variant>
        <vt:i4>0</vt:i4>
      </vt:variant>
      <vt:variant>
        <vt:i4>5</vt:i4>
      </vt:variant>
      <vt:variant>
        <vt:lpwstr>https://www.abc.net.au/news/2022-06-26/nsw-delta-lockdown-one-year-on/101183272</vt:lpwstr>
      </vt:variant>
      <vt:variant>
        <vt:lpwstr/>
      </vt:variant>
      <vt:variant>
        <vt:i4>1638425</vt:i4>
      </vt:variant>
      <vt:variant>
        <vt:i4>270</vt:i4>
      </vt:variant>
      <vt:variant>
        <vt:i4>0</vt:i4>
      </vt:variant>
      <vt:variant>
        <vt:i4>5</vt:i4>
      </vt:variant>
      <vt:variant>
        <vt:lpwstr>https://www.theguardian.com/australia-news/datablog/2021/oct/12/delta-deaths-expose-australias-great-disadvantage-divide</vt:lpwstr>
      </vt:variant>
      <vt:variant>
        <vt:lpwstr/>
      </vt:variant>
      <vt:variant>
        <vt:i4>4259847</vt:i4>
      </vt:variant>
      <vt:variant>
        <vt:i4>267</vt:i4>
      </vt:variant>
      <vt:variant>
        <vt:i4>0</vt:i4>
      </vt:variant>
      <vt:variant>
        <vt:i4>5</vt:i4>
      </vt:variant>
      <vt:variant>
        <vt:lpwstr>https://www.theguardian.com/news/datablog/2021/aug/04/most-disadvantaged-areas-of-sydney-suffer-twice-as-many-covid-cases-as-rest-of-city</vt:lpwstr>
      </vt:variant>
      <vt:variant>
        <vt:lpwstr/>
      </vt:variant>
      <vt:variant>
        <vt:i4>3276836</vt:i4>
      </vt:variant>
      <vt:variant>
        <vt:i4>264</vt:i4>
      </vt:variant>
      <vt:variant>
        <vt:i4>0</vt:i4>
      </vt:variant>
      <vt:variant>
        <vt:i4>5</vt:i4>
      </vt:variant>
      <vt:variant>
        <vt:lpwstr>https://www.bocsar.nsw.gov.au/Publications/BB/2021-Report-COVID-breaches-BB157.pdf</vt:lpwstr>
      </vt:variant>
      <vt:variant>
        <vt:lpwstr/>
      </vt:variant>
      <vt:variant>
        <vt:i4>1835103</vt:i4>
      </vt:variant>
      <vt:variant>
        <vt:i4>261</vt:i4>
      </vt:variant>
      <vt:variant>
        <vt:i4>0</vt:i4>
      </vt:variant>
      <vt:variant>
        <vt:i4>5</vt:i4>
      </vt:variant>
      <vt:variant>
        <vt:lpwstr>https://www.oecd-ilibrary.org/sites/7622b33f-en/index.html?itemId=/content/component/7622b33f-en</vt:lpwstr>
      </vt:variant>
      <vt:variant>
        <vt:lpwstr/>
      </vt:variant>
      <vt:variant>
        <vt:i4>2293875</vt:i4>
      </vt:variant>
      <vt:variant>
        <vt:i4>258</vt:i4>
      </vt:variant>
      <vt:variant>
        <vt:i4>0</vt:i4>
      </vt:variant>
      <vt:variant>
        <vt:i4>5</vt:i4>
      </vt:variant>
      <vt:variant>
        <vt:lpwstr>https://www.un.org/development/desa/dspd/2021/07/trust-public-institutions/</vt:lpwstr>
      </vt:variant>
      <vt:variant>
        <vt:lpwstr/>
      </vt:variant>
      <vt:variant>
        <vt:i4>7667812</vt:i4>
      </vt:variant>
      <vt:variant>
        <vt:i4>255</vt:i4>
      </vt:variant>
      <vt:variant>
        <vt:i4>0</vt:i4>
      </vt:variant>
      <vt:variant>
        <vt:i4>5</vt:i4>
      </vt:variant>
      <vt:variant>
        <vt:lpwstr>https://www.anu.edu.au/news/all-news/trust-in-government-hits-all-time-low</vt:lpwstr>
      </vt:variant>
      <vt:variant>
        <vt:lpwstr/>
      </vt:variant>
      <vt:variant>
        <vt:i4>2293875</vt:i4>
      </vt:variant>
      <vt:variant>
        <vt:i4>252</vt:i4>
      </vt:variant>
      <vt:variant>
        <vt:i4>0</vt:i4>
      </vt:variant>
      <vt:variant>
        <vt:i4>5</vt:i4>
      </vt:variant>
      <vt:variant>
        <vt:lpwstr>https://www.un.org/development/desa/dspd/2021/07/trust-public-institutions/</vt:lpwstr>
      </vt:variant>
      <vt:variant>
        <vt:lpwstr/>
      </vt:variant>
      <vt:variant>
        <vt:i4>6422577</vt:i4>
      </vt:variant>
      <vt:variant>
        <vt:i4>249</vt:i4>
      </vt:variant>
      <vt:variant>
        <vt:i4>0</vt:i4>
      </vt:variant>
      <vt:variant>
        <vt:i4>5</vt:i4>
      </vt:variant>
      <vt:variant>
        <vt:lpwstr>https://www.abc.net.au/triplej/programs/hack/2030-people-have-died-after-receiving-centrelink-robodebt-notice/10821272</vt:lpwstr>
      </vt:variant>
      <vt:variant>
        <vt:lpwstr/>
      </vt:variant>
      <vt:variant>
        <vt:i4>3997811</vt:i4>
      </vt:variant>
      <vt:variant>
        <vt:i4>246</vt:i4>
      </vt:variant>
      <vt:variant>
        <vt:i4>0</vt:i4>
      </vt:variant>
      <vt:variant>
        <vt:i4>5</vt:i4>
      </vt:variant>
      <vt:variant>
        <vt:lpwstr>https://www.theguardian.com/australia-news/2021/jun/11/robodebt-court-approves-18bn-settlement-for-victims-of-governments-shameful-failure</vt:lpwstr>
      </vt:variant>
      <vt:variant>
        <vt:lpwstr/>
      </vt:variant>
      <vt:variant>
        <vt:i4>5898279</vt:i4>
      </vt:variant>
      <vt:variant>
        <vt:i4>243</vt:i4>
      </vt:variant>
      <vt:variant>
        <vt:i4>0</vt:i4>
      </vt:variant>
      <vt:variant>
        <vt:i4>5</vt:i4>
      </vt:variant>
      <vt:variant>
        <vt:lpwstr>https://www.ohchr.org/sites/default/files/Documents/Issues/PublicAffairs/GuidelinesRightParticipatePublicAffairs_web.pdf</vt:lpwstr>
      </vt:variant>
      <vt:variant>
        <vt:lpwstr/>
      </vt:variant>
      <vt:variant>
        <vt:i4>7864442</vt:i4>
      </vt:variant>
      <vt:variant>
        <vt:i4>240</vt:i4>
      </vt:variant>
      <vt:variant>
        <vt:i4>0</vt:i4>
      </vt:variant>
      <vt:variant>
        <vt:i4>5</vt:i4>
      </vt:variant>
      <vt:variant>
        <vt:lpwstr>https://www.actlawsociety.asn.au/article/national-interest-and-the-rule-of-law</vt:lpwstr>
      </vt:variant>
      <vt:variant>
        <vt:lpwstr>fn38</vt:lpwstr>
      </vt:variant>
      <vt:variant>
        <vt:i4>2687009</vt:i4>
      </vt:variant>
      <vt:variant>
        <vt:i4>237</vt:i4>
      </vt:variant>
      <vt:variant>
        <vt:i4>0</vt:i4>
      </vt:variant>
      <vt:variant>
        <vt:i4>5</vt:i4>
      </vt:variant>
      <vt:variant>
        <vt:lpwstr>https://cdn.hcourt.gov.au/assets/publications/speeches/current-justices/frenchcj/frenchcj29Apr2016.pdf</vt:lpwstr>
      </vt:variant>
      <vt:variant>
        <vt:lpwstr/>
      </vt:variant>
      <vt:variant>
        <vt:i4>4718656</vt:i4>
      </vt:variant>
      <vt:variant>
        <vt:i4>234</vt:i4>
      </vt:variant>
      <vt:variant>
        <vt:i4>0</vt:i4>
      </vt:variant>
      <vt:variant>
        <vt:i4>5</vt:i4>
      </vt:variant>
      <vt:variant>
        <vt:lpwstr>https://www.auspublaw.org/blog/2019/08/a-powerful-chill-comcare-v-banerji-2019-hca-23</vt:lpwstr>
      </vt:variant>
      <vt:variant>
        <vt:lpwstr/>
      </vt:variant>
      <vt:variant>
        <vt:i4>2162743</vt:i4>
      </vt:variant>
      <vt:variant>
        <vt:i4>231</vt:i4>
      </vt:variant>
      <vt:variant>
        <vt:i4>0</vt:i4>
      </vt:variant>
      <vt:variant>
        <vt:i4>5</vt:i4>
      </vt:variant>
      <vt:variant>
        <vt:lpwstr>https://civicus.contentfiles.net/media/assets/file/GlobalReport2019.pdf</vt:lpwstr>
      </vt:variant>
      <vt:variant>
        <vt:lpwstr/>
      </vt:variant>
      <vt:variant>
        <vt:i4>720976</vt:i4>
      </vt:variant>
      <vt:variant>
        <vt:i4>228</vt:i4>
      </vt:variant>
      <vt:variant>
        <vt:i4>0</vt:i4>
      </vt:variant>
      <vt:variant>
        <vt:i4>5</vt:i4>
      </vt:variant>
      <vt:variant>
        <vt:lpwstr>https://www.hrw.org/world-report/2020/country-chapters/australia</vt:lpwstr>
      </vt:variant>
      <vt:variant>
        <vt:lpwstr/>
      </vt:variant>
      <vt:variant>
        <vt:i4>6225940</vt:i4>
      </vt:variant>
      <vt:variant>
        <vt:i4>225</vt:i4>
      </vt:variant>
      <vt:variant>
        <vt:i4>0</vt:i4>
      </vt:variant>
      <vt:variant>
        <vt:i4>5</vt:i4>
      </vt:variant>
      <vt:variant>
        <vt:lpwstr>https://theconversation.com/why-the-raids-on-australian-media-present-a-clear-threat-to-democracy-118334</vt:lpwstr>
      </vt:variant>
      <vt:variant>
        <vt:lpwstr/>
      </vt:variant>
      <vt:variant>
        <vt:i4>6422635</vt:i4>
      </vt:variant>
      <vt:variant>
        <vt:i4>222</vt:i4>
      </vt:variant>
      <vt:variant>
        <vt:i4>0</vt:i4>
      </vt:variant>
      <vt:variant>
        <vt:i4>5</vt:i4>
      </vt:variant>
      <vt:variant>
        <vt:lpwstr>https://www.auspublaw.org/blog/2020/05/an-executive-grab-for-power-during-covid-19</vt:lpwstr>
      </vt:variant>
      <vt:variant>
        <vt:lpwstr/>
      </vt:variant>
      <vt:variant>
        <vt:i4>7143466</vt:i4>
      </vt:variant>
      <vt:variant>
        <vt:i4>219</vt:i4>
      </vt:variant>
      <vt:variant>
        <vt:i4>0</vt:i4>
      </vt:variant>
      <vt:variant>
        <vt:i4>5</vt:i4>
      </vt:variant>
      <vt:variant>
        <vt:lpwstr>https://theconversation.com/have-our-governments-become-too-powerful-during-covid-19-147028</vt:lpwstr>
      </vt:variant>
      <vt:variant>
        <vt:lpwstr/>
      </vt:variant>
      <vt:variant>
        <vt:i4>720919</vt:i4>
      </vt:variant>
      <vt:variant>
        <vt:i4>216</vt:i4>
      </vt:variant>
      <vt:variant>
        <vt:i4>0</vt:i4>
      </vt:variant>
      <vt:variant>
        <vt:i4>5</vt:i4>
      </vt:variant>
      <vt:variant>
        <vt:lpwstr>https://ipa.org.au/wp-content/uploads/2020/10/Bypassing-Democracy-A-report-on-the-exemption-of-delegated-legislation-from-parliamentary-oversight.pdf</vt:lpwstr>
      </vt:variant>
      <vt:variant>
        <vt:lpwstr/>
      </vt:variant>
      <vt:variant>
        <vt:i4>5505107</vt:i4>
      </vt:variant>
      <vt:variant>
        <vt:i4>213</vt:i4>
      </vt:variant>
      <vt:variant>
        <vt:i4>0</vt:i4>
      </vt:variant>
      <vt:variant>
        <vt:i4>5</vt:i4>
      </vt:variant>
      <vt:variant>
        <vt:lpwstr>https://publicintegrity.org.au/wp-content/uploads/2020/09/Briefing-paper-executive-lawmaking-doubles.pdf</vt:lpwstr>
      </vt:variant>
      <vt:variant>
        <vt:lpwstr/>
      </vt:variant>
      <vt:variant>
        <vt:i4>7143466</vt:i4>
      </vt:variant>
      <vt:variant>
        <vt:i4>210</vt:i4>
      </vt:variant>
      <vt:variant>
        <vt:i4>0</vt:i4>
      </vt:variant>
      <vt:variant>
        <vt:i4>5</vt:i4>
      </vt:variant>
      <vt:variant>
        <vt:lpwstr>https://theconversation.com/have-our-governments-become-too-powerful-during-covid-19-147028</vt:lpwstr>
      </vt:variant>
      <vt:variant>
        <vt:lpwstr/>
      </vt:variant>
      <vt:variant>
        <vt:i4>5505107</vt:i4>
      </vt:variant>
      <vt:variant>
        <vt:i4>207</vt:i4>
      </vt:variant>
      <vt:variant>
        <vt:i4>0</vt:i4>
      </vt:variant>
      <vt:variant>
        <vt:i4>5</vt:i4>
      </vt:variant>
      <vt:variant>
        <vt:lpwstr>https://publicintegrity.org.au/wp-content/uploads/2020/09/Briefing-paper-executive-lawmaking-doubles.pdf</vt:lpwstr>
      </vt:variant>
      <vt:variant>
        <vt:lpwstr/>
      </vt:variant>
      <vt:variant>
        <vt:i4>917576</vt:i4>
      </vt:variant>
      <vt:variant>
        <vt:i4>204</vt:i4>
      </vt:variant>
      <vt:variant>
        <vt:i4>0</vt:i4>
      </vt:variant>
      <vt:variant>
        <vt:i4>5</vt:i4>
      </vt:variant>
      <vt:variant>
        <vt:lpwstr>https://www.lawcouncil.asn.au/policy-agenda/international-law/rule-of-law</vt:lpwstr>
      </vt:variant>
      <vt:variant>
        <vt:lpwstr/>
      </vt:variant>
      <vt:variant>
        <vt:i4>5177421</vt:i4>
      </vt:variant>
      <vt:variant>
        <vt:i4>201</vt:i4>
      </vt:variant>
      <vt:variant>
        <vt:i4>0</vt:i4>
      </vt:variant>
      <vt:variant>
        <vt:i4>5</vt:i4>
      </vt:variant>
      <vt:variant>
        <vt:lpwstr>https://humanrights.gov.au/our-work/legal/submission-national-human-rights-consultation-2009</vt:lpwstr>
      </vt:variant>
      <vt:variant>
        <vt:lpwstr/>
      </vt:variant>
      <vt:variant>
        <vt:i4>2293801</vt:i4>
      </vt:variant>
      <vt:variant>
        <vt:i4>198</vt:i4>
      </vt:variant>
      <vt:variant>
        <vt:i4>0</vt:i4>
      </vt:variant>
      <vt:variant>
        <vt:i4>5</vt:i4>
      </vt:variant>
      <vt:variant>
        <vt:lpwstr>https://www.hrlc.org.au/reports/2022/6/2/charters-of-human-rights-make-our-lives-better</vt:lpwstr>
      </vt:variant>
      <vt:variant>
        <vt:lpwstr/>
      </vt:variant>
      <vt:variant>
        <vt:i4>2293801</vt:i4>
      </vt:variant>
      <vt:variant>
        <vt:i4>195</vt:i4>
      </vt:variant>
      <vt:variant>
        <vt:i4>0</vt:i4>
      </vt:variant>
      <vt:variant>
        <vt:i4>5</vt:i4>
      </vt:variant>
      <vt:variant>
        <vt:lpwstr>https://www.hrlc.org.au/reports/2022/6/2/charters-of-human-rights-make-our-lives-better</vt:lpwstr>
      </vt:variant>
      <vt:variant>
        <vt:lpwstr/>
      </vt:variant>
      <vt:variant>
        <vt:i4>7667763</vt:i4>
      </vt:variant>
      <vt:variant>
        <vt:i4>192</vt:i4>
      </vt:variant>
      <vt:variant>
        <vt:i4>0</vt:i4>
      </vt:variant>
      <vt:variant>
        <vt:i4>5</vt:i4>
      </vt:variant>
      <vt:variant>
        <vt:lpwstr>https://humanrights.gov.au/sites/default/files/2022-02/ahrc_ar_2020-2021_complaint_stats.pdf</vt:lpwstr>
      </vt:variant>
      <vt:variant>
        <vt:lpwstr/>
      </vt:variant>
      <vt:variant>
        <vt:i4>1966170</vt:i4>
      </vt:variant>
      <vt:variant>
        <vt:i4>189</vt:i4>
      </vt:variant>
      <vt:variant>
        <vt:i4>0</vt:i4>
      </vt:variant>
      <vt:variant>
        <vt:i4>5</vt:i4>
      </vt:variant>
      <vt:variant>
        <vt:lpwstr>https://www.amnesty.org.au/australias-human-rights-barometer-overwhelming-support-for-a-human-rights-act/</vt:lpwstr>
      </vt:variant>
      <vt:variant>
        <vt:lpwstr/>
      </vt:variant>
      <vt:variant>
        <vt:i4>3932214</vt:i4>
      </vt:variant>
      <vt:variant>
        <vt:i4>186</vt:i4>
      </vt:variant>
      <vt:variant>
        <vt:i4>0</vt:i4>
      </vt:variant>
      <vt:variant>
        <vt:i4>5</vt:i4>
      </vt:variant>
      <vt:variant>
        <vt:lpwstr>https://www.hrlc.org.au/news/2021/9/7/covid-19-sees-huge-increase-in-support-for-a-charter-of-human-rights-poll</vt:lpwstr>
      </vt:variant>
      <vt:variant>
        <vt:lpwstr/>
      </vt:variant>
      <vt:variant>
        <vt:i4>6226012</vt:i4>
      </vt:variant>
      <vt:variant>
        <vt:i4>183</vt:i4>
      </vt:variant>
      <vt:variant>
        <vt:i4>0</vt:i4>
      </vt:variant>
      <vt:variant>
        <vt:i4>5</vt:i4>
      </vt:variant>
      <vt:variant>
        <vt:lpwstr>https://humanrights.gov.au/our-work/publications/australia-and-universal-declaration-human-rights</vt:lpwstr>
      </vt:variant>
      <vt:variant>
        <vt:lpwstr/>
      </vt:variant>
      <vt:variant>
        <vt:i4>7929982</vt:i4>
      </vt:variant>
      <vt:variant>
        <vt:i4>180</vt:i4>
      </vt:variant>
      <vt:variant>
        <vt:i4>0</vt:i4>
      </vt:variant>
      <vt:variant>
        <vt:i4>5</vt:i4>
      </vt:variant>
      <vt:variant>
        <vt:lpwstr>https://www.theguardian.com/australia-news/2022/nov/22/electric-monitoring-in-community-could-reduce-immigration-detention-document-states</vt:lpwstr>
      </vt:variant>
      <vt:variant>
        <vt:lpwstr/>
      </vt:variant>
      <vt:variant>
        <vt:i4>2293801</vt:i4>
      </vt:variant>
      <vt:variant>
        <vt:i4>171</vt:i4>
      </vt:variant>
      <vt:variant>
        <vt:i4>0</vt:i4>
      </vt:variant>
      <vt:variant>
        <vt:i4>5</vt:i4>
      </vt:variant>
      <vt:variant>
        <vt:lpwstr>https://www.hrlc.org.au/reports/2022/6/2/charters-of-human-rights-make-our-lives-better</vt:lpwstr>
      </vt:variant>
      <vt:variant>
        <vt:lpwstr/>
      </vt:variant>
      <vt:variant>
        <vt:i4>2097163</vt:i4>
      </vt:variant>
      <vt:variant>
        <vt:i4>168</vt:i4>
      </vt:variant>
      <vt:variant>
        <vt:i4>0</vt:i4>
      </vt:variant>
      <vt:variant>
        <vt:i4>5</vt:i4>
      </vt:variant>
      <vt:variant>
        <vt:lpwstr>https://www.aph.gov.au/about_parliament/parliamentary_departments/parliamentary_library/pubs/briefingbook43p/humanrightsprotection</vt:lpwstr>
      </vt:variant>
      <vt:variant>
        <vt:lpwstr/>
      </vt:variant>
      <vt:variant>
        <vt:i4>6225944</vt:i4>
      </vt:variant>
      <vt:variant>
        <vt:i4>165</vt:i4>
      </vt:variant>
      <vt:variant>
        <vt:i4>0</vt:i4>
      </vt:variant>
      <vt:variant>
        <vt:i4>5</vt:i4>
      </vt:variant>
      <vt:variant>
        <vt:lpwstr>https://humanrights.gov.au/our-work/legal/submission/review-mandatory-data-retention-regime-2019</vt:lpwstr>
      </vt:variant>
      <vt:variant>
        <vt:lpwstr/>
      </vt:variant>
      <vt:variant>
        <vt:i4>7274549</vt:i4>
      </vt:variant>
      <vt:variant>
        <vt:i4>162</vt:i4>
      </vt:variant>
      <vt:variant>
        <vt:i4>0</vt:i4>
      </vt:variant>
      <vt:variant>
        <vt:i4>5</vt:i4>
      </vt:variant>
      <vt:variant>
        <vt:lpwstr>https://www.smh.com.au/politics/federal/senate-passes-controversial-metadata-laws-20150326-1m8q3v.html</vt:lpwstr>
      </vt:variant>
      <vt:variant>
        <vt:lpwstr/>
      </vt:variant>
      <vt:variant>
        <vt:i4>3473440</vt:i4>
      </vt:variant>
      <vt:variant>
        <vt:i4>159</vt:i4>
      </vt:variant>
      <vt:variant>
        <vt:i4>0</vt:i4>
      </vt:variant>
      <vt:variant>
        <vt:i4>5</vt:i4>
      </vt:variant>
      <vt:variant>
        <vt:lpwstr>https://www.aph.gov.au/About_Parliament/Senate/Powers_practice_n_procedures/pops/pop49/billofrightsdebate</vt:lpwstr>
      </vt:variant>
      <vt:variant>
        <vt:lpwstr/>
      </vt:variant>
      <vt:variant>
        <vt:i4>7929890</vt:i4>
      </vt:variant>
      <vt:variant>
        <vt:i4>156</vt:i4>
      </vt:variant>
      <vt:variant>
        <vt:i4>0</vt:i4>
      </vt:variant>
      <vt:variant>
        <vt:i4>5</vt:i4>
      </vt:variant>
      <vt:variant>
        <vt:lpwstr>https://www.lawcouncil.asn.au/media/media-releases/rushed-encryption-laws-create-risk-of-unintended-consequences-and-overreach-</vt:lpwstr>
      </vt:variant>
      <vt:variant>
        <vt:lpwstr/>
      </vt:variant>
      <vt:variant>
        <vt:i4>6029322</vt:i4>
      </vt:variant>
      <vt:variant>
        <vt:i4>153</vt:i4>
      </vt:variant>
      <vt:variant>
        <vt:i4>0</vt:i4>
      </vt:variant>
      <vt:variant>
        <vt:i4>5</vt:i4>
      </vt:variant>
      <vt:variant>
        <vt:lpwstr>https://www.hrlc.org.au/human-rights-case-summaries/random-stops-and-license-checks-by-police-lawful-coercive-questioning-not</vt:lpwstr>
      </vt:variant>
      <vt:variant>
        <vt:lpwstr/>
      </vt:variant>
      <vt:variant>
        <vt:i4>6160389</vt:i4>
      </vt:variant>
      <vt:variant>
        <vt:i4>150</vt:i4>
      </vt:variant>
      <vt:variant>
        <vt:i4>0</vt:i4>
      </vt:variant>
      <vt:variant>
        <vt:i4>5</vt:i4>
      </vt:variant>
      <vt:variant>
        <vt:lpwstr>http://acthra.anu.edu.au/resources/DoesAustraliaNeedABillofrights.pdf</vt:lpwstr>
      </vt:variant>
      <vt:variant>
        <vt:lpwstr/>
      </vt:variant>
      <vt:variant>
        <vt:i4>8126517</vt:i4>
      </vt:variant>
      <vt:variant>
        <vt:i4>147</vt:i4>
      </vt:variant>
      <vt:variant>
        <vt:i4>0</vt:i4>
      </vt:variant>
      <vt:variant>
        <vt:i4>5</vt:i4>
      </vt:variant>
      <vt:variant>
        <vt:lpwstr>https://www.supremecourt.uk/docs/speech-140808.pdf</vt:lpwstr>
      </vt:variant>
      <vt:variant>
        <vt:lpwstr/>
      </vt:variant>
      <vt:variant>
        <vt:i4>6357103</vt:i4>
      </vt:variant>
      <vt:variant>
        <vt:i4>144</vt:i4>
      </vt:variant>
      <vt:variant>
        <vt:i4>0</vt:i4>
      </vt:variant>
      <vt:variant>
        <vt:i4>5</vt:i4>
      </vt:variant>
      <vt:variant>
        <vt:lpwstr>http://www.smh.com.au/news/opinion/no-opposition-no-debate-no-contest/2007/08/10/1186530620958.html</vt:lpwstr>
      </vt:variant>
      <vt:variant>
        <vt:lpwstr/>
      </vt:variant>
      <vt:variant>
        <vt:i4>6553636</vt:i4>
      </vt:variant>
      <vt:variant>
        <vt:i4>138</vt:i4>
      </vt:variant>
      <vt:variant>
        <vt:i4>0</vt:i4>
      </vt:variant>
      <vt:variant>
        <vt:i4>5</vt:i4>
      </vt:variant>
      <vt:variant>
        <vt:lpwstr>https://humanrights.gov.au/our-work/legal/publications/ka-kb-kc-and-kd-v-commonwealth-australia</vt:lpwstr>
      </vt:variant>
      <vt:variant>
        <vt:lpwstr/>
      </vt:variant>
      <vt:variant>
        <vt:i4>6160413</vt:i4>
      </vt:variant>
      <vt:variant>
        <vt:i4>135</vt:i4>
      </vt:variant>
      <vt:variant>
        <vt:i4>0</vt:i4>
      </vt:variant>
      <vt:variant>
        <vt:i4>5</vt:i4>
      </vt:variant>
      <vt:variant>
        <vt:lpwstr>https://www.ohchr.org/EN/HRBodies/UPR/Pages/AUIndex.aspx</vt:lpwstr>
      </vt:variant>
      <vt:variant>
        <vt:lpwstr/>
      </vt:variant>
      <vt:variant>
        <vt:i4>2687027</vt:i4>
      </vt:variant>
      <vt:variant>
        <vt:i4>132</vt:i4>
      </vt:variant>
      <vt:variant>
        <vt:i4>0</vt:i4>
      </vt:variant>
      <vt:variant>
        <vt:i4>5</vt:i4>
      </vt:variant>
      <vt:variant>
        <vt:lpwstr>https://undocs.org/A/HRC/31/14</vt:lpwstr>
      </vt:variant>
      <vt:variant>
        <vt:lpwstr/>
      </vt:variant>
      <vt:variant>
        <vt:i4>2818095</vt:i4>
      </vt:variant>
      <vt:variant>
        <vt:i4>129</vt:i4>
      </vt:variant>
      <vt:variant>
        <vt:i4>0</vt:i4>
      </vt:variant>
      <vt:variant>
        <vt:i4>5</vt:i4>
      </vt:variant>
      <vt:variant>
        <vt:lpwstr>https://www.humanrights.gov.au/our-work/legal/submission/information-concerningaustralias-compliance-convention-rights-persons</vt:lpwstr>
      </vt:variant>
      <vt:variant>
        <vt:lpwstr/>
      </vt:variant>
      <vt:variant>
        <vt:i4>6291501</vt:i4>
      </vt:variant>
      <vt:variant>
        <vt:i4>126</vt:i4>
      </vt:variant>
      <vt:variant>
        <vt:i4>0</vt:i4>
      </vt:variant>
      <vt:variant>
        <vt:i4>5</vt:i4>
      </vt:variant>
      <vt:variant>
        <vt:lpwstr>https://www.dss.gov.au/our-responsibilities/disability-and-carers/publications-articles/policy-research/national-frameworkfor-reducing-and-eliminating-the-use-of-restrictive-practicesin-the-disability-service-sector</vt:lpwstr>
      </vt:variant>
      <vt:variant>
        <vt:lpwstr/>
      </vt:variant>
      <vt:variant>
        <vt:i4>3014764</vt:i4>
      </vt:variant>
      <vt:variant>
        <vt:i4>123</vt:i4>
      </vt:variant>
      <vt:variant>
        <vt:i4>0</vt:i4>
      </vt:variant>
      <vt:variant>
        <vt:i4>5</vt:i4>
      </vt:variant>
      <vt:variant>
        <vt:lpwstr>https://disability.royalcommission.gov.au/</vt:lpwstr>
      </vt:variant>
      <vt:variant>
        <vt:lpwstr/>
      </vt:variant>
      <vt:variant>
        <vt:i4>2424886</vt:i4>
      </vt:variant>
      <vt:variant>
        <vt:i4>120</vt:i4>
      </vt:variant>
      <vt:variant>
        <vt:i4>0</vt:i4>
      </vt:variant>
      <vt:variant>
        <vt:i4>5</vt:i4>
      </vt:variant>
      <vt:variant>
        <vt:lpwstr>https://www.unhcr.org/58362da34.pdf</vt:lpwstr>
      </vt:variant>
      <vt:variant>
        <vt:lpwstr/>
      </vt:variant>
      <vt:variant>
        <vt:i4>5767253</vt:i4>
      </vt:variant>
      <vt:variant>
        <vt:i4>117</vt:i4>
      </vt:variant>
      <vt:variant>
        <vt:i4>0</vt:i4>
      </vt:variant>
      <vt:variant>
        <vt:i4>5</vt:i4>
      </vt:variant>
      <vt:variant>
        <vt:lpwstr>https://www.theguardian.com/australia-news/2016/aug/10/the-nauru-files-2000-leaked-reports-reveal-scale-of-abuse-of-children-in-australian-offshore-detention</vt:lpwstr>
      </vt:variant>
      <vt:variant>
        <vt:lpwstr/>
      </vt:variant>
      <vt:variant>
        <vt:i4>7143494</vt:i4>
      </vt:variant>
      <vt:variant>
        <vt:i4>114</vt:i4>
      </vt:variant>
      <vt:variant>
        <vt:i4>0</vt:i4>
      </vt:variant>
      <vt:variant>
        <vt:i4>5</vt:i4>
      </vt:variant>
      <vt:variant>
        <vt:lpwstr>https://humanrights.gov.au/our-work/asylum-seekers-and-refugees/publications/ms-bk-ms-co-and-mr-de-behalf-themselves-and-their?_ga=2.191267042.974473464.1666655250-2069240963.1589340177</vt:lpwstr>
      </vt:variant>
      <vt:variant>
        <vt:lpwstr/>
      </vt:variant>
      <vt:variant>
        <vt:i4>7536764</vt:i4>
      </vt:variant>
      <vt:variant>
        <vt:i4>111</vt:i4>
      </vt:variant>
      <vt:variant>
        <vt:i4>0</vt:i4>
      </vt:variant>
      <vt:variant>
        <vt:i4>5</vt:i4>
      </vt:variant>
      <vt:variant>
        <vt:lpwstr>https://changetherecord.org.au/review-of-the-implementation-of-rciadic-may-2015</vt:lpwstr>
      </vt:variant>
      <vt:variant>
        <vt:lpwstr/>
      </vt:variant>
      <vt:variant>
        <vt:i4>3866657</vt:i4>
      </vt:variant>
      <vt:variant>
        <vt:i4>108</vt:i4>
      </vt:variant>
      <vt:variant>
        <vt:i4>0</vt:i4>
      </vt:variant>
      <vt:variant>
        <vt:i4>5</vt:i4>
      </vt:variant>
      <vt:variant>
        <vt:lpwstr>https://www.aic.gov.au/publications/sr/sr37</vt:lpwstr>
      </vt:variant>
      <vt:variant>
        <vt:lpwstr/>
      </vt:variant>
      <vt:variant>
        <vt:i4>4456477</vt:i4>
      </vt:variant>
      <vt:variant>
        <vt:i4>105</vt:i4>
      </vt:variant>
      <vt:variant>
        <vt:i4>0</vt:i4>
      </vt:variant>
      <vt:variant>
        <vt:i4>5</vt:i4>
      </vt:variant>
      <vt:variant>
        <vt:lpwstr>https://www.abs.gov.au/statistics/people/crime-and-justice/prisoners-australia/latest-release</vt:lpwstr>
      </vt:variant>
      <vt:variant>
        <vt:lpwstr/>
      </vt:variant>
      <vt:variant>
        <vt:i4>7077935</vt:i4>
      </vt:variant>
      <vt:variant>
        <vt:i4>102</vt:i4>
      </vt:variant>
      <vt:variant>
        <vt:i4>0</vt:i4>
      </vt:variant>
      <vt:variant>
        <vt:i4>5</vt:i4>
      </vt:variant>
      <vt:variant>
        <vt:lpwstr>https://ctgreport.niaa.gov.au/</vt:lpwstr>
      </vt:variant>
      <vt:variant>
        <vt:lpwstr/>
      </vt:variant>
      <vt:variant>
        <vt:i4>6684708</vt:i4>
      </vt:variant>
      <vt:variant>
        <vt:i4>99</vt:i4>
      </vt:variant>
      <vt:variant>
        <vt:i4>0</vt:i4>
      </vt:variant>
      <vt:variant>
        <vt:i4>5</vt:i4>
      </vt:variant>
      <vt:variant>
        <vt:lpwstr>https://www.ag.gov.au/rights-and-protections/consultations/religious-freedom-bills-first-exposuredrafts</vt:lpwstr>
      </vt:variant>
      <vt:variant>
        <vt:lpwstr/>
      </vt:variant>
      <vt:variant>
        <vt:i4>5242891</vt:i4>
      </vt:variant>
      <vt:variant>
        <vt:i4>96</vt:i4>
      </vt:variant>
      <vt:variant>
        <vt:i4>0</vt:i4>
      </vt:variant>
      <vt:variant>
        <vt:i4>5</vt:i4>
      </vt:variant>
      <vt:variant>
        <vt:lpwstr>https://www.ag.gov.au/rights-and-protections/consultations/religious-freedom-bills-second-exposuredrafts</vt:lpwstr>
      </vt:variant>
      <vt:variant>
        <vt:lpwstr/>
      </vt:variant>
      <vt:variant>
        <vt:i4>6422632</vt:i4>
      </vt:variant>
      <vt:variant>
        <vt:i4>93</vt:i4>
      </vt:variant>
      <vt:variant>
        <vt:i4>0</vt:i4>
      </vt:variant>
      <vt:variant>
        <vt:i4>5</vt:i4>
      </vt:variant>
      <vt:variant>
        <vt:lpwstr>https://www.aph.gov.au/Parliamentary_Business/Committees/Senate/Legal_and_Constitutional_Affairs/ConstitutionAlteration/Submissions</vt:lpwstr>
      </vt:variant>
      <vt:variant>
        <vt:lpwstr/>
      </vt:variant>
      <vt:variant>
        <vt:i4>4718604</vt:i4>
      </vt:variant>
      <vt:variant>
        <vt:i4>90</vt:i4>
      </vt:variant>
      <vt:variant>
        <vt:i4>0</vt:i4>
      </vt:variant>
      <vt:variant>
        <vt:i4>5</vt:i4>
      </vt:variant>
      <vt:variant>
        <vt:lpwstr>https://humanrights.gov.au/our-work/rights-and-freedoms/publications/free-and-equal-reform-agenda-federal-discrimination-laws</vt:lpwstr>
      </vt:variant>
      <vt:variant>
        <vt:lpwstr/>
      </vt:variant>
      <vt:variant>
        <vt:i4>4718604</vt:i4>
      </vt:variant>
      <vt:variant>
        <vt:i4>87</vt:i4>
      </vt:variant>
      <vt:variant>
        <vt:i4>0</vt:i4>
      </vt:variant>
      <vt:variant>
        <vt:i4>5</vt:i4>
      </vt:variant>
      <vt:variant>
        <vt:lpwstr>https://humanrights.gov.au/our-work/rights-and-freedoms/publications/free-and-equal-reform-agenda-federal-discrimination-laws</vt:lpwstr>
      </vt:variant>
      <vt:variant>
        <vt:lpwstr/>
      </vt:variant>
      <vt:variant>
        <vt:i4>7798908</vt:i4>
      </vt:variant>
      <vt:variant>
        <vt:i4>84</vt:i4>
      </vt:variant>
      <vt:variant>
        <vt:i4>0</vt:i4>
      </vt:variant>
      <vt:variant>
        <vt:i4>5</vt:i4>
      </vt:variant>
      <vt:variant>
        <vt:lpwstr>https://www.ohchr.org/en/what-are-human-rights/international-bill-human-rights</vt:lpwstr>
      </vt:variant>
      <vt:variant>
        <vt:lpwstr/>
      </vt:variant>
      <vt:variant>
        <vt:i4>6226012</vt:i4>
      </vt:variant>
      <vt:variant>
        <vt:i4>81</vt:i4>
      </vt:variant>
      <vt:variant>
        <vt:i4>0</vt:i4>
      </vt:variant>
      <vt:variant>
        <vt:i4>5</vt:i4>
      </vt:variant>
      <vt:variant>
        <vt:lpwstr>https://humanrights.gov.au/our-work/publications/australia-and-universal-declaration-human-rights</vt:lpwstr>
      </vt:variant>
      <vt:variant>
        <vt:lpwstr/>
      </vt:variant>
      <vt:variant>
        <vt:i4>3473459</vt:i4>
      </vt:variant>
      <vt:variant>
        <vt:i4>78</vt:i4>
      </vt:variant>
      <vt:variant>
        <vt:i4>0</vt:i4>
      </vt:variant>
      <vt:variant>
        <vt:i4>5</vt:i4>
      </vt:variant>
      <vt:variant>
        <vt:lpwstr>https://humanrights.gov.au/our-work/education/human-rights-explained-fact-sheet-3-human-rights-philosophies</vt:lpwstr>
      </vt:variant>
      <vt:variant>
        <vt:lpwstr/>
      </vt:variant>
      <vt:variant>
        <vt:i4>6488185</vt:i4>
      </vt:variant>
      <vt:variant>
        <vt:i4>75</vt:i4>
      </vt:variant>
      <vt:variant>
        <vt:i4>0</vt:i4>
      </vt:variant>
      <vt:variant>
        <vt:i4>5</vt:i4>
      </vt:variant>
      <vt:variant>
        <vt:lpwstr>https://plato.stanford.edu/entries/rights/</vt:lpwstr>
      </vt:variant>
      <vt:variant>
        <vt:lpwstr/>
      </vt:variant>
      <vt:variant>
        <vt:i4>2293801</vt:i4>
      </vt:variant>
      <vt:variant>
        <vt:i4>72</vt:i4>
      </vt:variant>
      <vt:variant>
        <vt:i4>0</vt:i4>
      </vt:variant>
      <vt:variant>
        <vt:i4>5</vt:i4>
      </vt:variant>
      <vt:variant>
        <vt:lpwstr>https://www.hrlc.org.au/reports/2022/6/2/charters-of-human-rights-make-our-lives-better</vt:lpwstr>
      </vt:variant>
      <vt:variant>
        <vt:lpwstr/>
      </vt:variant>
      <vt:variant>
        <vt:i4>2293801</vt:i4>
      </vt:variant>
      <vt:variant>
        <vt:i4>69</vt:i4>
      </vt:variant>
      <vt:variant>
        <vt:i4>0</vt:i4>
      </vt:variant>
      <vt:variant>
        <vt:i4>5</vt:i4>
      </vt:variant>
      <vt:variant>
        <vt:lpwstr>https://www.hrlc.org.au/reports/2022/6/2/charters-of-human-rights-make-our-lives-better</vt:lpwstr>
      </vt:variant>
      <vt:variant>
        <vt:lpwstr/>
      </vt:variant>
      <vt:variant>
        <vt:i4>4456457</vt:i4>
      </vt:variant>
      <vt:variant>
        <vt:i4>66</vt:i4>
      </vt:variant>
      <vt:variant>
        <vt:i4>0</vt:i4>
      </vt:variant>
      <vt:variant>
        <vt:i4>5</vt:i4>
      </vt:variant>
      <vt:variant>
        <vt:lpwstr>https://www.bihr.org.uk/Handlers/Download.ashx?IDMF=6efd6aef-3bc3-4c75-867c-d744ede5d0c9</vt:lpwstr>
      </vt:variant>
      <vt:variant>
        <vt:lpwstr/>
      </vt:variant>
      <vt:variant>
        <vt:i4>6029325</vt:i4>
      </vt:variant>
      <vt:variant>
        <vt:i4>63</vt:i4>
      </vt:variant>
      <vt:variant>
        <vt:i4>0</vt:i4>
      </vt:variant>
      <vt:variant>
        <vt:i4>5</vt:i4>
      </vt:variant>
      <vt:variant>
        <vt:lpwstr>https://disability.royalcommission.gov.au/publications/statement-concern-response-covid-19-pandemic-people-disability</vt:lpwstr>
      </vt:variant>
      <vt:variant>
        <vt:lpwstr/>
      </vt:variant>
      <vt:variant>
        <vt:i4>1245256</vt:i4>
      </vt:variant>
      <vt:variant>
        <vt:i4>60</vt:i4>
      </vt:variant>
      <vt:variant>
        <vt:i4>0</vt:i4>
      </vt:variant>
      <vt:variant>
        <vt:i4>5</vt:i4>
      </vt:variant>
      <vt:variant>
        <vt:lpwstr>https://www.theguardian.com/australia-news/2022/jan/13/rampant-nearly-70-people-have-covid-at-sydneys-villawood-detention-centre-sources-say</vt:lpwstr>
      </vt:variant>
      <vt:variant>
        <vt:lpwstr/>
      </vt:variant>
      <vt:variant>
        <vt:i4>4390993</vt:i4>
      </vt:variant>
      <vt:variant>
        <vt:i4>57</vt:i4>
      </vt:variant>
      <vt:variant>
        <vt:i4>0</vt:i4>
      </vt:variant>
      <vt:variant>
        <vt:i4>5</vt:i4>
      </vt:variant>
      <vt:variant>
        <vt:lpwstr>https://humanrights.gov.au/our-work/asylum-seekers-and-refugees/publications/management-covid-19-risks-immigration-detention</vt:lpwstr>
      </vt:variant>
      <vt:variant>
        <vt:lpwstr/>
      </vt:variant>
      <vt:variant>
        <vt:i4>1900625</vt:i4>
      </vt:variant>
      <vt:variant>
        <vt:i4>54</vt:i4>
      </vt:variant>
      <vt:variant>
        <vt:i4>0</vt:i4>
      </vt:variant>
      <vt:variant>
        <vt:i4>5</vt:i4>
      </vt:variant>
      <vt:variant>
        <vt:lpwstr>https://www.thesaturdaypaper.com.au/news/politics/2021/06/12/delays-vaccinating-prisoners/162342000011860</vt:lpwstr>
      </vt:variant>
      <vt:variant>
        <vt:lpwstr/>
      </vt:variant>
      <vt:variant>
        <vt:i4>4325446</vt:i4>
      </vt:variant>
      <vt:variant>
        <vt:i4>51</vt:i4>
      </vt:variant>
      <vt:variant>
        <vt:i4>0</vt:i4>
      </vt:variant>
      <vt:variant>
        <vt:i4>5</vt:i4>
      </vt:variant>
      <vt:variant>
        <vt:lpwstr>https://www.hrw.org/news/2021/09/01/australia-prisoners-denied-vaccine-access</vt:lpwstr>
      </vt:variant>
      <vt:variant>
        <vt:lpwstr/>
      </vt:variant>
      <vt:variant>
        <vt:i4>7340146</vt:i4>
      </vt:variant>
      <vt:variant>
        <vt:i4>48</vt:i4>
      </vt:variant>
      <vt:variant>
        <vt:i4>0</vt:i4>
      </vt:variant>
      <vt:variant>
        <vt:i4>5</vt:i4>
      </vt:variant>
      <vt:variant>
        <vt:lpwstr>https://www.hrw.org/news/2021/08/19/australia-protect-risk-communities-covid-19</vt:lpwstr>
      </vt:variant>
      <vt:variant>
        <vt:lpwstr/>
      </vt:variant>
      <vt:variant>
        <vt:i4>5046347</vt:i4>
      </vt:variant>
      <vt:variant>
        <vt:i4>45</vt:i4>
      </vt:variant>
      <vt:variant>
        <vt:i4>0</vt:i4>
      </vt:variant>
      <vt:variant>
        <vt:i4>5</vt:i4>
      </vt:variant>
      <vt:variant>
        <vt:lpwstr>https://humanrights.gov.au/our-work/childrens-rights/publications/impacts-covid-19-children-and-young-people-who-contact-kids</vt:lpwstr>
      </vt:variant>
      <vt:variant>
        <vt:lpwstr/>
      </vt:variant>
      <vt:variant>
        <vt:i4>5832795</vt:i4>
      </vt:variant>
      <vt:variant>
        <vt:i4>42</vt:i4>
      </vt:variant>
      <vt:variant>
        <vt:i4>0</vt:i4>
      </vt:variant>
      <vt:variant>
        <vt:i4>5</vt:i4>
      </vt:variant>
      <vt:variant>
        <vt:lpwstr>https://www.unicef.org.au/about-us/media/october-2021/call-for-national-plan-as-children-tell-of-lockdow</vt:lpwstr>
      </vt:variant>
      <vt:variant>
        <vt:lpwstr/>
      </vt:variant>
      <vt:variant>
        <vt:i4>5505037</vt:i4>
      </vt:variant>
      <vt:variant>
        <vt:i4>39</vt:i4>
      </vt:variant>
      <vt:variant>
        <vt:i4>0</vt:i4>
      </vt:variant>
      <vt:variant>
        <vt:i4>5</vt:i4>
      </vt:variant>
      <vt:variant>
        <vt:lpwstr>https://www.anu.edu.au/news/all-news/pm-urged-to-address-low-indigenous-vaccination-rates</vt:lpwstr>
      </vt:variant>
      <vt:variant>
        <vt:lpwstr/>
      </vt:variant>
      <vt:variant>
        <vt:i4>7340146</vt:i4>
      </vt:variant>
      <vt:variant>
        <vt:i4>36</vt:i4>
      </vt:variant>
      <vt:variant>
        <vt:i4>0</vt:i4>
      </vt:variant>
      <vt:variant>
        <vt:i4>5</vt:i4>
      </vt:variant>
      <vt:variant>
        <vt:lpwstr>https://www.hrw.org/news/2021/08/19/australia-protect-risk-communities-covid-19</vt:lpwstr>
      </vt:variant>
      <vt:variant>
        <vt:lpwstr/>
      </vt:variant>
      <vt:variant>
        <vt:i4>7602230</vt:i4>
      </vt:variant>
      <vt:variant>
        <vt:i4>33</vt:i4>
      </vt:variant>
      <vt:variant>
        <vt:i4>0</vt:i4>
      </vt:variant>
      <vt:variant>
        <vt:i4>5</vt:i4>
      </vt:variant>
      <vt:variant>
        <vt:lpwstr>https://apo.org.au/node/311761</vt:lpwstr>
      </vt:variant>
      <vt:variant>
        <vt:lpwstr/>
      </vt:variant>
      <vt:variant>
        <vt:i4>6488163</vt:i4>
      </vt:variant>
      <vt:variant>
        <vt:i4>30</vt:i4>
      </vt:variant>
      <vt:variant>
        <vt:i4>0</vt:i4>
      </vt:variant>
      <vt:variant>
        <vt:i4>5</vt:i4>
      </vt:variant>
      <vt:variant>
        <vt:lpwstr>https://www.health.gov.au/initiatives-and-programs/covid-19-vaccines/numbers-statistics</vt:lpwstr>
      </vt:variant>
      <vt:variant>
        <vt:lpwstr/>
      </vt:variant>
      <vt:variant>
        <vt:i4>6815806</vt:i4>
      </vt:variant>
      <vt:variant>
        <vt:i4>27</vt:i4>
      </vt:variant>
      <vt:variant>
        <vt:i4>0</vt:i4>
      </vt:variant>
      <vt:variant>
        <vt:i4>5</vt:i4>
      </vt:variant>
      <vt:variant>
        <vt:lpwstr>https://www.theguardian.com/australia-news/2021/may/05/un-raises-serious-human-rights-concerns-over-australia-india-travel-ban</vt:lpwstr>
      </vt:variant>
      <vt:variant>
        <vt:lpwstr/>
      </vt:variant>
      <vt:variant>
        <vt:i4>4194369</vt:i4>
      </vt:variant>
      <vt:variant>
        <vt:i4>24</vt:i4>
      </vt:variant>
      <vt:variant>
        <vt:i4>0</vt:i4>
      </vt:variant>
      <vt:variant>
        <vt:i4>5</vt:i4>
      </vt:variant>
      <vt:variant>
        <vt:lpwstr>https://www.theguardian.com/business/2021/sep/21/more-than-45000-australians-stranded-overseas-registered-for-government-help</vt:lpwstr>
      </vt:variant>
      <vt:variant>
        <vt:lpwstr/>
      </vt:variant>
      <vt:variant>
        <vt:i4>3604590</vt:i4>
      </vt:variant>
      <vt:variant>
        <vt:i4>21</vt:i4>
      </vt:variant>
      <vt:variant>
        <vt:i4>0</vt:i4>
      </vt:variant>
      <vt:variant>
        <vt:i4>5</vt:i4>
      </vt:variant>
      <vt:variant>
        <vt:lpwstr>https://www.theguardian.com/australia-news/2021/sep/17/human-rights-commission-says-national-cabinet-should-not-be-covered-by-secrecy-laws</vt:lpwstr>
      </vt:variant>
      <vt:variant>
        <vt:lpwstr/>
      </vt:variant>
      <vt:variant>
        <vt:i4>1114141</vt:i4>
      </vt:variant>
      <vt:variant>
        <vt:i4>18</vt:i4>
      </vt:variant>
      <vt:variant>
        <vt:i4>0</vt:i4>
      </vt:variant>
      <vt:variant>
        <vt:i4>5</vt:i4>
      </vt:variant>
      <vt:variant>
        <vt:lpwstr>https://theconversation.com/covid-19-risk-and-rights-the-wicked-balancing-act-for-governments-146014</vt:lpwstr>
      </vt:variant>
      <vt:variant>
        <vt:lpwstr/>
      </vt:variant>
      <vt:variant>
        <vt:i4>1966170</vt:i4>
      </vt:variant>
      <vt:variant>
        <vt:i4>15</vt:i4>
      </vt:variant>
      <vt:variant>
        <vt:i4>0</vt:i4>
      </vt:variant>
      <vt:variant>
        <vt:i4>5</vt:i4>
      </vt:variant>
      <vt:variant>
        <vt:lpwstr>https://www.amnesty.org.au/australias-human-rights-barometer-overwhelming-support-for-a-human-rights-act/</vt:lpwstr>
      </vt:variant>
      <vt:variant>
        <vt:lpwstr/>
      </vt:variant>
      <vt:variant>
        <vt:i4>3211391</vt:i4>
      </vt:variant>
      <vt:variant>
        <vt:i4>12</vt:i4>
      </vt:variant>
      <vt:variant>
        <vt:i4>0</vt:i4>
      </vt:variant>
      <vt:variant>
        <vt:i4>5</vt:i4>
      </vt:variant>
      <vt:variant>
        <vt:lpwstr>https://humanrights.gov.au/free-and-equal-conference</vt:lpwstr>
      </vt:variant>
      <vt:variant>
        <vt:lpwstr>:~:text=The%20Free%20and%20Equal%20conference,rights%20into%20the%2021st%20Century</vt:lpwstr>
      </vt:variant>
      <vt:variant>
        <vt:i4>5767175</vt:i4>
      </vt:variant>
      <vt:variant>
        <vt:i4>9</vt:i4>
      </vt:variant>
      <vt:variant>
        <vt:i4>0</vt:i4>
      </vt:variant>
      <vt:variant>
        <vt:i4>5</vt:i4>
      </vt:variant>
      <vt:variant>
        <vt:lpwstr>https://humanrights.gov.au/sites/default/files/19.10.14_discussion_paper-ensuring_effective_national_accountability_final.pdf</vt:lpwstr>
      </vt:variant>
      <vt:variant>
        <vt:lpwstr/>
      </vt:variant>
      <vt:variant>
        <vt:i4>1900569</vt:i4>
      </vt:variant>
      <vt:variant>
        <vt:i4>6</vt:i4>
      </vt:variant>
      <vt:variant>
        <vt:i4>0</vt:i4>
      </vt:variant>
      <vt:variant>
        <vt:i4>5</vt:i4>
      </vt:variant>
      <vt:variant>
        <vt:lpwstr>https://humanrights.gov.au/our-work/rights-and-freedoms/publications/discussion-paper-model-positive-human-rights-reform-2019</vt:lpwstr>
      </vt:variant>
      <vt:variant>
        <vt:lpwstr/>
      </vt:variant>
      <vt:variant>
        <vt:i4>3145851</vt:i4>
      </vt:variant>
      <vt:variant>
        <vt:i4>3</vt:i4>
      </vt:variant>
      <vt:variant>
        <vt:i4>0</vt:i4>
      </vt:variant>
      <vt:variant>
        <vt:i4>5</vt:i4>
      </vt:variant>
      <vt:variant>
        <vt:lpwstr>https://humanrights.gov.au/our-work/rights-and-freedoms/publications/discussion-paper-priorities-federal-discrimination-law</vt:lpwstr>
      </vt:variant>
      <vt:variant>
        <vt:lpwstr/>
      </vt:variant>
      <vt:variant>
        <vt:i4>1310742</vt:i4>
      </vt:variant>
      <vt:variant>
        <vt:i4>0</vt:i4>
      </vt:variant>
      <vt:variant>
        <vt:i4>0</vt:i4>
      </vt:variant>
      <vt:variant>
        <vt:i4>5</vt:i4>
      </vt:variant>
      <vt:variant>
        <vt:lpwstr>https://humanrights.gov.au/sites/default/files/document/publication/ahrc_free_equal_issues_paper_2019_final.pdf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Sarah sacher</dc:creator>
  <cp:keywords/>
  <cp:lastModifiedBy>Jo Rita Stocovaz</cp:lastModifiedBy>
  <cp:revision>10</cp:revision>
  <cp:lastPrinted>2022-08-29T20:17:00Z</cp:lastPrinted>
  <dcterms:created xsi:type="dcterms:W3CDTF">2022-12-07T11:29:00Z</dcterms:created>
  <dcterms:modified xsi:type="dcterms:W3CDTF">2023-02-21T11:19:00Z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0x010100291CB3DC0510DB4883CE0B434ECA7EF7</vt:lpwstr>
  </property>
  <property fmtid="{D5CDD505-2E9C-101B-9397-08002B2CF9AE}" pid="3" name="TaxKeyword">
    <vt:lpwstr/>
  </property>
  <property fmtid="{D5CDD505-2E9C-101B-9397-08002B2CF9AE}" pid="4" name="Document Type">
    <vt:lpwstr/>
  </property>
  <property fmtid="{D5CDD505-2E9C-101B-9397-08002B2CF9AE}" pid="5" name="_dlc_DocIdItemGuid">
    <vt:lpwstr>c31b9005-c452-4538-9ce8-71d6c36a45c0</vt:lpwstr>
  </property>
</Properties>
</file>