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49A1" w14:textId="2FDE0EE7" w:rsidR="00525EFA" w:rsidRPr="00525EFA" w:rsidRDefault="00845300" w:rsidP="00525EFA">
      <w:pPr>
        <w:pStyle w:val="MainTitle"/>
        <w:ind w:left="851"/>
      </w:pPr>
      <w:r>
        <w:t xml:space="preserve">Review into Division 105A of the Criminal Code </w:t>
      </w:r>
      <w:r>
        <w:br/>
        <w:t>(post sentence orders)</w:t>
      </w:r>
    </w:p>
    <w:p w14:paraId="41576B26" w14:textId="3B81232E" w:rsidR="00817C73" w:rsidRPr="00E66FC4" w:rsidRDefault="00C86324" w:rsidP="00BF03DD">
      <w:pPr>
        <w:pStyle w:val="Date"/>
        <w:spacing w:before="440"/>
        <w:rPr>
          <w:color w:val="2E74B5" w:themeColor="accent1" w:themeShade="BF"/>
          <w:sz w:val="28"/>
        </w:rPr>
      </w:pPr>
      <w:bookmarkStart w:id="0" w:name="_Toc525894097"/>
      <w:r w:rsidRPr="00E66FC4">
        <w:rPr>
          <w:color w:val="2E74B5" w:themeColor="accent1" w:themeShade="BF"/>
          <w:sz w:val="28"/>
        </w:rPr>
        <w:t xml:space="preserve">Submission to the </w:t>
      </w:r>
      <w:bookmarkEnd w:id="0"/>
      <w:r w:rsidR="004245E4">
        <w:rPr>
          <w:color w:val="2E74B5" w:themeColor="accent1" w:themeShade="BF"/>
          <w:sz w:val="28"/>
        </w:rPr>
        <w:t xml:space="preserve">Parliamentary Joint Committee on </w:t>
      </w:r>
      <w:r w:rsidR="004245E4">
        <w:rPr>
          <w:color w:val="2E74B5" w:themeColor="accent1" w:themeShade="BF"/>
          <w:sz w:val="28"/>
        </w:rPr>
        <w:br/>
        <w:t>Intelligence and Security</w:t>
      </w:r>
    </w:p>
    <w:p w14:paraId="51B65F54" w14:textId="4CCF9C1A" w:rsidR="00F220A5" w:rsidRPr="00817C73" w:rsidRDefault="00FA6DB1" w:rsidP="00AA1402">
      <w:pPr>
        <w:pStyle w:val="Date"/>
        <w:spacing w:before="360"/>
      </w:pPr>
      <w:r>
        <w:t xml:space="preserve">23 June </w:t>
      </w:r>
      <w:r w:rsidR="0087410B">
        <w:t>202</w:t>
      </w:r>
      <w:r>
        <w:t>3</w:t>
      </w:r>
    </w:p>
    <w:p w14:paraId="5C740124" w14:textId="77777777" w:rsidR="00AC636D" w:rsidRDefault="00AC636D" w:rsidP="00AC636D"/>
    <w:p w14:paraId="695CA3EF"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560AAC0E" w14:textId="6192EC1F" w:rsidR="00C207CC" w:rsidRDefault="000E4837">
      <w:pPr>
        <w:pStyle w:val="TOC1"/>
        <w:rPr>
          <w:rFonts w:asciiTheme="minorHAnsi" w:eastAsiaTheme="minorEastAsia" w:hAnsiTheme="minorHAnsi" w:cstheme="minorBidi"/>
          <w:b w:val="0"/>
          <w:kern w:val="2"/>
          <w:sz w:val="22"/>
          <w:szCs w:val="22"/>
          <w14:ligatures w14:val="standardContextual"/>
        </w:rPr>
      </w:pPr>
      <w:r>
        <w:lastRenderedPageBreak/>
        <w:fldChar w:fldCharType="begin"/>
      </w:r>
      <w:r>
        <w:instrText xml:space="preserve"> TOC \o "1-3" \h \z \u </w:instrText>
      </w:r>
      <w:r>
        <w:fldChar w:fldCharType="separate"/>
      </w:r>
      <w:hyperlink w:anchor="_Toc138410673" w:history="1">
        <w:r w:rsidR="00C207CC" w:rsidRPr="000D2A33">
          <w:rPr>
            <w:rStyle w:val="Hyperlink"/>
          </w:rPr>
          <w:t>1</w:t>
        </w:r>
        <w:r w:rsidR="00C207CC">
          <w:rPr>
            <w:rFonts w:asciiTheme="minorHAnsi" w:eastAsiaTheme="minorEastAsia" w:hAnsiTheme="minorHAnsi" w:cstheme="minorBidi"/>
            <w:b w:val="0"/>
            <w:kern w:val="2"/>
            <w:sz w:val="22"/>
            <w:szCs w:val="22"/>
            <w14:ligatures w14:val="standardContextual"/>
          </w:rPr>
          <w:tab/>
        </w:r>
        <w:r w:rsidR="00C207CC" w:rsidRPr="000D2A33">
          <w:rPr>
            <w:rStyle w:val="Hyperlink"/>
          </w:rPr>
          <w:t>Introduction</w:t>
        </w:r>
        <w:r w:rsidR="00C207CC">
          <w:rPr>
            <w:webHidden/>
          </w:rPr>
          <w:tab/>
        </w:r>
        <w:r w:rsidR="00C207CC">
          <w:rPr>
            <w:webHidden/>
          </w:rPr>
          <w:fldChar w:fldCharType="begin"/>
        </w:r>
        <w:r w:rsidR="00C207CC">
          <w:rPr>
            <w:webHidden/>
          </w:rPr>
          <w:instrText xml:space="preserve"> PAGEREF _Toc138410673 \h </w:instrText>
        </w:r>
        <w:r w:rsidR="00C207CC">
          <w:rPr>
            <w:webHidden/>
          </w:rPr>
        </w:r>
        <w:r w:rsidR="00C207CC">
          <w:rPr>
            <w:webHidden/>
          </w:rPr>
          <w:fldChar w:fldCharType="separate"/>
        </w:r>
        <w:r w:rsidR="00012465">
          <w:rPr>
            <w:webHidden/>
          </w:rPr>
          <w:t>4</w:t>
        </w:r>
        <w:r w:rsidR="00C207CC">
          <w:rPr>
            <w:webHidden/>
          </w:rPr>
          <w:fldChar w:fldCharType="end"/>
        </w:r>
      </w:hyperlink>
    </w:p>
    <w:p w14:paraId="72778A0C" w14:textId="1DC5496C" w:rsidR="00C207CC" w:rsidRDefault="00000000">
      <w:pPr>
        <w:pStyle w:val="TOC1"/>
        <w:rPr>
          <w:rFonts w:asciiTheme="minorHAnsi" w:eastAsiaTheme="minorEastAsia" w:hAnsiTheme="minorHAnsi" w:cstheme="minorBidi"/>
          <w:b w:val="0"/>
          <w:kern w:val="2"/>
          <w:sz w:val="22"/>
          <w:szCs w:val="22"/>
          <w14:ligatures w14:val="standardContextual"/>
        </w:rPr>
      </w:pPr>
      <w:hyperlink w:anchor="_Toc138410674" w:history="1">
        <w:r w:rsidR="00C207CC" w:rsidRPr="000D2A33">
          <w:rPr>
            <w:rStyle w:val="Hyperlink"/>
          </w:rPr>
          <w:t>2</w:t>
        </w:r>
        <w:r w:rsidR="00C207CC">
          <w:rPr>
            <w:rFonts w:asciiTheme="minorHAnsi" w:eastAsiaTheme="minorEastAsia" w:hAnsiTheme="minorHAnsi" w:cstheme="minorBidi"/>
            <w:b w:val="0"/>
            <w:kern w:val="2"/>
            <w:sz w:val="22"/>
            <w:szCs w:val="22"/>
            <w14:ligatures w14:val="standardContextual"/>
          </w:rPr>
          <w:tab/>
        </w:r>
        <w:r w:rsidR="00C207CC" w:rsidRPr="000D2A33">
          <w:rPr>
            <w:rStyle w:val="Hyperlink"/>
          </w:rPr>
          <w:t>Summary</w:t>
        </w:r>
        <w:r w:rsidR="00C207CC">
          <w:rPr>
            <w:webHidden/>
          </w:rPr>
          <w:tab/>
        </w:r>
        <w:r w:rsidR="00C207CC">
          <w:rPr>
            <w:webHidden/>
          </w:rPr>
          <w:fldChar w:fldCharType="begin"/>
        </w:r>
        <w:r w:rsidR="00C207CC">
          <w:rPr>
            <w:webHidden/>
          </w:rPr>
          <w:instrText xml:space="preserve"> PAGEREF _Toc138410674 \h </w:instrText>
        </w:r>
        <w:r w:rsidR="00C207CC">
          <w:rPr>
            <w:webHidden/>
          </w:rPr>
        </w:r>
        <w:r w:rsidR="00C207CC">
          <w:rPr>
            <w:webHidden/>
          </w:rPr>
          <w:fldChar w:fldCharType="separate"/>
        </w:r>
        <w:r w:rsidR="00012465">
          <w:rPr>
            <w:webHidden/>
          </w:rPr>
          <w:t>5</w:t>
        </w:r>
        <w:r w:rsidR="00C207CC">
          <w:rPr>
            <w:webHidden/>
          </w:rPr>
          <w:fldChar w:fldCharType="end"/>
        </w:r>
      </w:hyperlink>
    </w:p>
    <w:p w14:paraId="6EF7DCF3" w14:textId="410548DA" w:rsidR="00C207CC" w:rsidRDefault="00000000">
      <w:pPr>
        <w:pStyle w:val="TOC1"/>
        <w:rPr>
          <w:rFonts w:asciiTheme="minorHAnsi" w:eastAsiaTheme="minorEastAsia" w:hAnsiTheme="minorHAnsi" w:cstheme="minorBidi"/>
          <w:b w:val="0"/>
          <w:kern w:val="2"/>
          <w:sz w:val="22"/>
          <w:szCs w:val="22"/>
          <w14:ligatures w14:val="standardContextual"/>
        </w:rPr>
      </w:pPr>
      <w:hyperlink w:anchor="_Toc138410675" w:history="1">
        <w:r w:rsidR="00C207CC" w:rsidRPr="000D2A33">
          <w:rPr>
            <w:rStyle w:val="Hyperlink"/>
          </w:rPr>
          <w:t>3</w:t>
        </w:r>
        <w:r w:rsidR="00C207CC">
          <w:rPr>
            <w:rFonts w:asciiTheme="minorHAnsi" w:eastAsiaTheme="minorEastAsia" w:hAnsiTheme="minorHAnsi" w:cstheme="minorBidi"/>
            <w:b w:val="0"/>
            <w:kern w:val="2"/>
            <w:sz w:val="22"/>
            <w:szCs w:val="22"/>
            <w14:ligatures w14:val="standardContextual"/>
          </w:rPr>
          <w:tab/>
        </w:r>
        <w:r w:rsidR="00C207CC" w:rsidRPr="000D2A33">
          <w:rPr>
            <w:rStyle w:val="Hyperlink"/>
          </w:rPr>
          <w:t>Recommendations</w:t>
        </w:r>
        <w:r w:rsidR="00C207CC">
          <w:rPr>
            <w:webHidden/>
          </w:rPr>
          <w:tab/>
        </w:r>
        <w:r w:rsidR="00C207CC">
          <w:rPr>
            <w:webHidden/>
          </w:rPr>
          <w:fldChar w:fldCharType="begin"/>
        </w:r>
        <w:r w:rsidR="00C207CC">
          <w:rPr>
            <w:webHidden/>
          </w:rPr>
          <w:instrText xml:space="preserve"> PAGEREF _Toc138410675 \h </w:instrText>
        </w:r>
        <w:r w:rsidR="00C207CC">
          <w:rPr>
            <w:webHidden/>
          </w:rPr>
        </w:r>
        <w:r w:rsidR="00C207CC">
          <w:rPr>
            <w:webHidden/>
          </w:rPr>
          <w:fldChar w:fldCharType="separate"/>
        </w:r>
        <w:r w:rsidR="00012465">
          <w:rPr>
            <w:webHidden/>
          </w:rPr>
          <w:t>6</w:t>
        </w:r>
        <w:r w:rsidR="00C207CC">
          <w:rPr>
            <w:webHidden/>
          </w:rPr>
          <w:fldChar w:fldCharType="end"/>
        </w:r>
      </w:hyperlink>
    </w:p>
    <w:p w14:paraId="35E45A60" w14:textId="66D9CCFE" w:rsidR="00C207CC" w:rsidRDefault="00000000">
      <w:pPr>
        <w:pStyle w:val="TOC1"/>
        <w:rPr>
          <w:rFonts w:asciiTheme="minorHAnsi" w:eastAsiaTheme="minorEastAsia" w:hAnsiTheme="minorHAnsi" w:cstheme="minorBidi"/>
          <w:b w:val="0"/>
          <w:kern w:val="2"/>
          <w:sz w:val="22"/>
          <w:szCs w:val="22"/>
          <w14:ligatures w14:val="standardContextual"/>
        </w:rPr>
      </w:pPr>
      <w:hyperlink w:anchor="_Toc138410676" w:history="1">
        <w:r w:rsidR="00C207CC" w:rsidRPr="000D2A33">
          <w:rPr>
            <w:rStyle w:val="Hyperlink"/>
          </w:rPr>
          <w:t>4</w:t>
        </w:r>
        <w:r w:rsidR="00C207CC">
          <w:rPr>
            <w:rFonts w:asciiTheme="minorHAnsi" w:eastAsiaTheme="minorEastAsia" w:hAnsiTheme="minorHAnsi" w:cstheme="minorBidi"/>
            <w:b w:val="0"/>
            <w:kern w:val="2"/>
            <w:sz w:val="22"/>
            <w:szCs w:val="22"/>
            <w14:ligatures w14:val="standardContextual"/>
          </w:rPr>
          <w:tab/>
        </w:r>
        <w:r w:rsidR="00C207CC" w:rsidRPr="000D2A33">
          <w:rPr>
            <w:rStyle w:val="Hyperlink"/>
          </w:rPr>
          <w:t>Repeal of continuing detention order regime</w:t>
        </w:r>
        <w:r w:rsidR="00C207CC">
          <w:rPr>
            <w:webHidden/>
          </w:rPr>
          <w:tab/>
        </w:r>
        <w:r w:rsidR="00C207CC">
          <w:rPr>
            <w:webHidden/>
          </w:rPr>
          <w:fldChar w:fldCharType="begin"/>
        </w:r>
        <w:r w:rsidR="00C207CC">
          <w:rPr>
            <w:webHidden/>
          </w:rPr>
          <w:instrText xml:space="preserve"> PAGEREF _Toc138410676 \h </w:instrText>
        </w:r>
        <w:r w:rsidR="00C207CC">
          <w:rPr>
            <w:webHidden/>
          </w:rPr>
        </w:r>
        <w:r w:rsidR="00C207CC">
          <w:rPr>
            <w:webHidden/>
          </w:rPr>
          <w:fldChar w:fldCharType="separate"/>
        </w:r>
        <w:r w:rsidR="00012465">
          <w:rPr>
            <w:webHidden/>
          </w:rPr>
          <w:t>9</w:t>
        </w:r>
        <w:r w:rsidR="00C207CC">
          <w:rPr>
            <w:webHidden/>
          </w:rPr>
          <w:fldChar w:fldCharType="end"/>
        </w:r>
      </w:hyperlink>
    </w:p>
    <w:p w14:paraId="146BF7B5" w14:textId="4ED4CD96"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77" w:history="1">
        <w:r w:rsidR="00C207CC" w:rsidRPr="000D2A33">
          <w:rPr>
            <w:rStyle w:val="Hyperlink"/>
            <w:iCs/>
          </w:rPr>
          <w:t>(a)</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Need for risk assessment tool</w:t>
        </w:r>
        <w:r w:rsidR="00C207CC">
          <w:rPr>
            <w:webHidden/>
          </w:rPr>
          <w:tab/>
        </w:r>
        <w:r w:rsidR="00C207CC">
          <w:rPr>
            <w:webHidden/>
          </w:rPr>
          <w:fldChar w:fldCharType="begin"/>
        </w:r>
        <w:r w:rsidR="00C207CC">
          <w:rPr>
            <w:webHidden/>
          </w:rPr>
          <w:instrText xml:space="preserve"> PAGEREF _Toc138410677 \h </w:instrText>
        </w:r>
        <w:r w:rsidR="00C207CC">
          <w:rPr>
            <w:webHidden/>
          </w:rPr>
        </w:r>
        <w:r w:rsidR="00C207CC">
          <w:rPr>
            <w:webHidden/>
          </w:rPr>
          <w:fldChar w:fldCharType="separate"/>
        </w:r>
        <w:r w:rsidR="00012465">
          <w:rPr>
            <w:webHidden/>
          </w:rPr>
          <w:t>9</w:t>
        </w:r>
        <w:r w:rsidR="00C207CC">
          <w:rPr>
            <w:webHidden/>
          </w:rPr>
          <w:fldChar w:fldCharType="end"/>
        </w:r>
      </w:hyperlink>
    </w:p>
    <w:p w14:paraId="0D0AA4A3" w14:textId="27CF7352"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78" w:history="1">
        <w:r w:rsidR="00C207CC" w:rsidRPr="000D2A33">
          <w:rPr>
            <w:rStyle w:val="Hyperlink"/>
            <w:iCs/>
          </w:rPr>
          <w:t>(b)</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Inadequacy of VERA-2R</w:t>
        </w:r>
        <w:r w:rsidR="00C207CC">
          <w:rPr>
            <w:webHidden/>
          </w:rPr>
          <w:tab/>
        </w:r>
        <w:r w:rsidR="00C207CC">
          <w:rPr>
            <w:webHidden/>
          </w:rPr>
          <w:fldChar w:fldCharType="begin"/>
        </w:r>
        <w:r w:rsidR="00C207CC">
          <w:rPr>
            <w:webHidden/>
          </w:rPr>
          <w:instrText xml:space="preserve"> PAGEREF _Toc138410678 \h </w:instrText>
        </w:r>
        <w:r w:rsidR="00C207CC">
          <w:rPr>
            <w:webHidden/>
          </w:rPr>
        </w:r>
        <w:r w:rsidR="00C207CC">
          <w:rPr>
            <w:webHidden/>
          </w:rPr>
          <w:fldChar w:fldCharType="separate"/>
        </w:r>
        <w:r w:rsidR="00012465">
          <w:rPr>
            <w:webHidden/>
          </w:rPr>
          <w:t>10</w:t>
        </w:r>
        <w:r w:rsidR="00C207CC">
          <w:rPr>
            <w:webHidden/>
          </w:rPr>
          <w:fldChar w:fldCharType="end"/>
        </w:r>
      </w:hyperlink>
    </w:p>
    <w:p w14:paraId="6C5AB86F" w14:textId="63E523CF"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79" w:history="1">
        <w:r w:rsidR="00C207CC" w:rsidRPr="000D2A33">
          <w:rPr>
            <w:rStyle w:val="Hyperlink"/>
            <w:iCs/>
          </w:rPr>
          <w:t>(c)</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Recommendation by the INSLM</w:t>
        </w:r>
        <w:r w:rsidR="00C207CC">
          <w:rPr>
            <w:webHidden/>
          </w:rPr>
          <w:tab/>
        </w:r>
        <w:r w:rsidR="00C207CC">
          <w:rPr>
            <w:webHidden/>
          </w:rPr>
          <w:fldChar w:fldCharType="begin"/>
        </w:r>
        <w:r w:rsidR="00C207CC">
          <w:rPr>
            <w:webHidden/>
          </w:rPr>
          <w:instrText xml:space="preserve"> PAGEREF _Toc138410679 \h </w:instrText>
        </w:r>
        <w:r w:rsidR="00C207CC">
          <w:rPr>
            <w:webHidden/>
          </w:rPr>
        </w:r>
        <w:r w:rsidR="00C207CC">
          <w:rPr>
            <w:webHidden/>
          </w:rPr>
          <w:fldChar w:fldCharType="separate"/>
        </w:r>
        <w:r w:rsidR="00012465">
          <w:rPr>
            <w:webHidden/>
          </w:rPr>
          <w:t>14</w:t>
        </w:r>
        <w:r w:rsidR="00C207CC">
          <w:rPr>
            <w:webHidden/>
          </w:rPr>
          <w:fldChar w:fldCharType="end"/>
        </w:r>
      </w:hyperlink>
    </w:p>
    <w:p w14:paraId="6F627581" w14:textId="33C3B036"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80" w:history="1">
        <w:r w:rsidR="00C207CC" w:rsidRPr="000D2A33">
          <w:rPr>
            <w:rStyle w:val="Hyperlink"/>
            <w:iCs/>
          </w:rPr>
          <w:t>(d)</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Experience of managing offenders in the community</w:t>
        </w:r>
        <w:r w:rsidR="00C207CC">
          <w:rPr>
            <w:webHidden/>
          </w:rPr>
          <w:tab/>
        </w:r>
        <w:r w:rsidR="00C207CC">
          <w:rPr>
            <w:webHidden/>
          </w:rPr>
          <w:fldChar w:fldCharType="begin"/>
        </w:r>
        <w:r w:rsidR="00C207CC">
          <w:rPr>
            <w:webHidden/>
          </w:rPr>
          <w:instrText xml:space="preserve"> PAGEREF _Toc138410680 \h </w:instrText>
        </w:r>
        <w:r w:rsidR="00C207CC">
          <w:rPr>
            <w:webHidden/>
          </w:rPr>
        </w:r>
        <w:r w:rsidR="00C207CC">
          <w:rPr>
            <w:webHidden/>
          </w:rPr>
          <w:fldChar w:fldCharType="separate"/>
        </w:r>
        <w:r w:rsidR="00012465">
          <w:rPr>
            <w:webHidden/>
          </w:rPr>
          <w:t>16</w:t>
        </w:r>
        <w:r w:rsidR="00C207CC">
          <w:rPr>
            <w:webHidden/>
          </w:rPr>
          <w:fldChar w:fldCharType="end"/>
        </w:r>
      </w:hyperlink>
    </w:p>
    <w:p w14:paraId="2F42C762" w14:textId="7996C85F" w:rsidR="00C207CC" w:rsidRDefault="00000000">
      <w:pPr>
        <w:pStyle w:val="TOC1"/>
        <w:rPr>
          <w:rFonts w:asciiTheme="minorHAnsi" w:eastAsiaTheme="minorEastAsia" w:hAnsiTheme="minorHAnsi" w:cstheme="minorBidi"/>
          <w:b w:val="0"/>
          <w:kern w:val="2"/>
          <w:sz w:val="22"/>
          <w:szCs w:val="22"/>
          <w14:ligatures w14:val="standardContextual"/>
        </w:rPr>
      </w:pPr>
      <w:hyperlink w:anchor="_Toc138410681" w:history="1">
        <w:r w:rsidR="00C207CC" w:rsidRPr="000D2A33">
          <w:rPr>
            <w:rStyle w:val="Hyperlink"/>
          </w:rPr>
          <w:t>5</w:t>
        </w:r>
        <w:r w:rsidR="00C207CC">
          <w:rPr>
            <w:rFonts w:asciiTheme="minorHAnsi" w:eastAsiaTheme="minorEastAsia" w:hAnsiTheme="minorHAnsi" w:cstheme="minorBidi"/>
            <w:b w:val="0"/>
            <w:kern w:val="2"/>
            <w:sz w:val="22"/>
            <w:szCs w:val="22"/>
            <w14:ligatures w14:val="standardContextual"/>
          </w:rPr>
          <w:tab/>
        </w:r>
        <w:r w:rsidR="00C207CC" w:rsidRPr="000D2A33">
          <w:rPr>
            <w:rStyle w:val="Hyperlink"/>
          </w:rPr>
          <w:t>Retention of extended supervision order regime</w:t>
        </w:r>
        <w:r w:rsidR="00C207CC">
          <w:rPr>
            <w:webHidden/>
          </w:rPr>
          <w:tab/>
        </w:r>
        <w:r w:rsidR="00C207CC">
          <w:rPr>
            <w:webHidden/>
          </w:rPr>
          <w:fldChar w:fldCharType="begin"/>
        </w:r>
        <w:r w:rsidR="00C207CC">
          <w:rPr>
            <w:webHidden/>
          </w:rPr>
          <w:instrText xml:space="preserve"> PAGEREF _Toc138410681 \h </w:instrText>
        </w:r>
        <w:r w:rsidR="00C207CC">
          <w:rPr>
            <w:webHidden/>
          </w:rPr>
        </w:r>
        <w:r w:rsidR="00C207CC">
          <w:rPr>
            <w:webHidden/>
          </w:rPr>
          <w:fldChar w:fldCharType="separate"/>
        </w:r>
        <w:r w:rsidR="00012465">
          <w:rPr>
            <w:webHidden/>
          </w:rPr>
          <w:t>17</w:t>
        </w:r>
        <w:r w:rsidR="00C207CC">
          <w:rPr>
            <w:webHidden/>
          </w:rPr>
          <w:fldChar w:fldCharType="end"/>
        </w:r>
      </w:hyperlink>
    </w:p>
    <w:p w14:paraId="2FE7B546" w14:textId="01983FDE"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82" w:history="1">
        <w:r w:rsidR="00C207CC" w:rsidRPr="000D2A33">
          <w:rPr>
            <w:rStyle w:val="Hyperlink"/>
            <w:iCs/>
          </w:rPr>
          <w:t>(a)</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Objects</w:t>
        </w:r>
        <w:r w:rsidR="00C207CC">
          <w:rPr>
            <w:webHidden/>
          </w:rPr>
          <w:tab/>
        </w:r>
        <w:r w:rsidR="00C207CC">
          <w:rPr>
            <w:webHidden/>
          </w:rPr>
          <w:fldChar w:fldCharType="begin"/>
        </w:r>
        <w:r w:rsidR="00C207CC">
          <w:rPr>
            <w:webHidden/>
          </w:rPr>
          <w:instrText xml:space="preserve"> PAGEREF _Toc138410682 \h </w:instrText>
        </w:r>
        <w:r w:rsidR="00C207CC">
          <w:rPr>
            <w:webHidden/>
          </w:rPr>
        </w:r>
        <w:r w:rsidR="00C207CC">
          <w:rPr>
            <w:webHidden/>
          </w:rPr>
          <w:fldChar w:fldCharType="separate"/>
        </w:r>
        <w:r w:rsidR="00012465">
          <w:rPr>
            <w:webHidden/>
          </w:rPr>
          <w:t>18</w:t>
        </w:r>
        <w:r w:rsidR="00C207CC">
          <w:rPr>
            <w:webHidden/>
          </w:rPr>
          <w:fldChar w:fldCharType="end"/>
        </w:r>
      </w:hyperlink>
    </w:p>
    <w:p w14:paraId="6721FA85" w14:textId="752591DB"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83" w:history="1">
        <w:r w:rsidR="00C207CC" w:rsidRPr="000D2A33">
          <w:rPr>
            <w:rStyle w:val="Hyperlink"/>
            <w:iCs/>
          </w:rPr>
          <w:t>(b)</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Disclosure of relevant information</w:t>
        </w:r>
        <w:r w:rsidR="00C207CC">
          <w:rPr>
            <w:webHidden/>
          </w:rPr>
          <w:tab/>
        </w:r>
        <w:r w:rsidR="00C207CC">
          <w:rPr>
            <w:webHidden/>
          </w:rPr>
          <w:fldChar w:fldCharType="begin"/>
        </w:r>
        <w:r w:rsidR="00C207CC">
          <w:rPr>
            <w:webHidden/>
          </w:rPr>
          <w:instrText xml:space="preserve"> PAGEREF _Toc138410683 \h </w:instrText>
        </w:r>
        <w:r w:rsidR="00C207CC">
          <w:rPr>
            <w:webHidden/>
          </w:rPr>
        </w:r>
        <w:r w:rsidR="00C207CC">
          <w:rPr>
            <w:webHidden/>
          </w:rPr>
          <w:fldChar w:fldCharType="separate"/>
        </w:r>
        <w:r w:rsidR="00012465">
          <w:rPr>
            <w:webHidden/>
          </w:rPr>
          <w:t>18</w:t>
        </w:r>
        <w:r w:rsidR="00C207CC">
          <w:rPr>
            <w:webHidden/>
          </w:rPr>
          <w:fldChar w:fldCharType="end"/>
        </w:r>
      </w:hyperlink>
    </w:p>
    <w:p w14:paraId="1D94B415" w14:textId="2CD6D6CC"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84" w:history="1">
        <w:r w:rsidR="00C207CC" w:rsidRPr="000D2A33">
          <w:rPr>
            <w:rStyle w:val="Hyperlink"/>
            <w:iCs/>
          </w:rPr>
          <w:t>(c)</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Admissibility of expert evidence</w:t>
        </w:r>
        <w:r w:rsidR="00C207CC">
          <w:rPr>
            <w:webHidden/>
          </w:rPr>
          <w:tab/>
        </w:r>
        <w:r w:rsidR="00C207CC">
          <w:rPr>
            <w:webHidden/>
          </w:rPr>
          <w:fldChar w:fldCharType="begin"/>
        </w:r>
        <w:r w:rsidR="00C207CC">
          <w:rPr>
            <w:webHidden/>
          </w:rPr>
          <w:instrText xml:space="preserve"> PAGEREF _Toc138410684 \h </w:instrText>
        </w:r>
        <w:r w:rsidR="00C207CC">
          <w:rPr>
            <w:webHidden/>
          </w:rPr>
        </w:r>
        <w:r w:rsidR="00C207CC">
          <w:rPr>
            <w:webHidden/>
          </w:rPr>
          <w:fldChar w:fldCharType="separate"/>
        </w:r>
        <w:r w:rsidR="00012465">
          <w:rPr>
            <w:webHidden/>
          </w:rPr>
          <w:t>19</w:t>
        </w:r>
        <w:r w:rsidR="00C207CC">
          <w:rPr>
            <w:webHidden/>
          </w:rPr>
          <w:fldChar w:fldCharType="end"/>
        </w:r>
      </w:hyperlink>
    </w:p>
    <w:p w14:paraId="6CCD5574" w14:textId="62A56D91"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85" w:history="1">
        <w:r w:rsidR="00C207CC" w:rsidRPr="000D2A33">
          <w:rPr>
            <w:rStyle w:val="Hyperlink"/>
            <w:iCs/>
          </w:rPr>
          <w:t>(d)</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Making an extended supervision order</w:t>
        </w:r>
        <w:r w:rsidR="00C207CC">
          <w:rPr>
            <w:webHidden/>
          </w:rPr>
          <w:tab/>
        </w:r>
        <w:r w:rsidR="00C207CC">
          <w:rPr>
            <w:webHidden/>
          </w:rPr>
          <w:fldChar w:fldCharType="begin"/>
        </w:r>
        <w:r w:rsidR="00C207CC">
          <w:rPr>
            <w:webHidden/>
          </w:rPr>
          <w:instrText xml:space="preserve"> PAGEREF _Toc138410685 \h </w:instrText>
        </w:r>
        <w:r w:rsidR="00C207CC">
          <w:rPr>
            <w:webHidden/>
          </w:rPr>
        </w:r>
        <w:r w:rsidR="00C207CC">
          <w:rPr>
            <w:webHidden/>
          </w:rPr>
          <w:fldChar w:fldCharType="separate"/>
        </w:r>
        <w:r w:rsidR="00012465">
          <w:rPr>
            <w:webHidden/>
          </w:rPr>
          <w:t>20</w:t>
        </w:r>
        <w:r w:rsidR="00C207CC">
          <w:rPr>
            <w:webHidden/>
          </w:rPr>
          <w:fldChar w:fldCharType="end"/>
        </w:r>
      </w:hyperlink>
    </w:p>
    <w:p w14:paraId="1C543C74" w14:textId="014BCF65" w:rsidR="00C207CC" w:rsidRDefault="00000000">
      <w:pPr>
        <w:pStyle w:val="TOC1"/>
        <w:rPr>
          <w:rFonts w:asciiTheme="minorHAnsi" w:eastAsiaTheme="minorEastAsia" w:hAnsiTheme="minorHAnsi" w:cstheme="minorBidi"/>
          <w:b w:val="0"/>
          <w:kern w:val="2"/>
          <w:sz w:val="22"/>
          <w:szCs w:val="22"/>
          <w14:ligatures w14:val="standardContextual"/>
        </w:rPr>
      </w:pPr>
      <w:hyperlink w:anchor="_Toc138410686" w:history="1">
        <w:r w:rsidR="00C207CC" w:rsidRPr="000D2A33">
          <w:rPr>
            <w:rStyle w:val="Hyperlink"/>
          </w:rPr>
          <w:t>6</w:t>
        </w:r>
        <w:r w:rsidR="00C207CC">
          <w:rPr>
            <w:rFonts w:asciiTheme="minorHAnsi" w:eastAsiaTheme="minorEastAsia" w:hAnsiTheme="minorHAnsi" w:cstheme="minorBidi"/>
            <w:b w:val="0"/>
            <w:kern w:val="2"/>
            <w:sz w:val="22"/>
            <w:szCs w:val="22"/>
            <w14:ligatures w14:val="standardContextual"/>
          </w:rPr>
          <w:tab/>
        </w:r>
        <w:r w:rsidR="00C207CC" w:rsidRPr="000D2A33">
          <w:rPr>
            <w:rStyle w:val="Hyperlink"/>
          </w:rPr>
          <w:t>Establishment of oversight bodies</w:t>
        </w:r>
        <w:r w:rsidR="00C207CC">
          <w:rPr>
            <w:webHidden/>
          </w:rPr>
          <w:tab/>
        </w:r>
        <w:r w:rsidR="00C207CC">
          <w:rPr>
            <w:webHidden/>
          </w:rPr>
          <w:fldChar w:fldCharType="begin"/>
        </w:r>
        <w:r w:rsidR="00C207CC">
          <w:rPr>
            <w:webHidden/>
          </w:rPr>
          <w:instrText xml:space="preserve"> PAGEREF _Toc138410686 \h </w:instrText>
        </w:r>
        <w:r w:rsidR="00C207CC">
          <w:rPr>
            <w:webHidden/>
          </w:rPr>
        </w:r>
        <w:r w:rsidR="00C207CC">
          <w:rPr>
            <w:webHidden/>
          </w:rPr>
          <w:fldChar w:fldCharType="separate"/>
        </w:r>
        <w:r w:rsidR="00012465">
          <w:rPr>
            <w:webHidden/>
          </w:rPr>
          <w:t>22</w:t>
        </w:r>
        <w:r w:rsidR="00C207CC">
          <w:rPr>
            <w:webHidden/>
          </w:rPr>
          <w:fldChar w:fldCharType="end"/>
        </w:r>
      </w:hyperlink>
    </w:p>
    <w:p w14:paraId="669FE49D" w14:textId="050CF420"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87" w:history="1">
        <w:r w:rsidR="00C207CC" w:rsidRPr="000D2A33">
          <w:rPr>
            <w:rStyle w:val="Hyperlink"/>
            <w:iCs/>
          </w:rPr>
          <w:t>(a)</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Establishment of an ESO Authority</w:t>
        </w:r>
        <w:r w:rsidR="00C207CC">
          <w:rPr>
            <w:webHidden/>
          </w:rPr>
          <w:tab/>
        </w:r>
        <w:r w:rsidR="00C207CC">
          <w:rPr>
            <w:webHidden/>
          </w:rPr>
          <w:fldChar w:fldCharType="begin"/>
        </w:r>
        <w:r w:rsidR="00C207CC">
          <w:rPr>
            <w:webHidden/>
          </w:rPr>
          <w:instrText xml:space="preserve"> PAGEREF _Toc138410687 \h </w:instrText>
        </w:r>
        <w:r w:rsidR="00C207CC">
          <w:rPr>
            <w:webHidden/>
          </w:rPr>
        </w:r>
        <w:r w:rsidR="00C207CC">
          <w:rPr>
            <w:webHidden/>
          </w:rPr>
          <w:fldChar w:fldCharType="separate"/>
        </w:r>
        <w:r w:rsidR="00012465">
          <w:rPr>
            <w:webHidden/>
          </w:rPr>
          <w:t>22</w:t>
        </w:r>
        <w:r w:rsidR="00C207CC">
          <w:rPr>
            <w:webHidden/>
          </w:rPr>
          <w:fldChar w:fldCharType="end"/>
        </w:r>
      </w:hyperlink>
    </w:p>
    <w:p w14:paraId="1F1236E6" w14:textId="19E0AD4A" w:rsidR="00C207CC" w:rsidRDefault="00000000">
      <w:pPr>
        <w:pStyle w:val="TOC3"/>
        <w:rPr>
          <w:rFonts w:asciiTheme="minorHAnsi" w:eastAsiaTheme="minorEastAsia" w:hAnsiTheme="minorHAnsi" w:cstheme="minorBidi"/>
          <w:i w:val="0"/>
          <w:kern w:val="2"/>
          <w:sz w:val="22"/>
          <w:szCs w:val="22"/>
          <w14:ligatures w14:val="standardContextual"/>
        </w:rPr>
      </w:pPr>
      <w:hyperlink w:anchor="_Toc138410688" w:history="1">
        <w:r w:rsidR="00C207CC" w:rsidRPr="000D2A33">
          <w:rPr>
            <w:rStyle w:val="Hyperlink"/>
            <w:iCs/>
          </w:rPr>
          <w:t>(b)</w:t>
        </w:r>
        <w:r w:rsidR="00C207CC">
          <w:rPr>
            <w:rFonts w:asciiTheme="minorHAnsi" w:eastAsiaTheme="minorEastAsia" w:hAnsiTheme="minorHAnsi" w:cstheme="minorBidi"/>
            <w:i w:val="0"/>
            <w:kern w:val="2"/>
            <w:sz w:val="22"/>
            <w:szCs w:val="22"/>
            <w14:ligatures w14:val="standardContextual"/>
          </w:rPr>
          <w:tab/>
        </w:r>
        <w:r w:rsidR="00C207CC" w:rsidRPr="000D2A33">
          <w:rPr>
            <w:rStyle w:val="Hyperlink"/>
            <w:iCs/>
          </w:rPr>
          <w:t>Establishment of a risk management body</w:t>
        </w:r>
        <w:r w:rsidR="00C207CC">
          <w:rPr>
            <w:webHidden/>
          </w:rPr>
          <w:tab/>
        </w:r>
        <w:r w:rsidR="00C207CC">
          <w:rPr>
            <w:webHidden/>
          </w:rPr>
          <w:fldChar w:fldCharType="begin"/>
        </w:r>
        <w:r w:rsidR="00C207CC">
          <w:rPr>
            <w:webHidden/>
          </w:rPr>
          <w:instrText xml:space="preserve"> PAGEREF _Toc138410688 \h </w:instrText>
        </w:r>
        <w:r w:rsidR="00C207CC">
          <w:rPr>
            <w:webHidden/>
          </w:rPr>
        </w:r>
        <w:r w:rsidR="00C207CC">
          <w:rPr>
            <w:webHidden/>
          </w:rPr>
          <w:fldChar w:fldCharType="separate"/>
        </w:r>
        <w:r w:rsidR="00012465">
          <w:rPr>
            <w:webHidden/>
          </w:rPr>
          <w:t>23</w:t>
        </w:r>
        <w:r w:rsidR="00C207CC">
          <w:rPr>
            <w:webHidden/>
          </w:rPr>
          <w:fldChar w:fldCharType="end"/>
        </w:r>
      </w:hyperlink>
    </w:p>
    <w:p w14:paraId="5996EC9C" w14:textId="18D0E38F" w:rsidR="00C86324" w:rsidRDefault="000E4837">
      <w:pPr>
        <w:spacing w:before="0" w:after="0"/>
        <w:rPr>
          <w:b/>
          <w:noProof/>
        </w:rPr>
      </w:pPr>
      <w:r>
        <w:rPr>
          <w:b/>
          <w:noProof/>
        </w:rPr>
        <w:fldChar w:fldCharType="end"/>
      </w:r>
      <w:r w:rsidR="00C86324">
        <w:br w:type="page"/>
      </w:r>
    </w:p>
    <w:p w14:paraId="0E0013A9" w14:textId="77777777" w:rsidR="00510390" w:rsidRDefault="009F2764" w:rsidP="00A27ABE">
      <w:pPr>
        <w:pStyle w:val="Heading1"/>
      </w:pPr>
      <w:bookmarkStart w:id="2" w:name="_Toc207761830"/>
      <w:bookmarkStart w:id="3" w:name="_Toc209578266"/>
      <w:bookmarkStart w:id="4" w:name="_Toc209941766"/>
      <w:bookmarkStart w:id="5" w:name="_Toc525894098"/>
      <w:bookmarkStart w:id="6" w:name="_Toc138410673"/>
      <w:r w:rsidRPr="009E08D1">
        <w:lastRenderedPageBreak/>
        <w:t>Introduction</w:t>
      </w:r>
      <w:bookmarkEnd w:id="2"/>
      <w:bookmarkEnd w:id="3"/>
      <w:bookmarkEnd w:id="4"/>
      <w:bookmarkEnd w:id="5"/>
      <w:bookmarkEnd w:id="6"/>
    </w:p>
    <w:p w14:paraId="16607738" w14:textId="5F697E22" w:rsidR="00B75646" w:rsidRDefault="00B75646" w:rsidP="00B75646">
      <w:pPr>
        <w:pStyle w:val="ListNumber"/>
      </w:pPr>
      <w:bookmarkStart w:id="7" w:name="_Toc525894099"/>
      <w:r>
        <w:t xml:space="preserve">The Australian Human Rights Commission </w:t>
      </w:r>
      <w:r w:rsidR="007E597A">
        <w:t xml:space="preserve">(Commission) </w:t>
      </w:r>
      <w:r>
        <w:t xml:space="preserve">makes this submission to the </w:t>
      </w:r>
      <w:r w:rsidR="00FA6DB1">
        <w:t xml:space="preserve">Parliamentary Joint Committee on Intelligence and Security </w:t>
      </w:r>
      <w:r w:rsidR="00ED7560">
        <w:t xml:space="preserve">(PJCIS) </w:t>
      </w:r>
      <w:r w:rsidR="00A14D8F">
        <w:t xml:space="preserve">in relation to its </w:t>
      </w:r>
      <w:r w:rsidR="00B8277D">
        <w:t xml:space="preserve">review into the operation, </w:t>
      </w:r>
      <w:proofErr w:type="gramStart"/>
      <w:r w:rsidR="00B8277D">
        <w:t>effectiveness</w:t>
      </w:r>
      <w:proofErr w:type="gramEnd"/>
      <w:r w:rsidR="00B8277D">
        <w:t xml:space="preserve"> </w:t>
      </w:r>
      <w:r w:rsidR="00780031">
        <w:t xml:space="preserve">and implications of </w:t>
      </w:r>
      <w:r w:rsidR="00A14D8F">
        <w:t>Division 105A of the Criminal Code.</w:t>
      </w:r>
      <w:r w:rsidR="00B324FE">
        <w:t xml:space="preserve"> </w:t>
      </w:r>
      <w:r w:rsidR="00780031">
        <w:t xml:space="preserve"> This is a statutory review </w:t>
      </w:r>
      <w:r w:rsidR="00A86507">
        <w:t xml:space="preserve">which </w:t>
      </w:r>
      <w:r w:rsidR="00780031">
        <w:t>s 29</w:t>
      </w:r>
      <w:r w:rsidR="00C869BF">
        <w:t>(</w:t>
      </w:r>
      <w:proofErr w:type="gramStart"/>
      <w:r w:rsidR="00C869BF">
        <w:t>1)</w:t>
      </w:r>
      <w:r w:rsidR="00780031">
        <w:t>(</w:t>
      </w:r>
      <w:proofErr w:type="spellStart"/>
      <w:proofErr w:type="gramEnd"/>
      <w:r w:rsidR="00780031">
        <w:t>bbaaa</w:t>
      </w:r>
      <w:proofErr w:type="spellEnd"/>
      <w:r w:rsidR="00780031">
        <w:t xml:space="preserve">) of the </w:t>
      </w:r>
      <w:r w:rsidR="00780031" w:rsidRPr="00780031">
        <w:rPr>
          <w:i/>
          <w:iCs/>
        </w:rPr>
        <w:t>Intelligence Services Act 2001</w:t>
      </w:r>
      <w:r w:rsidR="00780031">
        <w:t xml:space="preserve"> (</w:t>
      </w:r>
      <w:proofErr w:type="spellStart"/>
      <w:r w:rsidR="00780031">
        <w:t>Cth</w:t>
      </w:r>
      <w:proofErr w:type="spellEnd"/>
      <w:r w:rsidR="00780031">
        <w:t>)</w:t>
      </w:r>
      <w:r w:rsidR="00D246F2">
        <w:t xml:space="preserve"> </w:t>
      </w:r>
      <w:r w:rsidR="00A86507">
        <w:t xml:space="preserve">requires the PJCIS to conduct within 12 months of </w:t>
      </w:r>
      <w:r w:rsidR="00D246F2">
        <w:t xml:space="preserve">the </w:t>
      </w:r>
      <w:r w:rsidR="00102073">
        <w:t xml:space="preserve">completion of the </w:t>
      </w:r>
      <w:r w:rsidR="00800E57">
        <w:t>latest</w:t>
      </w:r>
      <w:r w:rsidR="001C56F9">
        <w:t xml:space="preserve"> review into Div 105A conducted by the Independent National Security Legislation Monitor (INSLM)</w:t>
      </w:r>
      <w:r w:rsidR="00780031">
        <w:t>.</w:t>
      </w:r>
      <w:r w:rsidR="001C56F9">
        <w:t xml:space="preserve">  The report </w:t>
      </w:r>
      <w:r w:rsidR="00303BC0">
        <w:t xml:space="preserve">of the review by </w:t>
      </w:r>
      <w:r w:rsidR="000337D0">
        <w:t>the INSLM</w:t>
      </w:r>
      <w:r w:rsidR="004D6D5C">
        <w:t>, Mr Grant Donaldson SC,</w:t>
      </w:r>
      <w:r w:rsidR="000337D0">
        <w:t xml:space="preserve"> was </w:t>
      </w:r>
      <w:r w:rsidR="00E86E5B">
        <w:t xml:space="preserve">completed on 3 March 2023 and was </w:t>
      </w:r>
      <w:r w:rsidR="004B5182">
        <w:t>tabled in Parliament on 30 March 2023</w:t>
      </w:r>
      <w:r w:rsidR="00794FC6">
        <w:t xml:space="preserve"> (INSLM Report)</w:t>
      </w:r>
      <w:r w:rsidR="004B5182">
        <w:t>.</w:t>
      </w:r>
    </w:p>
    <w:p w14:paraId="7FE3DB86" w14:textId="77777777" w:rsidR="006F6AA4" w:rsidRDefault="00B324FE" w:rsidP="00B75646">
      <w:pPr>
        <w:pStyle w:val="ListNumber"/>
      </w:pPr>
      <w:r>
        <w:t xml:space="preserve">Division 105A deals with </w:t>
      </w:r>
      <w:r w:rsidR="00115175">
        <w:t xml:space="preserve">the imposition of </w:t>
      </w:r>
      <w:r>
        <w:t xml:space="preserve">post-sentence orders </w:t>
      </w:r>
      <w:r w:rsidR="006C3871">
        <w:t xml:space="preserve">(PSOs) </w:t>
      </w:r>
      <w:r w:rsidR="00115175">
        <w:t xml:space="preserve">on terrorist offenders.  These orders may be either continuing detention orders (CDOs) or extended supervision orders (ESOs).  </w:t>
      </w:r>
    </w:p>
    <w:p w14:paraId="7B4EF906" w14:textId="5F393ECA" w:rsidR="006B46CD" w:rsidRDefault="006F6AA4" w:rsidP="00B75646">
      <w:pPr>
        <w:pStyle w:val="ListNumber"/>
      </w:pPr>
      <w:r>
        <w:t xml:space="preserve">The Commission </w:t>
      </w:r>
      <w:r w:rsidR="008B411B">
        <w:t>has made submissions to every major review of Div</w:t>
      </w:r>
      <w:r w:rsidR="000930BE">
        <w:t> </w:t>
      </w:r>
      <w:r w:rsidR="008B411B">
        <w:t>105A since it was inserted into the Criminal Code in 2016</w:t>
      </w:r>
      <w:r w:rsidR="00771BAC">
        <w:t xml:space="preserve">.  Most recently, the Commission </w:t>
      </w:r>
      <w:r>
        <w:t>made a detailed submission to the INSLM as part of his statutory review</w:t>
      </w:r>
      <w:r w:rsidR="008B411B">
        <w:t>.</w:t>
      </w:r>
      <w:r w:rsidR="00771BAC">
        <w:rPr>
          <w:rStyle w:val="EndnoteReference"/>
        </w:rPr>
        <w:endnoteReference w:id="2"/>
      </w:r>
      <w:r w:rsidR="008B411B">
        <w:t xml:space="preserve">  That submission drew </w:t>
      </w:r>
      <w:r w:rsidR="00B324FE">
        <w:t xml:space="preserve">on previous </w:t>
      </w:r>
      <w:r w:rsidR="004F62B2">
        <w:t>work</w:t>
      </w:r>
      <w:r w:rsidR="000B4DC6">
        <w:t xml:space="preserve"> </w:t>
      </w:r>
      <w:r w:rsidR="00B324FE">
        <w:t xml:space="preserve">of the </w:t>
      </w:r>
      <w:r w:rsidR="00115175">
        <w:t>Commission</w:t>
      </w:r>
      <w:r w:rsidR="000B4DC6">
        <w:t xml:space="preserve">, including the following: </w:t>
      </w:r>
    </w:p>
    <w:p w14:paraId="2F82B0C3" w14:textId="7BB5EE00" w:rsidR="001773F2" w:rsidRDefault="001773F2" w:rsidP="00F0305D">
      <w:pPr>
        <w:pStyle w:val="ListNumber"/>
        <w:numPr>
          <w:ilvl w:val="0"/>
          <w:numId w:val="19"/>
        </w:numPr>
      </w:pPr>
      <w:r>
        <w:t>a submission to the PJCIS in relation to the Criminal Code Amendment (High Risk Terrorist Offenders) Bill 2016</w:t>
      </w:r>
      <w:r w:rsidR="007D35B6">
        <w:t xml:space="preserve"> (</w:t>
      </w:r>
      <w:proofErr w:type="spellStart"/>
      <w:r w:rsidR="007D35B6">
        <w:t>Cth</w:t>
      </w:r>
      <w:proofErr w:type="spellEnd"/>
      <w:r w:rsidR="007D35B6">
        <w:t>)</w:t>
      </w:r>
      <w:r w:rsidR="00DE1F0D">
        <w:t>, which introduced Div 105A and CDOs</w:t>
      </w:r>
      <w:r w:rsidR="00DE1F0D">
        <w:rPr>
          <w:rStyle w:val="EndnoteReference"/>
        </w:rPr>
        <w:endnoteReference w:id="3"/>
      </w:r>
    </w:p>
    <w:p w14:paraId="7CFF7B50" w14:textId="4ED7F827" w:rsidR="00247F5B" w:rsidRDefault="00247F5B" w:rsidP="00F0305D">
      <w:pPr>
        <w:pStyle w:val="ListNumber"/>
        <w:numPr>
          <w:ilvl w:val="0"/>
          <w:numId w:val="19"/>
        </w:numPr>
      </w:pPr>
      <w:r>
        <w:t>a submission to the INSLM</w:t>
      </w:r>
      <w:r w:rsidR="00A24FDD">
        <w:t xml:space="preserve"> in relation to its 2017 statutory deadline reviews, which considered </w:t>
      </w:r>
      <w:r w:rsidR="009969F7">
        <w:t xml:space="preserve">(in section 8.3) </w:t>
      </w:r>
      <w:r w:rsidR="00A24FDD">
        <w:t>the interaction between the control order regime and Div 105A</w:t>
      </w:r>
      <w:r w:rsidR="00A24FDD">
        <w:rPr>
          <w:rStyle w:val="EndnoteReference"/>
        </w:rPr>
        <w:endnoteReference w:id="4"/>
      </w:r>
    </w:p>
    <w:p w14:paraId="5839F749" w14:textId="051A9933" w:rsidR="000B4DC6" w:rsidRDefault="000B4DC6" w:rsidP="00F0305D">
      <w:pPr>
        <w:pStyle w:val="ListNumber"/>
        <w:numPr>
          <w:ilvl w:val="0"/>
          <w:numId w:val="19"/>
        </w:numPr>
      </w:pPr>
      <w:r>
        <w:t xml:space="preserve">a submission to the </w:t>
      </w:r>
      <w:r w:rsidR="00240123">
        <w:t xml:space="preserve">PJCIS in relation to its comprehensive review of </w:t>
      </w:r>
      <w:r w:rsidR="00657AA8">
        <w:t xml:space="preserve">Commonwealth </w:t>
      </w:r>
      <w:r w:rsidR="00240123">
        <w:t>counter-terrorism powers</w:t>
      </w:r>
      <w:r w:rsidR="007D35B6">
        <w:t>, including Div 105A</w:t>
      </w:r>
      <w:r w:rsidR="00C218F7">
        <w:rPr>
          <w:rStyle w:val="EndnoteReference"/>
        </w:rPr>
        <w:endnoteReference w:id="5"/>
      </w:r>
    </w:p>
    <w:p w14:paraId="7F250194" w14:textId="68463504" w:rsidR="00C218F7" w:rsidRDefault="007D35B6" w:rsidP="00F0305D">
      <w:pPr>
        <w:pStyle w:val="ListNumber"/>
        <w:numPr>
          <w:ilvl w:val="0"/>
          <w:numId w:val="19"/>
        </w:numPr>
      </w:pPr>
      <w:r>
        <w:t xml:space="preserve">a submission to the PJCIS in relation to </w:t>
      </w:r>
      <w:r w:rsidR="004C0E16">
        <w:t xml:space="preserve">the Counter-Terrorism Legislation Amendment </w:t>
      </w:r>
      <w:r w:rsidR="00A33D80">
        <w:t>(High Risk Terrorist Offenders) Bill 2020 (</w:t>
      </w:r>
      <w:proofErr w:type="spellStart"/>
      <w:r w:rsidR="00A33D80">
        <w:t>Cth</w:t>
      </w:r>
      <w:proofErr w:type="spellEnd"/>
      <w:r w:rsidR="00A33D80">
        <w:t>), which introduced ESOs.</w:t>
      </w:r>
      <w:r w:rsidR="00A33D80">
        <w:rPr>
          <w:rStyle w:val="EndnoteReference"/>
        </w:rPr>
        <w:endnoteReference w:id="6"/>
      </w:r>
    </w:p>
    <w:p w14:paraId="40615271" w14:textId="0D1B8EAB" w:rsidR="00007AD6" w:rsidRDefault="00CF5FB5" w:rsidP="00D2509F">
      <w:pPr>
        <w:pStyle w:val="ListNumber"/>
      </w:pPr>
      <w:r>
        <w:t xml:space="preserve">The PJCIS has indicated that </w:t>
      </w:r>
      <w:r w:rsidR="00C43FA9">
        <w:t xml:space="preserve">while submissions should be prepared solely for the current review, they may refer to </w:t>
      </w:r>
      <w:r w:rsidR="00914F25">
        <w:t xml:space="preserve">submissions made to the INSLM’s review, or other reviews.  The Commission gratefully adopts that approach.  This submission deals with </w:t>
      </w:r>
      <w:proofErr w:type="gramStart"/>
      <w:r w:rsidR="00914F25">
        <w:t>a number of</w:t>
      </w:r>
      <w:proofErr w:type="gramEnd"/>
      <w:r w:rsidR="00914F25">
        <w:t xml:space="preserve"> important matters arising directly from the INSLM </w:t>
      </w:r>
      <w:r w:rsidR="00AD1B2E">
        <w:t>R</w:t>
      </w:r>
      <w:r w:rsidR="006755FD">
        <w:t>eport</w:t>
      </w:r>
      <w:r w:rsidR="00DA3623">
        <w:t xml:space="preserve">.  It also refers </w:t>
      </w:r>
      <w:r w:rsidR="008B09A0">
        <w:lastRenderedPageBreak/>
        <w:t>to</w:t>
      </w:r>
      <w:r w:rsidR="00DA3623">
        <w:t xml:space="preserve"> </w:t>
      </w:r>
      <w:r w:rsidR="00EA65E1">
        <w:t xml:space="preserve">the recent </w:t>
      </w:r>
      <w:r w:rsidR="00DA3623">
        <w:t xml:space="preserve">submissions to the INSLM and </w:t>
      </w:r>
      <w:r w:rsidR="00EA65E1">
        <w:t xml:space="preserve">the </w:t>
      </w:r>
      <w:r w:rsidR="009154CC">
        <w:t xml:space="preserve">previous submissions </w:t>
      </w:r>
      <w:r w:rsidR="00EA65E1">
        <w:t xml:space="preserve">referred to above </w:t>
      </w:r>
      <w:r w:rsidR="00DA3623">
        <w:t>without reproducing those submissions in full again.</w:t>
      </w:r>
      <w:r w:rsidR="006755FD">
        <w:t xml:space="preserve"> </w:t>
      </w:r>
    </w:p>
    <w:p w14:paraId="33FEFEF4" w14:textId="7CA16182" w:rsidR="009F2764" w:rsidRDefault="003423F4" w:rsidP="009E08D1">
      <w:pPr>
        <w:pStyle w:val="Heading1"/>
      </w:pPr>
      <w:bookmarkStart w:id="8" w:name="_Toc138410674"/>
      <w:r>
        <w:t>Summary</w:t>
      </w:r>
      <w:bookmarkEnd w:id="7"/>
      <w:bookmarkEnd w:id="8"/>
    </w:p>
    <w:p w14:paraId="737813D5" w14:textId="2BC90E79" w:rsidR="00A31B13" w:rsidRDefault="00233BEC" w:rsidP="00B75646">
      <w:pPr>
        <w:pStyle w:val="ListNumber"/>
      </w:pPr>
      <w:r>
        <w:t xml:space="preserve">The INSLM Report tabled on 30 March 2023 contained </w:t>
      </w:r>
      <w:r w:rsidR="00240A82">
        <w:t xml:space="preserve">shocking revelations about the inadequacy of </w:t>
      </w:r>
      <w:r w:rsidR="001C0E1D">
        <w:t xml:space="preserve">the processes used to assess </w:t>
      </w:r>
      <w:r w:rsidR="00742A20">
        <w:t xml:space="preserve">a person’s future risk, for the purposes of </w:t>
      </w:r>
      <w:r w:rsidR="00081E07">
        <w:t xml:space="preserve">determining whether to impose a continuing detention order on them. </w:t>
      </w:r>
    </w:p>
    <w:p w14:paraId="5E560FA2" w14:textId="03E7BD1B" w:rsidR="00742A20" w:rsidRDefault="002A790D" w:rsidP="00B75646">
      <w:pPr>
        <w:pStyle w:val="ListNumber"/>
      </w:pPr>
      <w:r>
        <w:t xml:space="preserve">The </w:t>
      </w:r>
      <w:r w:rsidR="005B545C">
        <w:t xml:space="preserve">CDO </w:t>
      </w:r>
      <w:r>
        <w:t xml:space="preserve">regime was </w:t>
      </w:r>
      <w:r w:rsidR="004E09B0">
        <w:t>legislated</w:t>
      </w:r>
      <w:r>
        <w:t xml:space="preserve"> in 2016 without a valid means of assessing relevant risks, but with assurances </w:t>
      </w:r>
      <w:r w:rsidR="004E09B0">
        <w:t xml:space="preserve">provided to the PJCIS </w:t>
      </w:r>
      <w:r>
        <w:t xml:space="preserve">that </w:t>
      </w:r>
      <w:r w:rsidR="0074523D">
        <w:t xml:space="preserve">a </w:t>
      </w:r>
      <w:r w:rsidR="0059787F">
        <w:t xml:space="preserve">sufficiently robust risk assessment process would be developed.  Unfortunately, that </w:t>
      </w:r>
      <w:r w:rsidR="004E09B0">
        <w:t>has not come to pass.</w:t>
      </w:r>
    </w:p>
    <w:p w14:paraId="28286648" w14:textId="5D961582" w:rsidR="008A033E" w:rsidRDefault="00466F45" w:rsidP="00B75646">
      <w:pPr>
        <w:pStyle w:val="ListNumber"/>
      </w:pPr>
      <w:r>
        <w:t xml:space="preserve">In May 2020, the Department of Home Affairs </w:t>
      </w:r>
      <w:r w:rsidR="00C13663">
        <w:t xml:space="preserve">(Home Affairs) </w:t>
      </w:r>
      <w:r>
        <w:t xml:space="preserve">was provided with a report by Dr Emily Corner and Dr Helen Taylor </w:t>
      </w:r>
      <w:r w:rsidR="00FD15EA">
        <w:t xml:space="preserve">(Corner Report) </w:t>
      </w:r>
      <w:r>
        <w:t xml:space="preserve">that cast serious doubt on the reliability, </w:t>
      </w:r>
      <w:proofErr w:type="gramStart"/>
      <w:r>
        <w:t>validity</w:t>
      </w:r>
      <w:proofErr w:type="gramEnd"/>
      <w:r>
        <w:t xml:space="preserve"> and equity of VERA-2R</w:t>
      </w:r>
      <w:r w:rsidR="00BB5098">
        <w:t xml:space="preserve"> –</w:t>
      </w:r>
      <w:r w:rsidR="003201C7">
        <w:t xml:space="preserve"> </w:t>
      </w:r>
      <w:r w:rsidR="00BB5098">
        <w:t xml:space="preserve">the </w:t>
      </w:r>
      <w:r w:rsidR="003201C7">
        <w:t xml:space="preserve">leading </w:t>
      </w:r>
      <w:r w:rsidR="00BB5098">
        <w:t>tool used for risk assessments under Div 105A of the Criminal Code.</w:t>
      </w:r>
      <w:r w:rsidR="00D55415">
        <w:t xml:space="preserve">  </w:t>
      </w:r>
      <w:r w:rsidR="008A033E">
        <w:t>The Corner Report concluded that VERA-2R lacks a strong theoretical and empirical foundation, has poor inter-rater reliability and questionable predictive validity.</w:t>
      </w:r>
    </w:p>
    <w:p w14:paraId="6676E115" w14:textId="77B6D876" w:rsidR="004E09B0" w:rsidRDefault="00905E88" w:rsidP="00B75646">
      <w:pPr>
        <w:pStyle w:val="ListNumber"/>
      </w:pPr>
      <w:r>
        <w:t xml:space="preserve">Despite </w:t>
      </w:r>
      <w:r w:rsidR="00FF3F61">
        <w:t xml:space="preserve">the </w:t>
      </w:r>
      <w:r w:rsidR="00192820">
        <w:t xml:space="preserve">strength and seriousness of these </w:t>
      </w:r>
      <w:r w:rsidR="00FF3F61">
        <w:t xml:space="preserve">findings, </w:t>
      </w:r>
      <w:r w:rsidR="00F66480">
        <w:t xml:space="preserve">VERA-2R was relied on </w:t>
      </w:r>
      <w:r w:rsidR="00192820">
        <w:t xml:space="preserve">by experts in </w:t>
      </w:r>
      <w:r w:rsidR="00F66480">
        <w:t>two subsequent CDO proceedings</w:t>
      </w:r>
      <w:r w:rsidR="00577846">
        <w:t>.  Further</w:t>
      </w:r>
      <w:r w:rsidR="00F66480">
        <w:t xml:space="preserve">, the Corner Report </w:t>
      </w:r>
      <w:r w:rsidR="00715D35">
        <w:t xml:space="preserve">remained secret </w:t>
      </w:r>
      <w:r w:rsidR="003548A7">
        <w:t xml:space="preserve">until </w:t>
      </w:r>
      <w:r w:rsidR="00024C88">
        <w:t xml:space="preserve">the fact of its existence and a summary of its findings </w:t>
      </w:r>
      <w:r w:rsidR="00F77D83">
        <w:t>were</w:t>
      </w:r>
      <w:r w:rsidR="00024C88">
        <w:t xml:space="preserve"> </w:t>
      </w:r>
      <w:r w:rsidR="003548A7">
        <w:t>disclosed by the INLSM</w:t>
      </w:r>
      <w:r w:rsidR="00EC3ED3">
        <w:t xml:space="preserve"> during his inquiry</w:t>
      </w:r>
      <w:r w:rsidR="00825E8D">
        <w:t xml:space="preserve">.  </w:t>
      </w:r>
      <w:r w:rsidR="006B05CD">
        <w:t xml:space="preserve">A copy </w:t>
      </w:r>
      <w:r w:rsidR="008D3E1B">
        <w:t xml:space="preserve">of the report </w:t>
      </w:r>
      <w:r w:rsidR="006B05CD">
        <w:t>was later released pursuant to FOI, with some redactions.</w:t>
      </w:r>
    </w:p>
    <w:p w14:paraId="1841DEE3" w14:textId="64360872" w:rsidR="00BB5098" w:rsidRDefault="005B545C" w:rsidP="00B75646">
      <w:pPr>
        <w:pStyle w:val="ListNumber"/>
      </w:pPr>
      <w:r>
        <w:t xml:space="preserve">The INSLM </w:t>
      </w:r>
      <w:r w:rsidR="00B14734">
        <w:t xml:space="preserve">concluded that the </w:t>
      </w:r>
      <w:r w:rsidR="00911CAC">
        <w:t>CDO</w:t>
      </w:r>
      <w:r w:rsidR="00B14734">
        <w:t xml:space="preserve"> regime </w:t>
      </w:r>
      <w:r w:rsidR="00306A49">
        <w:t xml:space="preserve">could no longer be </w:t>
      </w:r>
      <w:proofErr w:type="gramStart"/>
      <w:r w:rsidR="00306A49">
        <w:t>justified</w:t>
      </w:r>
      <w:proofErr w:type="gramEnd"/>
      <w:r w:rsidR="00306A49">
        <w:t xml:space="preserve"> </w:t>
      </w:r>
      <w:r w:rsidR="00B14734">
        <w:t>and</w:t>
      </w:r>
      <w:r w:rsidR="001D1351">
        <w:t xml:space="preserve"> his primary</w:t>
      </w:r>
      <w:r w:rsidR="00B14734">
        <w:t xml:space="preserve"> </w:t>
      </w:r>
      <w:r w:rsidR="000B3009">
        <w:t xml:space="preserve">recommendation </w:t>
      </w:r>
      <w:r w:rsidR="001D1351">
        <w:t xml:space="preserve">was </w:t>
      </w:r>
      <w:r w:rsidR="00911CAC">
        <w:t xml:space="preserve">that it </w:t>
      </w:r>
      <w:r w:rsidR="00B14734">
        <w:t>be repealed.  The Commission agrees with that recommendation.</w:t>
      </w:r>
      <w:r w:rsidR="00097846">
        <w:t xml:space="preserve">  </w:t>
      </w:r>
      <w:r w:rsidR="000B3009">
        <w:t>Section </w:t>
      </w:r>
      <w:r w:rsidR="00097846">
        <w:t>4 of this submission deals with that primary recommendation and the reasons for it in more detail.</w:t>
      </w:r>
    </w:p>
    <w:p w14:paraId="401DD7EB" w14:textId="12EAF0BE" w:rsidR="005D610B" w:rsidRDefault="00AB1B43" w:rsidP="00B75646">
      <w:pPr>
        <w:pStyle w:val="ListNumber"/>
      </w:pPr>
      <w:r>
        <w:t>In s</w:t>
      </w:r>
      <w:r w:rsidR="00097846">
        <w:t>ection 5 of</w:t>
      </w:r>
      <w:r w:rsidR="009E01D4">
        <w:t xml:space="preserve"> this submission</w:t>
      </w:r>
      <w:r>
        <w:t xml:space="preserve">, the Commission endorses </w:t>
      </w:r>
      <w:proofErr w:type="gramStart"/>
      <w:r w:rsidR="009E01D4">
        <w:t>a number of</w:t>
      </w:r>
      <w:proofErr w:type="gramEnd"/>
      <w:r w:rsidR="009E01D4">
        <w:t xml:space="preserve"> </w:t>
      </w:r>
      <w:r w:rsidR="005D610B">
        <w:t xml:space="preserve">other recommendations made by the INSLM dealing with </w:t>
      </w:r>
      <w:r w:rsidR="009E01D4">
        <w:t xml:space="preserve">amendments that should be made to the remaining regime for extended supervision orders. </w:t>
      </w:r>
      <w:r w:rsidR="00F05433">
        <w:t xml:space="preserve"> These recommendations </w:t>
      </w:r>
      <w:r w:rsidR="00E75FDC">
        <w:t xml:space="preserve">provide for a sharper focus on rehabilitation and reintegration; </w:t>
      </w:r>
      <w:r w:rsidR="006004DD">
        <w:t xml:space="preserve">the proper disclosure of </w:t>
      </w:r>
      <w:r w:rsidR="001832E6">
        <w:t>information that tends to suggest that an ESO should not be made</w:t>
      </w:r>
      <w:r w:rsidR="006004DD">
        <w:t xml:space="preserve">; </w:t>
      </w:r>
      <w:r w:rsidR="008C0558">
        <w:t xml:space="preserve">and </w:t>
      </w:r>
      <w:r w:rsidR="00A04D27">
        <w:t xml:space="preserve">ensuring </w:t>
      </w:r>
      <w:r w:rsidR="00A04D27">
        <w:lastRenderedPageBreak/>
        <w:t xml:space="preserve">that </w:t>
      </w:r>
      <w:r w:rsidR="00877C2A">
        <w:t>evidence about future risk is only considered by a Court if it is admissible</w:t>
      </w:r>
      <w:r w:rsidR="008C0558">
        <w:t xml:space="preserve">.  </w:t>
      </w:r>
    </w:p>
    <w:p w14:paraId="1EB4EDED" w14:textId="551A720C" w:rsidR="00097846" w:rsidRDefault="008C0558" w:rsidP="00B75646">
      <w:pPr>
        <w:pStyle w:val="ListNumber"/>
      </w:pPr>
      <w:r>
        <w:t xml:space="preserve">The Commission </w:t>
      </w:r>
      <w:r w:rsidR="005D610B">
        <w:t xml:space="preserve">reiterates its previous recommendation </w:t>
      </w:r>
      <w:r w:rsidR="00A207A3">
        <w:t xml:space="preserve">to both the PJCIS and the INSLM </w:t>
      </w:r>
      <w:r w:rsidR="005D610B">
        <w:t xml:space="preserve">that the threshold for making an ESO should </w:t>
      </w:r>
      <w:r w:rsidR="00FA36DC">
        <w:t xml:space="preserve">require a Court to be satisfied to a ‘high degree of probability’ </w:t>
      </w:r>
      <w:r w:rsidR="00EB6017">
        <w:t xml:space="preserve">that </w:t>
      </w:r>
      <w:r w:rsidR="00FA36DC">
        <w:t>the offender poses an unacceptable risk of committing</w:t>
      </w:r>
      <w:r w:rsidR="00EB6017">
        <w:t xml:space="preserve"> a relevant act.  This would bring the Commonwealth regime into line with the regimes in every equivalent State and Territory.</w:t>
      </w:r>
      <w:r w:rsidR="00A207A3">
        <w:t xml:space="preserve">  The Commission also reiterates </w:t>
      </w:r>
      <w:proofErr w:type="gramStart"/>
      <w:r w:rsidR="00A207A3">
        <w:t>a number of</w:t>
      </w:r>
      <w:proofErr w:type="gramEnd"/>
      <w:r w:rsidR="00A207A3">
        <w:t xml:space="preserve"> specific recommendations about the kinds of conditions that may be included </w:t>
      </w:r>
      <w:r w:rsidR="004F2566">
        <w:t>in an ESO.</w:t>
      </w:r>
    </w:p>
    <w:p w14:paraId="2840C667" w14:textId="6DBFD662" w:rsidR="00EB6017" w:rsidRDefault="004F2566" w:rsidP="00B75646">
      <w:pPr>
        <w:pStyle w:val="ListNumber"/>
      </w:pPr>
      <w:r>
        <w:t xml:space="preserve">Finally, in section 6 of this submission, the Commission makes recommendations to increase the oversight </w:t>
      </w:r>
      <w:r w:rsidR="005067DE">
        <w:t xml:space="preserve">of the ESO regime.  The Commission agrees that there should be an ESO </w:t>
      </w:r>
      <w:r w:rsidR="00280353">
        <w:t>A</w:t>
      </w:r>
      <w:r w:rsidR="005067DE">
        <w:t>uthority in the form recommended by the INSLM</w:t>
      </w:r>
      <w:r w:rsidR="00B3376C">
        <w:t xml:space="preserve">.  Among other things, the ESO </w:t>
      </w:r>
      <w:r w:rsidR="00280353">
        <w:t>A</w:t>
      </w:r>
      <w:r w:rsidR="00B3376C">
        <w:t xml:space="preserve">uthority would provide oversight of ‘specified authorities’ </w:t>
      </w:r>
      <w:r w:rsidR="008C137B">
        <w:t xml:space="preserve">who are given the power to monitor compliance with the terms of ESOs and </w:t>
      </w:r>
      <w:r w:rsidR="008A74F5">
        <w:t xml:space="preserve">to vary the </w:t>
      </w:r>
      <w:r w:rsidR="007152A8">
        <w:t>conditions attaching to</w:t>
      </w:r>
      <w:r w:rsidR="008A74F5">
        <w:t xml:space="preserve"> ESOs.</w:t>
      </w:r>
    </w:p>
    <w:p w14:paraId="16F3FF27" w14:textId="0CA5C7A1" w:rsidR="00B14734" w:rsidRDefault="005067DE" w:rsidP="00B75646">
      <w:pPr>
        <w:pStyle w:val="ListNumber"/>
      </w:pPr>
      <w:r>
        <w:t>The Commission also considers that there should be a</w:t>
      </w:r>
      <w:r w:rsidR="00435C28">
        <w:t>n independent</w:t>
      </w:r>
      <w:r>
        <w:t xml:space="preserve"> risk management </w:t>
      </w:r>
      <w:r w:rsidR="007C62E8">
        <w:t>body</w:t>
      </w:r>
      <w:r>
        <w:t xml:space="preserve"> </w:t>
      </w:r>
      <w:r w:rsidR="00435C28">
        <w:t xml:space="preserve">responsible for developing and validating </w:t>
      </w:r>
      <w:r w:rsidR="00BA3AA8">
        <w:t>new risk assessment tools and processes, and accrediting people in the use of those tools and processes.</w:t>
      </w:r>
    </w:p>
    <w:p w14:paraId="55F71740" w14:textId="0A679E0A" w:rsidR="007F3DA2" w:rsidRDefault="007F3DA2" w:rsidP="00B75646">
      <w:pPr>
        <w:pStyle w:val="ListNumber"/>
      </w:pPr>
      <w:r>
        <w:t xml:space="preserve">The findings in the INSLM report require a </w:t>
      </w:r>
      <w:r w:rsidR="006B2561">
        <w:t xml:space="preserve">substantial re-evaluation and amendment of the way in which Div 105A </w:t>
      </w:r>
      <w:r w:rsidR="00ED045E">
        <w:t xml:space="preserve">of the Criminal Code </w:t>
      </w:r>
      <w:r w:rsidR="006B2561">
        <w:t>has operated to date.</w:t>
      </w:r>
    </w:p>
    <w:p w14:paraId="7A247823" w14:textId="77777777" w:rsidR="006355A1" w:rsidRDefault="006355A1" w:rsidP="006355A1">
      <w:pPr>
        <w:pStyle w:val="Heading1"/>
      </w:pPr>
      <w:bookmarkStart w:id="9" w:name="_Toc138410675"/>
      <w:r>
        <w:t>Recommendations</w:t>
      </w:r>
      <w:bookmarkEnd w:id="9"/>
    </w:p>
    <w:p w14:paraId="6421C8AE" w14:textId="77777777" w:rsidR="006355A1" w:rsidRDefault="006355A1" w:rsidP="006355A1">
      <w:pPr>
        <w:pStyle w:val="ListNumber"/>
        <w:keepNext/>
      </w:pPr>
      <w:r>
        <w:t>The Commission makes the following recommendations.</w:t>
      </w:r>
    </w:p>
    <w:p w14:paraId="7F1C9FB0" w14:textId="77777777" w:rsidR="006355A1" w:rsidRPr="0030643F" w:rsidRDefault="006355A1" w:rsidP="006355A1">
      <w:pPr>
        <w:pStyle w:val="ListNumber"/>
        <w:keepNext/>
        <w:numPr>
          <w:ilvl w:val="0"/>
          <w:numId w:val="0"/>
        </w:numPr>
        <w:ind w:left="1094"/>
        <w:rPr>
          <w:b/>
          <w:bCs/>
        </w:rPr>
      </w:pPr>
      <w:r w:rsidRPr="0030643F">
        <w:rPr>
          <w:b/>
          <w:bCs/>
        </w:rPr>
        <w:t>Recommendation 1</w:t>
      </w:r>
    </w:p>
    <w:p w14:paraId="08271309" w14:textId="77777777" w:rsidR="006355A1" w:rsidRDefault="006355A1" w:rsidP="006355A1">
      <w:pPr>
        <w:pStyle w:val="ListNumber"/>
        <w:numPr>
          <w:ilvl w:val="0"/>
          <w:numId w:val="0"/>
        </w:numPr>
        <w:ind w:left="1094"/>
      </w:pPr>
      <w:r>
        <w:t>The Commission recommends that the continuing detention order regime in Div 105A of the Criminal Code be repealed, while retaining the extended supervision order regime.</w:t>
      </w:r>
    </w:p>
    <w:p w14:paraId="5E11E98E" w14:textId="77777777" w:rsidR="006355A1" w:rsidRPr="006468B3" w:rsidRDefault="006355A1" w:rsidP="006355A1">
      <w:pPr>
        <w:pStyle w:val="ListNumber"/>
        <w:keepNext/>
        <w:numPr>
          <w:ilvl w:val="0"/>
          <w:numId w:val="0"/>
        </w:numPr>
        <w:ind w:left="1094"/>
        <w:rPr>
          <w:b/>
          <w:bCs/>
        </w:rPr>
      </w:pPr>
      <w:r w:rsidRPr="006468B3">
        <w:rPr>
          <w:b/>
          <w:bCs/>
        </w:rPr>
        <w:t>Recommendation 2</w:t>
      </w:r>
    </w:p>
    <w:p w14:paraId="7039C9A5" w14:textId="3DBC16EA" w:rsidR="006355A1" w:rsidRDefault="006355A1" w:rsidP="006355A1">
      <w:pPr>
        <w:pStyle w:val="ListNumber"/>
        <w:numPr>
          <w:ilvl w:val="0"/>
          <w:numId w:val="0"/>
        </w:numPr>
        <w:ind w:left="1094"/>
      </w:pPr>
      <w:r>
        <w:t xml:space="preserve">The Commission recommends that the objects of Div 105A </w:t>
      </w:r>
      <w:r w:rsidR="00D80E1F">
        <w:t xml:space="preserve">of the Criminal Code </w:t>
      </w:r>
      <w:r>
        <w:t>be amended to include the rehabilitation and reintegration of the subjects of a post-sentence order back into the community.</w:t>
      </w:r>
    </w:p>
    <w:p w14:paraId="73F9AFB5" w14:textId="77777777" w:rsidR="006355A1" w:rsidRPr="00A711D9" w:rsidRDefault="006355A1" w:rsidP="006355A1">
      <w:pPr>
        <w:pStyle w:val="ListNumber"/>
        <w:keepNext/>
        <w:numPr>
          <w:ilvl w:val="0"/>
          <w:numId w:val="0"/>
        </w:numPr>
        <w:ind w:left="1094"/>
        <w:rPr>
          <w:b/>
          <w:bCs/>
        </w:rPr>
      </w:pPr>
      <w:r w:rsidRPr="00A711D9">
        <w:rPr>
          <w:b/>
          <w:bCs/>
        </w:rPr>
        <w:lastRenderedPageBreak/>
        <w:t>Recommendation 3</w:t>
      </w:r>
    </w:p>
    <w:p w14:paraId="4CD69AD4" w14:textId="77777777" w:rsidR="006355A1" w:rsidRDefault="006355A1" w:rsidP="006355A1">
      <w:pPr>
        <w:pStyle w:val="ListNumber"/>
        <w:numPr>
          <w:ilvl w:val="0"/>
          <w:numId w:val="0"/>
        </w:numPr>
        <w:ind w:left="1094"/>
      </w:pPr>
      <w:r>
        <w:t>The Commission endorses and repeats the 5 recommendations made by the INSLM at [390] of the INSLM Report dealing with the disclosure of information that tends to suggest that a post-sentence order should not be made.</w:t>
      </w:r>
    </w:p>
    <w:p w14:paraId="5FFE9C64" w14:textId="77777777" w:rsidR="006355A1" w:rsidRPr="00E84FE2" w:rsidRDefault="006355A1" w:rsidP="006355A1">
      <w:pPr>
        <w:pStyle w:val="ListNumber"/>
        <w:keepNext/>
        <w:numPr>
          <w:ilvl w:val="0"/>
          <w:numId w:val="0"/>
        </w:numPr>
        <w:ind w:left="1094"/>
        <w:rPr>
          <w:b/>
          <w:bCs/>
        </w:rPr>
      </w:pPr>
      <w:r w:rsidRPr="00E84FE2">
        <w:rPr>
          <w:b/>
          <w:bCs/>
        </w:rPr>
        <w:t>Recommendation 4</w:t>
      </w:r>
    </w:p>
    <w:p w14:paraId="45C29F50" w14:textId="77777777" w:rsidR="006355A1" w:rsidRDefault="006355A1" w:rsidP="006355A1">
      <w:pPr>
        <w:pStyle w:val="ListNumber"/>
        <w:numPr>
          <w:ilvl w:val="0"/>
          <w:numId w:val="0"/>
        </w:numPr>
        <w:ind w:left="1094"/>
      </w:pPr>
      <w:r>
        <w:t>The Commission recommends that Div 105A of the Criminal Code be amended to clarify that:</w:t>
      </w:r>
    </w:p>
    <w:p w14:paraId="5666AAFC" w14:textId="77777777" w:rsidR="006355A1" w:rsidRDefault="006355A1" w:rsidP="006355A1">
      <w:pPr>
        <w:pStyle w:val="ListNumber"/>
        <w:numPr>
          <w:ilvl w:val="0"/>
          <w:numId w:val="19"/>
        </w:numPr>
      </w:pPr>
      <w:r>
        <w:t xml:space="preserve">reports of relevant experts can only be admitted into evidence if admissible by the applicable laws of </w:t>
      </w:r>
      <w:proofErr w:type="gramStart"/>
      <w:r>
        <w:t>evidence</w:t>
      </w:r>
      <w:proofErr w:type="gramEnd"/>
    </w:p>
    <w:p w14:paraId="3BBA671B" w14:textId="77777777" w:rsidR="006355A1" w:rsidRDefault="006355A1" w:rsidP="006355A1">
      <w:pPr>
        <w:pStyle w:val="ListNumber"/>
        <w:numPr>
          <w:ilvl w:val="0"/>
          <w:numId w:val="19"/>
        </w:numPr>
      </w:pPr>
      <w:r>
        <w:t>the court is not required to have regard to any witness’s opinion evidence that is not admissible.</w:t>
      </w:r>
    </w:p>
    <w:p w14:paraId="79123D50" w14:textId="77777777" w:rsidR="006355A1" w:rsidRPr="00655A45" w:rsidRDefault="006355A1" w:rsidP="006355A1">
      <w:pPr>
        <w:pStyle w:val="ListNumber"/>
        <w:keepNext/>
        <w:numPr>
          <w:ilvl w:val="0"/>
          <w:numId w:val="0"/>
        </w:numPr>
        <w:ind w:left="1094"/>
        <w:rPr>
          <w:b/>
          <w:bCs/>
        </w:rPr>
      </w:pPr>
      <w:r w:rsidRPr="00655A45">
        <w:rPr>
          <w:b/>
          <w:bCs/>
        </w:rPr>
        <w:t>Recommendation 5</w:t>
      </w:r>
    </w:p>
    <w:p w14:paraId="4BC72358" w14:textId="3C6BD781" w:rsidR="006355A1" w:rsidRDefault="006355A1" w:rsidP="006355A1">
      <w:pPr>
        <w:pStyle w:val="ListNumber"/>
        <w:numPr>
          <w:ilvl w:val="0"/>
          <w:numId w:val="0"/>
        </w:numPr>
        <w:ind w:left="1094" w:hanging="737"/>
      </w:pPr>
      <w:r>
        <w:tab/>
        <w:t xml:space="preserve">The Commission recommends that s 105A.7A(1)(c) </w:t>
      </w:r>
      <w:r w:rsidR="00D80E1F">
        <w:t xml:space="preserve">of the Criminal Code </w:t>
      </w:r>
      <w:r>
        <w:t xml:space="preserve">be amended to provide that the Court must be satisfied that the conditions to be imposed by an ESO </w:t>
      </w:r>
      <w:r w:rsidR="0097390D">
        <w:t xml:space="preserve">are </w:t>
      </w:r>
      <w:r>
        <w:t>also reasonably necessary, and reasonably appropriate and adapted, for the purpose of aiding the offender’s rehabilitation and reintegration into the community.</w:t>
      </w:r>
    </w:p>
    <w:p w14:paraId="31A3B56B" w14:textId="77777777" w:rsidR="006355A1" w:rsidRPr="001A1548" w:rsidRDefault="006355A1" w:rsidP="006355A1">
      <w:pPr>
        <w:pStyle w:val="ListNumber"/>
        <w:keepNext/>
        <w:numPr>
          <w:ilvl w:val="0"/>
          <w:numId w:val="0"/>
        </w:numPr>
        <w:ind w:left="1094"/>
        <w:rPr>
          <w:b/>
          <w:bCs/>
        </w:rPr>
      </w:pPr>
      <w:r w:rsidRPr="001A1548">
        <w:rPr>
          <w:b/>
          <w:bCs/>
        </w:rPr>
        <w:t>Recommendation 6</w:t>
      </w:r>
    </w:p>
    <w:p w14:paraId="7073AA87" w14:textId="77777777" w:rsidR="006355A1" w:rsidRDefault="006355A1" w:rsidP="006355A1">
      <w:pPr>
        <w:pStyle w:val="ListNumber"/>
        <w:numPr>
          <w:ilvl w:val="0"/>
          <w:numId w:val="0"/>
        </w:numPr>
        <w:ind w:left="1094"/>
      </w:pPr>
      <w:r>
        <w:t>The Commission recommends that the threshold for making an extended supervision order in s 105A.7A(1)(b) of the Criminal Code be amended to require that the Court be ‘satisfied to a high degree of probability, on the basis of admissible evidence, that the offender poses an unacceptable risk of committing, providing support for or facilitating a terrorist act’.</w:t>
      </w:r>
    </w:p>
    <w:p w14:paraId="2061E306" w14:textId="77777777" w:rsidR="006355A1" w:rsidRPr="00E143AB" w:rsidRDefault="006355A1" w:rsidP="006355A1">
      <w:pPr>
        <w:pStyle w:val="ListNumber"/>
        <w:keepNext/>
        <w:numPr>
          <w:ilvl w:val="0"/>
          <w:numId w:val="0"/>
        </w:numPr>
        <w:ind w:left="1094"/>
        <w:rPr>
          <w:b/>
          <w:bCs/>
        </w:rPr>
      </w:pPr>
      <w:r w:rsidRPr="00E143AB">
        <w:rPr>
          <w:b/>
          <w:bCs/>
        </w:rPr>
        <w:t>Recommendation 7</w:t>
      </w:r>
    </w:p>
    <w:p w14:paraId="664F18E5" w14:textId="77777777" w:rsidR="006355A1" w:rsidRDefault="006355A1" w:rsidP="006355A1">
      <w:pPr>
        <w:pStyle w:val="ListNumber"/>
        <w:numPr>
          <w:ilvl w:val="0"/>
          <w:numId w:val="0"/>
        </w:numPr>
        <w:ind w:left="1094"/>
      </w:pPr>
      <w:r>
        <w:t xml:space="preserve">The Commission recommends that any condition imposed by an extended supervision order or interim supervision order that requires a person to participate in treatment, rehabilitative or intervention programs or activities, psychological or psychiatric assessment or counselling, </w:t>
      </w:r>
      <w:proofErr w:type="gramStart"/>
      <w:r>
        <w:t>interviews</w:t>
      </w:r>
      <w:proofErr w:type="gramEnd"/>
      <w:r>
        <w:t xml:space="preserve"> or other assessments, be subject to a further condition that a person is only required to participate if they agree, at the time of the relevant activity, to so participate. </w:t>
      </w:r>
    </w:p>
    <w:p w14:paraId="037B007B" w14:textId="77777777" w:rsidR="006355A1" w:rsidRPr="007F20FF" w:rsidRDefault="006355A1" w:rsidP="006355A1">
      <w:pPr>
        <w:pStyle w:val="ListNumber"/>
        <w:keepNext/>
        <w:numPr>
          <w:ilvl w:val="0"/>
          <w:numId w:val="0"/>
        </w:numPr>
        <w:ind w:left="1094"/>
        <w:rPr>
          <w:b/>
          <w:bCs/>
        </w:rPr>
      </w:pPr>
      <w:r w:rsidRPr="007F20FF">
        <w:rPr>
          <w:b/>
          <w:bCs/>
        </w:rPr>
        <w:lastRenderedPageBreak/>
        <w:t>Recommendation 8</w:t>
      </w:r>
    </w:p>
    <w:p w14:paraId="20CE28C1" w14:textId="77777777" w:rsidR="006355A1" w:rsidRDefault="006355A1" w:rsidP="006355A1">
      <w:pPr>
        <w:pStyle w:val="ListNumber"/>
        <w:numPr>
          <w:ilvl w:val="0"/>
          <w:numId w:val="0"/>
        </w:numPr>
        <w:ind w:left="1094"/>
      </w:pPr>
      <w:r>
        <w:t xml:space="preserve">The Commission recommends that the conditions requiring a person to consent to certain monitoring and enforcement activity in </w:t>
      </w:r>
      <w:r>
        <w:rPr>
          <w:lang w:val="en-US"/>
        </w:rPr>
        <w:t>s</w:t>
      </w:r>
      <w:r>
        <w:t>s 104.5A(1)(c)(</w:t>
      </w:r>
      <w:proofErr w:type="spellStart"/>
      <w:r>
        <w:t>i</w:t>
      </w:r>
      <w:proofErr w:type="spellEnd"/>
      <w:r>
        <w:t>), (2)(a) and (5); 105A.7B(5)(g)–(j); and 105A.7E(1)(c)(</w:t>
      </w:r>
      <w:proofErr w:type="spellStart"/>
      <w:r>
        <w:t>i</w:t>
      </w:r>
      <w:proofErr w:type="spellEnd"/>
      <w:r>
        <w:t>), (2)(a) and (5) of the Criminal Code be repealed on the basis that they are not necessary, given the existing range of monitoring warrants.</w:t>
      </w:r>
    </w:p>
    <w:p w14:paraId="1FFE4530" w14:textId="77777777" w:rsidR="006355A1" w:rsidRPr="00D007B0" w:rsidRDefault="006355A1" w:rsidP="006355A1">
      <w:pPr>
        <w:pStyle w:val="ListNumber"/>
        <w:keepNext/>
        <w:numPr>
          <w:ilvl w:val="0"/>
          <w:numId w:val="0"/>
        </w:numPr>
        <w:ind w:left="1094"/>
        <w:rPr>
          <w:b/>
          <w:bCs/>
        </w:rPr>
      </w:pPr>
      <w:r w:rsidRPr="00D007B0">
        <w:rPr>
          <w:b/>
          <w:bCs/>
        </w:rPr>
        <w:t xml:space="preserve">Recommendation </w:t>
      </w:r>
      <w:r>
        <w:rPr>
          <w:b/>
          <w:bCs/>
        </w:rPr>
        <w:t>9</w:t>
      </w:r>
    </w:p>
    <w:p w14:paraId="78B10A71" w14:textId="77777777" w:rsidR="006355A1" w:rsidRDefault="006355A1" w:rsidP="006355A1">
      <w:pPr>
        <w:pStyle w:val="ListNumber"/>
        <w:numPr>
          <w:ilvl w:val="0"/>
          <w:numId w:val="0"/>
        </w:numPr>
        <w:ind w:left="1094"/>
      </w:pPr>
      <w:r>
        <w:t xml:space="preserve">The Commission endorses and repeats the recommendation made by the INSLM at [461] of the INSLM Report dealing with the establishment of an ESO Authority. </w:t>
      </w:r>
    </w:p>
    <w:p w14:paraId="3AEA803F" w14:textId="77777777" w:rsidR="006355A1" w:rsidRPr="008A2266" w:rsidRDefault="006355A1" w:rsidP="006355A1">
      <w:pPr>
        <w:pStyle w:val="SubmissionNormal"/>
        <w:keepNext/>
        <w:numPr>
          <w:ilvl w:val="0"/>
          <w:numId w:val="0"/>
        </w:numPr>
        <w:ind w:left="1080"/>
        <w:rPr>
          <w:b/>
        </w:rPr>
      </w:pPr>
      <w:r>
        <w:rPr>
          <w:b/>
        </w:rPr>
        <w:t>Recommendation 10</w:t>
      </w:r>
    </w:p>
    <w:p w14:paraId="5146B9A4" w14:textId="77777777" w:rsidR="006355A1" w:rsidRDefault="006355A1" w:rsidP="006355A1">
      <w:pPr>
        <w:pStyle w:val="SubmissionNormal"/>
        <w:numPr>
          <w:ilvl w:val="0"/>
          <w:numId w:val="0"/>
        </w:numPr>
        <w:ind w:left="1080"/>
      </w:pPr>
      <w:r>
        <w:t>The Commission recommends that an independent risk management body be established to:</w:t>
      </w:r>
    </w:p>
    <w:p w14:paraId="214CB0BB" w14:textId="77777777" w:rsidR="006355A1" w:rsidRDefault="006355A1" w:rsidP="006355A1">
      <w:pPr>
        <w:pStyle w:val="SubmissionNormal"/>
        <w:numPr>
          <w:ilvl w:val="0"/>
          <w:numId w:val="0"/>
        </w:numPr>
        <w:ind w:left="1800" w:hanging="720"/>
      </w:pPr>
      <w:r>
        <w:t>(a)</w:t>
      </w:r>
      <w:r>
        <w:tab/>
        <w:t>accredit people in the assessment of risk for the purpose of becoming ‘relevant experts’ as defined in s 105A.2 of the Criminal Code</w:t>
      </w:r>
    </w:p>
    <w:p w14:paraId="1624BBD8" w14:textId="77777777" w:rsidR="006355A1" w:rsidRDefault="006355A1" w:rsidP="006355A1">
      <w:pPr>
        <w:pStyle w:val="SubmissionNormal"/>
        <w:numPr>
          <w:ilvl w:val="0"/>
          <w:numId w:val="0"/>
        </w:numPr>
        <w:ind w:left="1800" w:hanging="720"/>
      </w:pPr>
      <w:r>
        <w:t>(b)</w:t>
      </w:r>
      <w:r>
        <w:tab/>
        <w:t xml:space="preserve">develop best-practice risk-assessment and risk-management processes, </w:t>
      </w:r>
      <w:proofErr w:type="gramStart"/>
      <w:r>
        <w:t>guidelines</w:t>
      </w:r>
      <w:proofErr w:type="gramEnd"/>
      <w:r>
        <w:t xml:space="preserve"> and standards</w:t>
      </w:r>
    </w:p>
    <w:p w14:paraId="1A471301" w14:textId="77777777" w:rsidR="006355A1" w:rsidRDefault="006355A1" w:rsidP="006355A1">
      <w:pPr>
        <w:pStyle w:val="SubmissionNormal"/>
        <w:numPr>
          <w:ilvl w:val="0"/>
          <w:numId w:val="0"/>
        </w:numPr>
        <w:ind w:left="1800" w:hanging="720"/>
      </w:pPr>
      <w:r>
        <w:t>(c)</w:t>
      </w:r>
      <w:r>
        <w:tab/>
        <w:t>validate new risk assessment tools and processes</w:t>
      </w:r>
    </w:p>
    <w:p w14:paraId="33B0D66B" w14:textId="77777777" w:rsidR="006355A1" w:rsidRDefault="006355A1" w:rsidP="006355A1">
      <w:pPr>
        <w:pStyle w:val="SubmissionNormal"/>
        <w:numPr>
          <w:ilvl w:val="0"/>
          <w:numId w:val="0"/>
        </w:numPr>
        <w:ind w:left="1800" w:hanging="720"/>
      </w:pPr>
      <w:r>
        <w:t>(d)</w:t>
      </w:r>
      <w:r>
        <w:tab/>
        <w:t>evaluate the operation of risk assessment tools</w:t>
      </w:r>
    </w:p>
    <w:p w14:paraId="221EA489" w14:textId="77777777" w:rsidR="006355A1" w:rsidRDefault="006355A1" w:rsidP="006355A1">
      <w:pPr>
        <w:pStyle w:val="SubmissionNormal"/>
        <w:numPr>
          <w:ilvl w:val="0"/>
          <w:numId w:val="0"/>
        </w:numPr>
        <w:ind w:left="1800" w:hanging="720"/>
      </w:pPr>
      <w:r>
        <w:t>(e)</w:t>
      </w:r>
      <w:r>
        <w:tab/>
        <w:t>undertake and commission research on risk assessment methods; and</w:t>
      </w:r>
    </w:p>
    <w:p w14:paraId="0C9AD132" w14:textId="77777777" w:rsidR="006355A1" w:rsidRDefault="006355A1" w:rsidP="006355A1">
      <w:pPr>
        <w:pStyle w:val="SubmissionNormal"/>
        <w:numPr>
          <w:ilvl w:val="0"/>
          <w:numId w:val="0"/>
        </w:numPr>
        <w:ind w:left="1800" w:hanging="720"/>
      </w:pPr>
      <w:r>
        <w:t>(f)</w:t>
      </w:r>
      <w:r>
        <w:tab/>
        <w:t>provide education and training for risk assessors.</w:t>
      </w:r>
    </w:p>
    <w:p w14:paraId="2A583233" w14:textId="77777777" w:rsidR="006355A1" w:rsidRPr="004343CF" w:rsidRDefault="006355A1" w:rsidP="006355A1">
      <w:pPr>
        <w:pStyle w:val="SubmissionNormal"/>
        <w:keepNext/>
        <w:numPr>
          <w:ilvl w:val="0"/>
          <w:numId w:val="0"/>
        </w:numPr>
        <w:ind w:left="1800" w:hanging="720"/>
        <w:rPr>
          <w:b/>
        </w:rPr>
      </w:pPr>
      <w:r>
        <w:rPr>
          <w:b/>
        </w:rPr>
        <w:t>Recommendation 11</w:t>
      </w:r>
    </w:p>
    <w:p w14:paraId="148A8980" w14:textId="77777777" w:rsidR="006355A1" w:rsidRDefault="006355A1" w:rsidP="006355A1">
      <w:pPr>
        <w:pStyle w:val="SubmissionNormal"/>
        <w:numPr>
          <w:ilvl w:val="0"/>
          <w:numId w:val="0"/>
        </w:numPr>
        <w:ind w:left="1080"/>
      </w:pPr>
      <w:r>
        <w:t xml:space="preserve">The Commission recommends that ‘relevant experts’ be required to be accredited by the independent risk management body </w:t>
      </w:r>
      <w:proofErr w:type="gramStart"/>
      <w:r>
        <w:t>in order to</w:t>
      </w:r>
      <w:proofErr w:type="gramEnd"/>
      <w:r>
        <w:t xml:space="preserve"> be appointed under ss 105A.6 or 105A.18D of the Criminal Code.</w:t>
      </w:r>
    </w:p>
    <w:p w14:paraId="17741278" w14:textId="55E4EAB6" w:rsidR="00C846AA" w:rsidRDefault="00A31B13" w:rsidP="00A31B13">
      <w:pPr>
        <w:pStyle w:val="Heading1"/>
      </w:pPr>
      <w:bookmarkStart w:id="10" w:name="_Toc138410676"/>
      <w:r>
        <w:lastRenderedPageBreak/>
        <w:t>Repeal of continuing detention order regime</w:t>
      </w:r>
      <w:bookmarkEnd w:id="10"/>
    </w:p>
    <w:p w14:paraId="279A46D4" w14:textId="491201EB" w:rsidR="00C6587E" w:rsidRPr="0027171C" w:rsidRDefault="00C6587E" w:rsidP="00C6587E">
      <w:pPr>
        <w:pStyle w:val="Heading3"/>
        <w:rPr>
          <w:i/>
          <w:iCs/>
        </w:rPr>
      </w:pPr>
      <w:bookmarkStart w:id="11" w:name="_Toc138410677"/>
      <w:r w:rsidRPr="0027171C">
        <w:rPr>
          <w:i/>
          <w:iCs/>
        </w:rPr>
        <w:t xml:space="preserve">Need for risk assessment </w:t>
      </w:r>
      <w:proofErr w:type="gramStart"/>
      <w:r w:rsidRPr="0027171C">
        <w:rPr>
          <w:i/>
          <w:iCs/>
        </w:rPr>
        <w:t>tool</w:t>
      </w:r>
      <w:bookmarkEnd w:id="11"/>
      <w:proofErr w:type="gramEnd"/>
    </w:p>
    <w:p w14:paraId="6D7DB32C" w14:textId="3C9B2673" w:rsidR="00C73BC8" w:rsidRDefault="00E34EF1" w:rsidP="00B75646">
      <w:pPr>
        <w:pStyle w:val="ListNumber"/>
      </w:pPr>
      <w:r>
        <w:t xml:space="preserve">When the continuing detention order </w:t>
      </w:r>
      <w:r w:rsidR="00452B14">
        <w:t xml:space="preserve">regime was first proposed in 2016, the Commission warned that for any system of preventative detention to be justifiable, it must be possible to make </w:t>
      </w:r>
      <w:r w:rsidR="00E42769">
        <w:t>robust predictions about risk.</w:t>
      </w:r>
      <w:r w:rsidR="003E195F">
        <w:rPr>
          <w:rStyle w:val="EndnoteReference"/>
        </w:rPr>
        <w:endnoteReference w:id="7"/>
      </w:r>
    </w:p>
    <w:p w14:paraId="32C1E24D" w14:textId="4B0FE8F9" w:rsidR="00D147F6" w:rsidRDefault="00AA38D8" w:rsidP="00B75646">
      <w:pPr>
        <w:pStyle w:val="ListNumber"/>
      </w:pPr>
      <w:r>
        <w:t xml:space="preserve">The PJCIS </w:t>
      </w:r>
      <w:r w:rsidR="00610220">
        <w:t>concluded</w:t>
      </w:r>
      <w:r w:rsidR="00902C55">
        <w:t xml:space="preserve"> at that time</w:t>
      </w:r>
      <w:r w:rsidR="005C353C">
        <w:t>,</w:t>
      </w:r>
      <w:r w:rsidR="00A722AC">
        <w:t xml:space="preserve"> </w:t>
      </w:r>
      <w:r w:rsidR="00610220">
        <w:t xml:space="preserve">on the basis of </w:t>
      </w:r>
      <w:r w:rsidR="00601ED4">
        <w:t xml:space="preserve">the </w:t>
      </w:r>
      <w:r w:rsidR="00610220">
        <w:t xml:space="preserve">evidence before it, </w:t>
      </w:r>
      <w:r w:rsidR="00A722AC">
        <w:t xml:space="preserve">that there was no </w:t>
      </w:r>
      <w:r w:rsidR="001C5387">
        <w:t xml:space="preserve">tool available that could validly predict the risk of </w:t>
      </w:r>
      <w:r w:rsidR="00B137D9">
        <w:t>future terrorist offending</w:t>
      </w:r>
      <w:r w:rsidR="00C661EC">
        <w:t>.</w:t>
      </w:r>
      <w:r w:rsidR="005C353C">
        <w:rPr>
          <w:rStyle w:val="EndnoteReference"/>
        </w:rPr>
        <w:endnoteReference w:id="8"/>
      </w:r>
      <w:r w:rsidR="00C661EC">
        <w:t xml:space="preserve">  </w:t>
      </w:r>
      <w:r w:rsidR="00D147F6">
        <w:t xml:space="preserve">The Attorney-General’s Department </w:t>
      </w:r>
      <w:r w:rsidR="005757FC">
        <w:t>agreed that such a tool was necessary</w:t>
      </w:r>
      <w:r w:rsidR="00591489">
        <w:t xml:space="preserve">; </w:t>
      </w:r>
      <w:r w:rsidR="00D147F6">
        <w:t>said that it could take months, or even years, for such a tool to be developed</w:t>
      </w:r>
      <w:r w:rsidR="00591489">
        <w:t>;</w:t>
      </w:r>
      <w:r w:rsidR="009B4463">
        <w:t xml:space="preserve"> but </w:t>
      </w:r>
      <w:r w:rsidR="00591489">
        <w:t xml:space="preserve">nevertheless </w:t>
      </w:r>
      <w:r w:rsidR="009B4463">
        <w:t xml:space="preserve">asked for </w:t>
      </w:r>
      <w:r w:rsidR="00863018">
        <w:t xml:space="preserve">the </w:t>
      </w:r>
      <w:r w:rsidR="009B4463">
        <w:t>legislation to be passed in anticipation that such a tool would eventually be developed.</w:t>
      </w:r>
      <w:r w:rsidR="00F6550C">
        <w:rPr>
          <w:rStyle w:val="EndnoteReference"/>
        </w:rPr>
        <w:endnoteReference w:id="9"/>
      </w:r>
      <w:r w:rsidR="00D147F6">
        <w:t xml:space="preserve">  </w:t>
      </w:r>
    </w:p>
    <w:p w14:paraId="12A22C0B" w14:textId="3B61F4EF" w:rsidR="00C661EC" w:rsidRDefault="00813672" w:rsidP="00CE7A9A">
      <w:pPr>
        <w:pStyle w:val="ListNumber"/>
      </w:pPr>
      <w:r>
        <w:t xml:space="preserve">Because of </w:t>
      </w:r>
      <w:r w:rsidR="00947C5D">
        <w:t>the ‘enormously significant matters’ still to be developed,</w:t>
      </w:r>
      <w:r w:rsidR="00947C5D">
        <w:rPr>
          <w:rStyle w:val="EndnoteReference"/>
        </w:rPr>
        <w:endnoteReference w:id="10"/>
      </w:r>
      <w:r w:rsidR="00947C5D">
        <w:t xml:space="preserve"> including a valid risk assessment tool, the PJCIS recommended </w:t>
      </w:r>
      <w:r w:rsidR="00CE7A9A">
        <w:t xml:space="preserve">that the </w:t>
      </w:r>
      <w:r w:rsidR="003F4E7A">
        <w:t xml:space="preserve">Attorney-General provide it with a ‘clear development and implementation plan’ by the time of the second reading debate </w:t>
      </w:r>
      <w:r w:rsidR="00D14EFC">
        <w:t xml:space="preserve">for the Bill </w:t>
      </w:r>
      <w:r w:rsidR="003F4E7A">
        <w:t>in the Senate.</w:t>
      </w:r>
      <w:r w:rsidR="003F4E7A">
        <w:rPr>
          <w:rStyle w:val="EndnoteReference"/>
        </w:rPr>
        <w:endnoteReference w:id="11"/>
      </w:r>
      <w:r w:rsidR="003F4E7A">
        <w:t xml:space="preserve">  </w:t>
      </w:r>
      <w:r w:rsidR="009F3278">
        <w:t xml:space="preserve">In the implementation plan provided to the PJCIS, </w:t>
      </w:r>
      <w:r w:rsidR="00623598">
        <w:t xml:space="preserve">the Attorney-General’s Department </w:t>
      </w:r>
      <w:r w:rsidR="00B12B1E">
        <w:t xml:space="preserve">agreed </w:t>
      </w:r>
      <w:r w:rsidR="00623598">
        <w:t xml:space="preserve">that </w:t>
      </w:r>
      <w:r w:rsidR="00802E17">
        <w:t>‘[a] risk assessment tool will be required to support the expert’s judgement’</w:t>
      </w:r>
      <w:r w:rsidR="00E15BEF">
        <w:t xml:space="preserve">.  It proposed a scoping exercise in April 2017, a period of </w:t>
      </w:r>
      <w:r w:rsidR="001008E7">
        <w:t xml:space="preserve">tool </w:t>
      </w:r>
      <w:r w:rsidR="00E15BEF">
        <w:t>development between May and December 2017, and ongoing validation of the tool from January 2018.</w:t>
      </w:r>
      <w:r w:rsidR="00A51876">
        <w:rPr>
          <w:rStyle w:val="EndnoteReference"/>
        </w:rPr>
        <w:endnoteReference w:id="12"/>
      </w:r>
      <w:r w:rsidR="00802E17">
        <w:t xml:space="preserve"> </w:t>
      </w:r>
    </w:p>
    <w:p w14:paraId="7BCD00CC" w14:textId="221B372F" w:rsidR="00B608C9" w:rsidRDefault="00BE736C" w:rsidP="004B0128">
      <w:pPr>
        <w:pStyle w:val="ListNumber"/>
      </w:pPr>
      <w:r>
        <w:t xml:space="preserve">In 2017, the </w:t>
      </w:r>
      <w:proofErr w:type="gramStart"/>
      <w:r w:rsidR="00697538">
        <w:t>High Risk</w:t>
      </w:r>
      <w:proofErr w:type="gramEnd"/>
      <w:r w:rsidR="00697538">
        <w:t xml:space="preserve"> Terrorist Offenders Implementation Working Group </w:t>
      </w:r>
      <w:r w:rsidR="00E0706E">
        <w:t>identified the Violent Extremism Risk Assessment Version 2 Revised (VERA</w:t>
      </w:r>
      <w:r w:rsidR="00FD26A7">
        <w:t>-</w:t>
      </w:r>
      <w:r w:rsidR="00E0706E">
        <w:t>2R) as ‘the best available violent extremism risk assessment tool to assist experts</w:t>
      </w:r>
      <w:r w:rsidR="00501486">
        <w:t>’.</w:t>
      </w:r>
      <w:r w:rsidR="00501486">
        <w:rPr>
          <w:rStyle w:val="EndnoteReference"/>
        </w:rPr>
        <w:endnoteReference w:id="13"/>
      </w:r>
      <w:r w:rsidR="00736800">
        <w:t xml:space="preserve">  Since that time, VERA-</w:t>
      </w:r>
      <w:r w:rsidR="00FD26A7">
        <w:t xml:space="preserve">2R has been consistently </w:t>
      </w:r>
      <w:r w:rsidR="00FC56D4">
        <w:t xml:space="preserve">identified as the tool to be used for Div 105A assessments. </w:t>
      </w:r>
    </w:p>
    <w:p w14:paraId="015979B0" w14:textId="0920C7A4" w:rsidR="003D5A66" w:rsidRDefault="003D5A66" w:rsidP="00B75646">
      <w:pPr>
        <w:pStyle w:val="ListNumber"/>
      </w:pPr>
      <w:r>
        <w:t xml:space="preserve">A joint-agency submission to the PJCIS in </w:t>
      </w:r>
      <w:r w:rsidR="007E0723">
        <w:t xml:space="preserve">September </w:t>
      </w:r>
      <w:r>
        <w:t>2020 noted that the Australian Government has ‘identified the VERA-2R as the most appropriate tool currently available’ to assess risk of people engaging in terrorism related conduct.</w:t>
      </w:r>
      <w:r>
        <w:rPr>
          <w:rStyle w:val="EndnoteReference"/>
        </w:rPr>
        <w:endnoteReference w:id="14"/>
      </w:r>
      <w:r>
        <w:t xml:space="preserve">  </w:t>
      </w:r>
      <w:r w:rsidR="00EE6F17">
        <w:t xml:space="preserve">It was relied on in the application in November 2020 for a CDO against Mr Abdul </w:t>
      </w:r>
      <w:proofErr w:type="spellStart"/>
      <w:r w:rsidR="00EE6F17">
        <w:t>Nacer</w:t>
      </w:r>
      <w:proofErr w:type="spellEnd"/>
      <w:r w:rsidR="00EE6F17">
        <w:t xml:space="preserve"> </w:t>
      </w:r>
      <w:proofErr w:type="spellStart"/>
      <w:r w:rsidR="00EE6F17">
        <w:t>Benbrika</w:t>
      </w:r>
      <w:proofErr w:type="spellEnd"/>
      <w:r w:rsidR="00EE6F17">
        <w:t>,</w:t>
      </w:r>
      <w:r w:rsidR="00EE6F17">
        <w:rPr>
          <w:rStyle w:val="EndnoteReference"/>
        </w:rPr>
        <w:endnoteReference w:id="15"/>
      </w:r>
      <w:r w:rsidR="00EE6F17">
        <w:t xml:space="preserve"> and in the application in October 2021 for a CDO against Mr Blake Pender.</w:t>
      </w:r>
      <w:r w:rsidR="00EE6F17">
        <w:rPr>
          <w:rStyle w:val="EndnoteReference"/>
        </w:rPr>
        <w:endnoteReference w:id="16"/>
      </w:r>
    </w:p>
    <w:p w14:paraId="68E1433F" w14:textId="7990532C" w:rsidR="0015720D" w:rsidRDefault="00B577FE" w:rsidP="00B75646">
      <w:pPr>
        <w:pStyle w:val="ListNumber"/>
      </w:pPr>
      <w:r>
        <w:t xml:space="preserve">However, </w:t>
      </w:r>
      <w:r w:rsidR="00E75F5C">
        <w:t xml:space="preserve">as recorded in the INSLM Report, </w:t>
      </w:r>
      <w:r>
        <w:t>in May 2020</w:t>
      </w:r>
      <w:r w:rsidR="006F3392">
        <w:t>, prior to each of the events in the previous paragraph,</w:t>
      </w:r>
      <w:r>
        <w:t xml:space="preserve"> </w:t>
      </w:r>
      <w:r w:rsidR="000B6DB9">
        <w:t xml:space="preserve">Home Affairs had been </w:t>
      </w:r>
      <w:r w:rsidR="000B6DB9">
        <w:lastRenderedPageBreak/>
        <w:t xml:space="preserve">provided with </w:t>
      </w:r>
      <w:r w:rsidR="009700A2">
        <w:t xml:space="preserve">the Corner Report </w:t>
      </w:r>
      <w:r w:rsidR="000163D4">
        <w:t xml:space="preserve">that cast serious doubt </w:t>
      </w:r>
      <w:r w:rsidR="004F47AA">
        <w:t>on the reliability, validity and equity of VERA-2R.</w:t>
      </w:r>
      <w:r w:rsidR="000163D4">
        <w:rPr>
          <w:rStyle w:val="EndnoteReference"/>
        </w:rPr>
        <w:endnoteReference w:id="17"/>
      </w:r>
      <w:r w:rsidR="004F47AA">
        <w:t xml:space="preserve"> </w:t>
      </w:r>
    </w:p>
    <w:p w14:paraId="1C088F76" w14:textId="201B1764" w:rsidR="006B670F" w:rsidRDefault="006B670F" w:rsidP="006B670F">
      <w:pPr>
        <w:pStyle w:val="ListNumber"/>
      </w:pPr>
      <w:r>
        <w:t xml:space="preserve">The INSLM </w:t>
      </w:r>
      <w:r w:rsidR="00957F66">
        <w:t xml:space="preserve">concluded that </w:t>
      </w:r>
      <w:r w:rsidR="006C7CEB">
        <w:t>the</w:t>
      </w:r>
      <w:r>
        <w:t xml:space="preserve"> Corner </w:t>
      </w:r>
      <w:r w:rsidR="006C7CEB">
        <w:t>R</w:t>
      </w:r>
      <w:r>
        <w:t xml:space="preserve">eport should have been provided to Mr </w:t>
      </w:r>
      <w:proofErr w:type="spellStart"/>
      <w:r>
        <w:t>Benbrika</w:t>
      </w:r>
      <w:proofErr w:type="spellEnd"/>
      <w:r>
        <w:t xml:space="preserve"> and produced to the Court in relation to the application for a CDO against him, and </w:t>
      </w:r>
      <w:r w:rsidR="005569CD">
        <w:t xml:space="preserve">should have been provided </w:t>
      </w:r>
      <w:r>
        <w:t xml:space="preserve">in </w:t>
      </w:r>
      <w:r w:rsidR="00B63C01">
        <w:t xml:space="preserve">all other applications </w:t>
      </w:r>
      <w:r>
        <w:t>where VERA-2R was relied on for the purpose of risk assessment.</w:t>
      </w:r>
      <w:r w:rsidR="00C3399F">
        <w:rPr>
          <w:rStyle w:val="EndnoteReference"/>
        </w:rPr>
        <w:endnoteReference w:id="18"/>
      </w:r>
      <w:r>
        <w:t xml:space="preserve">  </w:t>
      </w:r>
      <w:r w:rsidR="006C7CEB">
        <w:t>He said that t</w:t>
      </w:r>
      <w:r>
        <w:t xml:space="preserve">here was ‘no excuse’ for not </w:t>
      </w:r>
      <w:r w:rsidR="00C54805">
        <w:t>disclosing the existence of the report,</w:t>
      </w:r>
      <w:r>
        <w:t xml:space="preserve"> and that</w:t>
      </w:r>
      <w:r w:rsidR="00E06776">
        <w:t xml:space="preserve"> it was ‘shocking’ that </w:t>
      </w:r>
      <w:r w:rsidR="00411ED7">
        <w:t>orders have been sought, and made, without parties knowing that the Corner Report exists.</w:t>
      </w:r>
      <w:r w:rsidR="006C7CEB">
        <w:rPr>
          <w:rStyle w:val="EndnoteReference"/>
        </w:rPr>
        <w:endnoteReference w:id="19"/>
      </w:r>
    </w:p>
    <w:p w14:paraId="1564D1CC" w14:textId="3A8F4B16" w:rsidR="007B3A15" w:rsidRDefault="007B3A15" w:rsidP="006B670F">
      <w:pPr>
        <w:pStyle w:val="ListNumber"/>
      </w:pPr>
      <w:r>
        <w:t xml:space="preserve">The Commission </w:t>
      </w:r>
      <w:r w:rsidR="00B27DCE">
        <w:t xml:space="preserve">does not know </w:t>
      </w:r>
      <w:r>
        <w:t xml:space="preserve">whether </w:t>
      </w:r>
      <w:r w:rsidR="00003380">
        <w:t xml:space="preserve">Home Affairs made the PJCIS aware of the Corner Report at the time of its </w:t>
      </w:r>
      <w:r w:rsidR="00434A59" w:rsidRPr="0085583C">
        <w:rPr>
          <w:i/>
          <w:iCs/>
        </w:rPr>
        <w:t>Review of APF powers in relation to terrorism</w:t>
      </w:r>
      <w:r w:rsidR="00434A59">
        <w:t xml:space="preserve"> (</w:t>
      </w:r>
      <w:r w:rsidR="00826B3C">
        <w:t xml:space="preserve">between </w:t>
      </w:r>
      <w:r w:rsidR="00E7219E">
        <w:t xml:space="preserve">September </w:t>
      </w:r>
      <w:r w:rsidR="00826B3C">
        <w:t xml:space="preserve">and </w:t>
      </w:r>
      <w:r w:rsidR="00E7219E">
        <w:t xml:space="preserve">December 2020) or its </w:t>
      </w:r>
      <w:r w:rsidR="00E7219E" w:rsidRPr="0085583C">
        <w:rPr>
          <w:i/>
          <w:iCs/>
        </w:rPr>
        <w:t xml:space="preserve">Review of the </w:t>
      </w:r>
      <w:r w:rsidR="00B922A7" w:rsidRPr="0085583C">
        <w:rPr>
          <w:i/>
          <w:iCs/>
        </w:rPr>
        <w:t>Counter-Terrorism Legislation Amendment (High Risk Terrorist Offenders) Bill 2020</w:t>
      </w:r>
      <w:r w:rsidR="00B922A7">
        <w:t xml:space="preserve"> (</w:t>
      </w:r>
      <w:r w:rsidR="00826B3C">
        <w:t xml:space="preserve">in </w:t>
      </w:r>
      <w:r w:rsidR="00B922A7">
        <w:t>November 2020)</w:t>
      </w:r>
      <w:r w:rsidR="00003380">
        <w:t>.</w:t>
      </w:r>
      <w:r w:rsidR="00A55A6C">
        <w:t xml:space="preserve">  In the Commission’s view, </w:t>
      </w:r>
      <w:r w:rsidR="005C500C">
        <w:t xml:space="preserve">the Corner Report should have been disclosed to the PJCIS and </w:t>
      </w:r>
      <w:r w:rsidR="00F614E8">
        <w:t>discussion of the Corner Report should, at the least, have occurred in confidential sessions of the PJCIS in relation to each of those inquiries.</w:t>
      </w:r>
    </w:p>
    <w:p w14:paraId="33D33CBE" w14:textId="71659124" w:rsidR="0027380D" w:rsidRPr="0027171C" w:rsidRDefault="0027380D" w:rsidP="0027380D">
      <w:pPr>
        <w:pStyle w:val="Heading3"/>
        <w:rPr>
          <w:i/>
          <w:iCs/>
        </w:rPr>
      </w:pPr>
      <w:bookmarkStart w:id="12" w:name="_Toc138410678"/>
      <w:r w:rsidRPr="0027171C">
        <w:rPr>
          <w:i/>
          <w:iCs/>
        </w:rPr>
        <w:t>Inadequacy of VERA-2R</w:t>
      </w:r>
      <w:bookmarkEnd w:id="12"/>
    </w:p>
    <w:p w14:paraId="66D73C21" w14:textId="7D1548DE" w:rsidR="000508C0" w:rsidRDefault="00B770CD" w:rsidP="00B75646">
      <w:pPr>
        <w:pStyle w:val="ListNumber"/>
      </w:pPr>
      <w:r>
        <w:t>The Corner Report ex</w:t>
      </w:r>
      <w:r w:rsidR="005F7058">
        <w:t xml:space="preserve">amined the theoretical and empirical underpinnings for VERA-2R and then </w:t>
      </w:r>
      <w:r w:rsidR="007F2B59">
        <w:t xml:space="preserve">performed </w:t>
      </w:r>
      <w:r w:rsidR="00133703">
        <w:t xml:space="preserve">a </w:t>
      </w:r>
      <w:r w:rsidR="007F2B59">
        <w:t xml:space="preserve">series of experiments to test both its predictive validity and </w:t>
      </w:r>
      <w:r w:rsidR="000508C0">
        <w:t>inter-rater reliability.</w:t>
      </w:r>
      <w:r w:rsidR="000508C0">
        <w:rPr>
          <w:rStyle w:val="EndnoteReference"/>
        </w:rPr>
        <w:endnoteReference w:id="20"/>
      </w:r>
      <w:r w:rsidR="00292FDF">
        <w:t xml:space="preserve">  </w:t>
      </w:r>
      <w:r w:rsidR="0063536C">
        <w:t xml:space="preserve">The authors </w:t>
      </w:r>
      <w:r w:rsidR="00E416D9">
        <w:t xml:space="preserve">of the Corner Report </w:t>
      </w:r>
      <w:r w:rsidR="00292FDF">
        <w:t xml:space="preserve">described it as the </w:t>
      </w:r>
      <w:r w:rsidR="00292FDF" w:rsidRPr="00F15246">
        <w:t>first</w:t>
      </w:r>
      <w:r w:rsidR="00292FDF">
        <w:t xml:space="preserve"> </w:t>
      </w:r>
      <w:r w:rsidR="0015450E">
        <w:t>piece of research to be performed on VERA-2R</w:t>
      </w:r>
      <w:r w:rsidR="00D71430">
        <w:t>.</w:t>
      </w:r>
      <w:r w:rsidR="00F15246">
        <w:rPr>
          <w:rStyle w:val="EndnoteReference"/>
        </w:rPr>
        <w:endnoteReference w:id="21"/>
      </w:r>
      <w:r w:rsidR="003C4F7C">
        <w:t xml:space="preserve"> </w:t>
      </w:r>
      <w:r w:rsidR="00D71430">
        <w:t xml:space="preserve"> A</w:t>
      </w:r>
      <w:r w:rsidR="003C4F7C">
        <w:t>l</w:t>
      </w:r>
      <w:r w:rsidR="000D3E98">
        <w:t xml:space="preserve">most all of the previous </w:t>
      </w:r>
      <w:r w:rsidR="0018389D">
        <w:t xml:space="preserve">literature on VERA-2R had been written by the </w:t>
      </w:r>
      <w:r w:rsidR="00B17261">
        <w:t xml:space="preserve">primary </w:t>
      </w:r>
      <w:r w:rsidR="0018389D">
        <w:t xml:space="preserve">author of the tool, raising </w:t>
      </w:r>
      <w:r w:rsidR="00E344C7">
        <w:t xml:space="preserve">potential </w:t>
      </w:r>
      <w:r w:rsidR="00EB7BBB">
        <w:t xml:space="preserve">concerns about bias arising from </w:t>
      </w:r>
      <w:r w:rsidR="00E344C7">
        <w:t>authorship effects in reporting of results.</w:t>
      </w:r>
      <w:r w:rsidR="002735E2">
        <w:rPr>
          <w:rStyle w:val="EndnoteReference"/>
        </w:rPr>
        <w:endnoteReference w:id="22"/>
      </w:r>
      <w:r w:rsidR="00E344C7">
        <w:t xml:space="preserve"> </w:t>
      </w:r>
    </w:p>
    <w:p w14:paraId="6C49C31E" w14:textId="3F8940DC" w:rsidR="003B71F8" w:rsidRDefault="003B71F8" w:rsidP="00B75646">
      <w:pPr>
        <w:pStyle w:val="ListNumber"/>
      </w:pPr>
      <w:r>
        <w:t xml:space="preserve">In terms of its theoretical and empirical underpinnings, the Corner Report </w:t>
      </w:r>
      <w:r w:rsidR="00613A3B">
        <w:t>found that the evidence base cited in the VERA-2R user manual and supporting documentation was of poor quality</w:t>
      </w:r>
      <w:r w:rsidR="00CC1CA1">
        <w:t>, and was primarily composed of theoretical assertions, secondary citations of literature reviews</w:t>
      </w:r>
      <w:r w:rsidR="00781EC2">
        <w:t>, and media articles.</w:t>
      </w:r>
      <w:r w:rsidR="006B390A">
        <w:rPr>
          <w:rStyle w:val="EndnoteReference"/>
        </w:rPr>
        <w:endnoteReference w:id="23"/>
      </w:r>
      <w:r w:rsidR="006B390A">
        <w:t xml:space="preserve">  </w:t>
      </w:r>
      <w:r w:rsidR="006B78FF">
        <w:t xml:space="preserve">Only </w:t>
      </w:r>
      <w:r w:rsidR="00B36BDD">
        <w:t xml:space="preserve">23.3% of citations were drawn from empirical findings in </w:t>
      </w:r>
      <w:r w:rsidR="008E1ECC">
        <w:t>the works referred to.</w:t>
      </w:r>
      <w:r w:rsidR="008E1ECC">
        <w:rPr>
          <w:rStyle w:val="EndnoteReference"/>
        </w:rPr>
        <w:endnoteReference w:id="24"/>
      </w:r>
      <w:r w:rsidR="008E1ECC">
        <w:t xml:space="preserve">  </w:t>
      </w:r>
      <w:r w:rsidR="001500E2">
        <w:t xml:space="preserve">The evidence base relied </w:t>
      </w:r>
      <w:r w:rsidR="00B85939">
        <w:t>on for the instrument was ‘less concerned with scientifically validated information, as opposed to the opinion of the authors’.</w:t>
      </w:r>
      <w:r w:rsidR="00C84655">
        <w:rPr>
          <w:rStyle w:val="EndnoteReference"/>
        </w:rPr>
        <w:endnoteReference w:id="25"/>
      </w:r>
      <w:r w:rsidR="00B85939">
        <w:t xml:space="preserve">  </w:t>
      </w:r>
      <w:r w:rsidR="00C84655">
        <w:t>As a result it could not properly be called a Structured Professional Judgment (SPJ) tool.</w:t>
      </w:r>
      <w:r w:rsidR="00173DBA">
        <w:rPr>
          <w:rStyle w:val="EndnoteReference"/>
        </w:rPr>
        <w:endnoteReference w:id="26"/>
      </w:r>
      <w:r w:rsidR="00C84655">
        <w:t xml:space="preserve">  At best, it </w:t>
      </w:r>
      <w:r w:rsidR="00D045DE">
        <w:t xml:space="preserve">was </w:t>
      </w:r>
      <w:r w:rsidR="00D23578">
        <w:t>SPJ ‘lite’.</w:t>
      </w:r>
      <w:r w:rsidR="00D23578">
        <w:rPr>
          <w:rStyle w:val="EndnoteReference"/>
        </w:rPr>
        <w:endnoteReference w:id="27"/>
      </w:r>
      <w:r w:rsidR="00D23578">
        <w:t xml:space="preserve"> </w:t>
      </w:r>
    </w:p>
    <w:p w14:paraId="0462DB27" w14:textId="3356BAC5" w:rsidR="00AA00EB" w:rsidRDefault="008041A5" w:rsidP="00B75646">
      <w:pPr>
        <w:pStyle w:val="ListNumber"/>
      </w:pPr>
      <w:r>
        <w:lastRenderedPageBreak/>
        <w:t xml:space="preserve">In order to test the validity </w:t>
      </w:r>
      <w:r w:rsidR="009F00B8">
        <w:t xml:space="preserve">and inter-rater reliability of the tool, the authors of the Corner Report </w:t>
      </w:r>
      <w:r w:rsidR="00AB3205">
        <w:t xml:space="preserve">conducted a comprehensive search of </w:t>
      </w:r>
      <w:r w:rsidR="00972B4E">
        <w:t xml:space="preserve">legal and non-legal </w:t>
      </w:r>
      <w:r w:rsidR="00D9562C">
        <w:t xml:space="preserve">Australian </w:t>
      </w:r>
      <w:r w:rsidR="00972B4E">
        <w:t xml:space="preserve">databases to source known cases </w:t>
      </w:r>
      <w:r w:rsidR="00BE730E">
        <w:t xml:space="preserve">(N=153) </w:t>
      </w:r>
      <w:r w:rsidR="00972B4E">
        <w:t xml:space="preserve">that </w:t>
      </w:r>
      <w:r w:rsidR="004809D5">
        <w:t>involved relevant acts.</w:t>
      </w:r>
      <w:r w:rsidR="004A2957">
        <w:rPr>
          <w:rStyle w:val="EndnoteReference"/>
        </w:rPr>
        <w:endnoteReference w:id="28"/>
      </w:r>
      <w:r w:rsidR="004809D5">
        <w:t xml:space="preserve">  This was supplemented with </w:t>
      </w:r>
      <w:r w:rsidR="009218F8">
        <w:t xml:space="preserve">some European and Canadian cases, and </w:t>
      </w:r>
      <w:r w:rsidR="004809D5">
        <w:t xml:space="preserve">closed </w:t>
      </w:r>
      <w:r w:rsidR="009218F8">
        <w:t xml:space="preserve">source </w:t>
      </w:r>
      <w:r w:rsidR="004809D5">
        <w:t>case</w:t>
      </w:r>
      <w:r w:rsidR="009218F8">
        <w:t>s</w:t>
      </w:r>
      <w:r w:rsidR="004809D5">
        <w:t xml:space="preserve"> provided by Home Affairs.</w:t>
      </w:r>
      <w:r w:rsidR="004A2957">
        <w:rPr>
          <w:rStyle w:val="EndnoteReference"/>
        </w:rPr>
        <w:endnoteReference w:id="29"/>
      </w:r>
      <w:r w:rsidR="004809D5">
        <w:t xml:space="preserve">  The research team </w:t>
      </w:r>
      <w:r w:rsidR="00100738">
        <w:t xml:space="preserve">drew up </w:t>
      </w:r>
      <w:r w:rsidR="00D47005">
        <w:t xml:space="preserve">60 </w:t>
      </w:r>
      <w:r w:rsidR="00100738">
        <w:t xml:space="preserve">case </w:t>
      </w:r>
      <w:r w:rsidR="00B045F8">
        <w:t xml:space="preserve">vignettes </w:t>
      </w:r>
      <w:r w:rsidR="004734AC">
        <w:t>that differentiated between political and non-political, violent and non-violent, and lone and group based actors</w:t>
      </w:r>
      <w:r w:rsidR="00E95A80">
        <w:t xml:space="preserve">, as well as those at risk of </w:t>
      </w:r>
      <w:r w:rsidR="005433C5">
        <w:t>radicalisation and a neutral control group</w:t>
      </w:r>
      <w:r w:rsidR="004734AC">
        <w:t>.</w:t>
      </w:r>
      <w:r w:rsidR="007E593B">
        <w:rPr>
          <w:rStyle w:val="EndnoteReference"/>
        </w:rPr>
        <w:endnoteReference w:id="30"/>
      </w:r>
      <w:r w:rsidR="004734AC">
        <w:t xml:space="preserve"> </w:t>
      </w:r>
      <w:r w:rsidR="00C87F48">
        <w:t xml:space="preserve"> </w:t>
      </w:r>
      <w:r w:rsidR="008E5D15">
        <w:t xml:space="preserve">30 participants comprising non-experts, experts and those trained in the use of VERA-2R or another tool Radar, </w:t>
      </w:r>
      <w:r w:rsidR="0069662F">
        <w:t xml:space="preserve">each completed </w:t>
      </w:r>
      <w:r w:rsidR="003D7592">
        <w:t>on average 4 assessments using one of these two tools.</w:t>
      </w:r>
      <w:r w:rsidR="00216785">
        <w:rPr>
          <w:rStyle w:val="EndnoteReference"/>
        </w:rPr>
        <w:endnoteReference w:id="31"/>
      </w:r>
      <w:r w:rsidR="003D7592">
        <w:t xml:space="preserve"> </w:t>
      </w:r>
    </w:p>
    <w:p w14:paraId="66915582" w14:textId="77777777" w:rsidR="00AD710F" w:rsidRDefault="00AD710F" w:rsidP="00B75646">
      <w:pPr>
        <w:pStyle w:val="ListNumber"/>
      </w:pPr>
      <w:r>
        <w:t>The Corner Report had this to say about predictive validity:</w:t>
      </w:r>
    </w:p>
    <w:p w14:paraId="053CCE54" w14:textId="2EC01259" w:rsidR="00AD710F" w:rsidRPr="00015553" w:rsidRDefault="005C78D4" w:rsidP="002A2D2B">
      <w:pPr>
        <w:pStyle w:val="ListNumber"/>
        <w:numPr>
          <w:ilvl w:val="0"/>
          <w:numId w:val="0"/>
        </w:numPr>
        <w:ind w:left="1440"/>
        <w:rPr>
          <w:sz w:val="22"/>
          <w:szCs w:val="22"/>
        </w:rPr>
      </w:pPr>
      <w:r w:rsidRPr="00015553">
        <w:rPr>
          <w:sz w:val="22"/>
          <w:szCs w:val="22"/>
        </w:rPr>
        <w:t>The accurate identification of risk of future offending is critical for offender management and public safety. Identification accuracy is most often measured by assessing the predictive validity of the</w:t>
      </w:r>
      <w:r w:rsidR="002A2D2B" w:rsidRPr="00015553">
        <w:rPr>
          <w:sz w:val="22"/>
          <w:szCs w:val="22"/>
        </w:rPr>
        <w:t xml:space="preserve"> </w:t>
      </w:r>
      <w:r w:rsidRPr="00015553">
        <w:rPr>
          <w:sz w:val="22"/>
          <w:szCs w:val="22"/>
        </w:rPr>
        <w:t>instrument. Employing an instrument with no proven predictive validity has serious implications,</w:t>
      </w:r>
      <w:r w:rsidR="002A2D2B" w:rsidRPr="00015553">
        <w:rPr>
          <w:sz w:val="22"/>
          <w:szCs w:val="22"/>
        </w:rPr>
        <w:t xml:space="preserve"> </w:t>
      </w:r>
      <w:r w:rsidRPr="00015553">
        <w:rPr>
          <w:sz w:val="22"/>
          <w:szCs w:val="22"/>
        </w:rPr>
        <w:t>particularly in the terrorism domain, where the consequences for the inaccurate identification of offenders are</w:t>
      </w:r>
      <w:r w:rsidR="002A2D2B" w:rsidRPr="00015553">
        <w:rPr>
          <w:sz w:val="22"/>
          <w:szCs w:val="22"/>
        </w:rPr>
        <w:t xml:space="preserve"> </w:t>
      </w:r>
      <w:r w:rsidRPr="00015553">
        <w:rPr>
          <w:sz w:val="22"/>
          <w:szCs w:val="22"/>
        </w:rPr>
        <w:t>potentially deadly. Inaccurate instruments may identify individuals who are subsequently subjected to intervention</w:t>
      </w:r>
      <w:r w:rsidR="002A2D2B" w:rsidRPr="00015553">
        <w:rPr>
          <w:sz w:val="22"/>
          <w:szCs w:val="22"/>
        </w:rPr>
        <w:t xml:space="preserve"> </w:t>
      </w:r>
      <w:r w:rsidRPr="00015553">
        <w:rPr>
          <w:sz w:val="22"/>
          <w:szCs w:val="22"/>
        </w:rPr>
        <w:t>procedures or deprived of their liberty, despite not being of any risk. The other consequence of a lack of predictive</w:t>
      </w:r>
      <w:r w:rsidR="002A2D2B" w:rsidRPr="00015553">
        <w:rPr>
          <w:sz w:val="22"/>
          <w:szCs w:val="22"/>
        </w:rPr>
        <w:t xml:space="preserve"> </w:t>
      </w:r>
      <w:r w:rsidRPr="00015553">
        <w:rPr>
          <w:sz w:val="22"/>
          <w:szCs w:val="22"/>
        </w:rPr>
        <w:t>validity is that an instrument may fail to capture those individuals who do move to carry out an act of mass violence,</w:t>
      </w:r>
      <w:r w:rsidR="002A2D2B" w:rsidRPr="00015553">
        <w:rPr>
          <w:sz w:val="22"/>
          <w:szCs w:val="22"/>
        </w:rPr>
        <w:t xml:space="preserve"> </w:t>
      </w:r>
      <w:r w:rsidRPr="00015553">
        <w:rPr>
          <w:sz w:val="22"/>
          <w:szCs w:val="22"/>
        </w:rPr>
        <w:t>which has serious societal and security consequences.</w:t>
      </w:r>
      <w:r w:rsidR="00015553">
        <w:rPr>
          <w:rStyle w:val="EndnoteReference"/>
        </w:rPr>
        <w:endnoteReference w:id="32"/>
      </w:r>
    </w:p>
    <w:p w14:paraId="5D482956" w14:textId="77777777" w:rsidR="000542E7" w:rsidRDefault="00863BA1" w:rsidP="00B75646">
      <w:pPr>
        <w:pStyle w:val="ListNumber"/>
      </w:pPr>
      <w:r>
        <w:t xml:space="preserve">Predictive validity was </w:t>
      </w:r>
      <w:r w:rsidR="00015553">
        <w:t xml:space="preserve">measured </w:t>
      </w:r>
      <w:r w:rsidR="000542E7">
        <w:t>in five ways:</w:t>
      </w:r>
    </w:p>
    <w:p w14:paraId="088DB8E9" w14:textId="77777777" w:rsidR="00E644C8" w:rsidRDefault="002A0F81" w:rsidP="002A0F81">
      <w:pPr>
        <w:pStyle w:val="ListNumber"/>
        <w:numPr>
          <w:ilvl w:val="0"/>
          <w:numId w:val="19"/>
        </w:numPr>
      </w:pPr>
      <w:r>
        <w:t xml:space="preserve">Sensitivity: </w:t>
      </w:r>
      <w:r w:rsidR="009B0E00">
        <w:t xml:space="preserve">the proportion of those who engaged </w:t>
      </w:r>
      <w:r w:rsidR="00E644C8">
        <w:t>in the relevant act who were judged to be high risk</w:t>
      </w:r>
    </w:p>
    <w:p w14:paraId="77E0F21F" w14:textId="77777777" w:rsidR="00E644C8" w:rsidRDefault="00E644C8" w:rsidP="002A0F81">
      <w:pPr>
        <w:pStyle w:val="ListNumber"/>
        <w:numPr>
          <w:ilvl w:val="0"/>
          <w:numId w:val="19"/>
        </w:numPr>
      </w:pPr>
      <w:r>
        <w:t>Specificity: the proportion of those who did not engage in the act who were judged to be low risk</w:t>
      </w:r>
    </w:p>
    <w:p w14:paraId="5FC40B7F" w14:textId="77777777" w:rsidR="0072427A" w:rsidRDefault="004C1FD5" w:rsidP="002A0F81">
      <w:pPr>
        <w:pStyle w:val="ListNumber"/>
        <w:numPr>
          <w:ilvl w:val="0"/>
          <w:numId w:val="19"/>
        </w:numPr>
      </w:pPr>
      <w:r>
        <w:t>Positive predictive value: the prop</w:t>
      </w:r>
      <w:r w:rsidR="0072427A">
        <w:t xml:space="preserve">ortion of those judged to be high risk who went on to engage in the </w:t>
      </w:r>
      <w:proofErr w:type="gramStart"/>
      <w:r w:rsidR="0072427A">
        <w:t>act</w:t>
      </w:r>
      <w:proofErr w:type="gramEnd"/>
    </w:p>
    <w:p w14:paraId="64A82464" w14:textId="77777777" w:rsidR="0072427A" w:rsidRDefault="0072427A" w:rsidP="002A0F81">
      <w:pPr>
        <w:pStyle w:val="ListNumber"/>
        <w:numPr>
          <w:ilvl w:val="0"/>
          <w:numId w:val="19"/>
        </w:numPr>
      </w:pPr>
      <w:r>
        <w:t xml:space="preserve">Negative predictive value: the proportion of those judged to be low risk who did not go on to engage in the </w:t>
      </w:r>
      <w:proofErr w:type="gramStart"/>
      <w:r>
        <w:t>act</w:t>
      </w:r>
      <w:proofErr w:type="gramEnd"/>
    </w:p>
    <w:p w14:paraId="45F45C4F" w14:textId="11EB5F85" w:rsidR="00BB6EC1" w:rsidRDefault="00B57DF4" w:rsidP="002A0F81">
      <w:pPr>
        <w:pStyle w:val="ListNumber"/>
        <w:numPr>
          <w:ilvl w:val="0"/>
          <w:numId w:val="19"/>
        </w:numPr>
      </w:pPr>
      <w:r>
        <w:t xml:space="preserve">Area under the curve (AUC): the probability that a randomly selected </w:t>
      </w:r>
      <w:r w:rsidR="00905AEF">
        <w:t xml:space="preserve">violent extremist </w:t>
      </w:r>
      <w:r w:rsidR="00BE35FC">
        <w:t xml:space="preserve">received a higher risk </w:t>
      </w:r>
      <w:r w:rsidR="00905AEF">
        <w:t xml:space="preserve">score </w:t>
      </w:r>
      <w:r w:rsidR="00BE35FC">
        <w:t xml:space="preserve">than a randomly selected </w:t>
      </w:r>
      <w:r w:rsidR="00905AEF">
        <w:t>non-violent, non-extremist</w:t>
      </w:r>
      <w:r w:rsidR="00BE35FC">
        <w:t>.</w:t>
      </w:r>
      <w:r w:rsidR="00BE35FC">
        <w:rPr>
          <w:rStyle w:val="EndnoteReference"/>
        </w:rPr>
        <w:endnoteReference w:id="33"/>
      </w:r>
      <w:r w:rsidR="00BE35FC">
        <w:t xml:space="preserve"> </w:t>
      </w:r>
    </w:p>
    <w:p w14:paraId="2EF14A9D" w14:textId="05D8EB67" w:rsidR="00C51CF2" w:rsidRDefault="00544CFF" w:rsidP="00301609">
      <w:pPr>
        <w:pStyle w:val="ListNumber"/>
      </w:pPr>
      <w:r>
        <w:lastRenderedPageBreak/>
        <w:t xml:space="preserve">The results of those tests are recorded at pages 136–137 of the report.  </w:t>
      </w:r>
      <w:r w:rsidR="00100CD7">
        <w:t xml:space="preserve">The report noted that the AUC was a </w:t>
      </w:r>
      <w:r w:rsidR="00832168">
        <w:t xml:space="preserve">particularly useful method of assessment because it was resistant to changes in the base </w:t>
      </w:r>
      <w:proofErr w:type="gramStart"/>
      <w:r w:rsidR="00832168">
        <w:t>rate</w:t>
      </w:r>
      <w:r w:rsidR="00FD622D">
        <w:t>, and</w:t>
      </w:r>
      <w:proofErr w:type="gramEnd"/>
      <w:r w:rsidR="00FD622D">
        <w:t xml:space="preserve"> was a more accurate representation of the predictive value of </w:t>
      </w:r>
      <w:r w:rsidR="00492505">
        <w:t>both instruments</w:t>
      </w:r>
      <w:r w:rsidR="00FE3190">
        <w:t>.</w:t>
      </w:r>
      <w:r w:rsidR="00FE3190">
        <w:rPr>
          <w:rStyle w:val="EndnoteReference"/>
        </w:rPr>
        <w:endnoteReference w:id="34"/>
      </w:r>
      <w:r w:rsidR="00FE3190">
        <w:t xml:space="preserve">  The report said this about the AUC </w:t>
      </w:r>
      <w:r w:rsidR="00C51CF2">
        <w:t>results:</w:t>
      </w:r>
    </w:p>
    <w:p w14:paraId="0EC3AAB4" w14:textId="7929CE90" w:rsidR="00C51CF2" w:rsidRDefault="0009302D" w:rsidP="00492505">
      <w:pPr>
        <w:pStyle w:val="ListNumber"/>
        <w:numPr>
          <w:ilvl w:val="0"/>
          <w:numId w:val="0"/>
        </w:numPr>
        <w:ind w:left="1440"/>
      </w:pPr>
      <w:r w:rsidRPr="00940807">
        <w:rPr>
          <w:sz w:val="22"/>
          <w:szCs w:val="22"/>
        </w:rPr>
        <w:t xml:space="preserve">The outputs for the AUC calculations </w:t>
      </w:r>
      <w:r w:rsidR="005C6F6D" w:rsidRPr="00940807">
        <w:rPr>
          <w:sz w:val="22"/>
          <w:szCs w:val="22"/>
        </w:rPr>
        <w:t xml:space="preserve">are in Figure 4 below.  The results show that the VERA-2R lacks both sensitivity and specificity </w:t>
      </w:r>
      <w:proofErr w:type="gramStart"/>
      <w:r w:rsidR="005C6F6D" w:rsidRPr="00940807">
        <w:rPr>
          <w:sz w:val="22"/>
          <w:szCs w:val="22"/>
        </w:rPr>
        <w:t>…</w:t>
      </w:r>
      <w:r w:rsidR="00492505" w:rsidRPr="00940807">
        <w:rPr>
          <w:sz w:val="22"/>
          <w:szCs w:val="22"/>
        </w:rPr>
        <w:t> </w:t>
      </w:r>
      <w:r w:rsidR="005C6F6D" w:rsidRPr="00940807">
        <w:rPr>
          <w:sz w:val="22"/>
          <w:szCs w:val="22"/>
        </w:rPr>
        <w:t>.</w:t>
      </w:r>
      <w:proofErr w:type="gramEnd"/>
      <w:r w:rsidR="005C6F6D" w:rsidRPr="00940807">
        <w:rPr>
          <w:sz w:val="22"/>
          <w:szCs w:val="22"/>
        </w:rPr>
        <w:t xml:space="preserve"> AUC values closer to 1 indicate </w:t>
      </w:r>
      <w:r w:rsidR="0071426C" w:rsidRPr="00940807">
        <w:rPr>
          <w:sz w:val="22"/>
          <w:szCs w:val="22"/>
        </w:rPr>
        <w:t xml:space="preserve">that the instrument </w:t>
      </w:r>
      <w:proofErr w:type="gramStart"/>
      <w:r w:rsidR="0071426C" w:rsidRPr="00940807">
        <w:rPr>
          <w:sz w:val="22"/>
          <w:szCs w:val="22"/>
        </w:rPr>
        <w:t>is able to</w:t>
      </w:r>
      <w:proofErr w:type="gramEnd"/>
      <w:r w:rsidR="0071426C" w:rsidRPr="00940807">
        <w:rPr>
          <w:sz w:val="22"/>
          <w:szCs w:val="22"/>
        </w:rPr>
        <w:t xml:space="preserve"> readily distinguish between outcomes.  The AUC value for violent extremism is 0.603</w:t>
      </w:r>
      <w:r w:rsidR="00CF3DFB" w:rsidRPr="00940807">
        <w:rPr>
          <w:sz w:val="22"/>
          <w:szCs w:val="22"/>
        </w:rPr>
        <w:t>.  Accordingly, this indicates poor predictive validity (values of 0.5 to 0.6 indicate that the instrument is worthless as it is unable to predict outcomes).</w:t>
      </w:r>
      <w:r w:rsidR="00F56B36" w:rsidRPr="00940807">
        <w:rPr>
          <w:sz w:val="22"/>
          <w:szCs w:val="22"/>
        </w:rPr>
        <w:t xml:space="preserve">  This outcome is not </w:t>
      </w:r>
      <w:r w:rsidR="006B662A" w:rsidRPr="00940807">
        <w:rPr>
          <w:sz w:val="22"/>
          <w:szCs w:val="22"/>
        </w:rPr>
        <w:t xml:space="preserve">[statistically] </w:t>
      </w:r>
      <w:r w:rsidR="00F56B36" w:rsidRPr="00940807">
        <w:rPr>
          <w:sz w:val="22"/>
          <w:szCs w:val="22"/>
        </w:rPr>
        <w:t xml:space="preserve">significant </w:t>
      </w:r>
      <w:r w:rsidR="004B6E9F" w:rsidRPr="00940807">
        <w:rPr>
          <w:sz w:val="22"/>
          <w:szCs w:val="22"/>
        </w:rPr>
        <w:t xml:space="preserve">… </w:t>
      </w:r>
      <w:r w:rsidR="00B50E0C" w:rsidRPr="00940807">
        <w:rPr>
          <w:sz w:val="22"/>
          <w:szCs w:val="22"/>
        </w:rPr>
        <w:t>however, the strength of the value does indicate a pattern of predictive value. …</w:t>
      </w:r>
      <w:r w:rsidR="001D5923" w:rsidRPr="00940807">
        <w:rPr>
          <w:sz w:val="22"/>
          <w:szCs w:val="22"/>
        </w:rPr>
        <w:t xml:space="preserve"> Much like the outcomes for the other performance indicators, the VERA-2R’s predictive validity for violent outcomes is extremely low.  With a value of 0.510 </w:t>
      </w:r>
      <w:r w:rsidR="006B662A" w:rsidRPr="00940807">
        <w:rPr>
          <w:sz w:val="22"/>
          <w:szCs w:val="22"/>
        </w:rPr>
        <w:t xml:space="preserve">… </w:t>
      </w:r>
      <w:r w:rsidR="00536CBC" w:rsidRPr="00940807">
        <w:rPr>
          <w:sz w:val="22"/>
          <w:szCs w:val="22"/>
        </w:rPr>
        <w:t>the VERA-2R’s ability to predict violence borders on worthless.</w:t>
      </w:r>
      <w:r w:rsidR="000A64E5">
        <w:rPr>
          <w:rStyle w:val="EndnoteReference"/>
        </w:rPr>
        <w:endnoteReference w:id="35"/>
      </w:r>
    </w:p>
    <w:p w14:paraId="2DD90AD3" w14:textId="3EED165B" w:rsidR="00AE3CF7" w:rsidRDefault="00AE3CF7" w:rsidP="00FB1F73">
      <w:pPr>
        <w:pStyle w:val="ListNumber"/>
      </w:pPr>
      <w:r>
        <w:t xml:space="preserve">The </w:t>
      </w:r>
      <w:r w:rsidR="00443654">
        <w:t>inter</w:t>
      </w:r>
      <w:r w:rsidR="00755AB9">
        <w:t xml:space="preserve">-rater reliability of </w:t>
      </w:r>
      <w:r w:rsidR="00360312">
        <w:t xml:space="preserve">the factors within the </w:t>
      </w:r>
      <w:r w:rsidR="00755AB9">
        <w:t xml:space="preserve">VERA-2R was assessed </w:t>
      </w:r>
      <w:r w:rsidR="00C60398">
        <w:t xml:space="preserve">across </w:t>
      </w:r>
      <w:r w:rsidR="00B51762">
        <w:t xml:space="preserve">13 cases </w:t>
      </w:r>
      <w:r w:rsidR="00755AB9">
        <w:t xml:space="preserve">using </w:t>
      </w:r>
      <w:r w:rsidR="00B51762">
        <w:t xml:space="preserve">the </w:t>
      </w:r>
      <w:proofErr w:type="spellStart"/>
      <w:r w:rsidR="00B51762">
        <w:t>Krippendorff’s</w:t>
      </w:r>
      <w:proofErr w:type="spellEnd"/>
      <w:r w:rsidR="00B51762">
        <w:t xml:space="preserve"> alpha test.</w:t>
      </w:r>
      <w:r w:rsidR="00B51762">
        <w:rPr>
          <w:rStyle w:val="EndnoteReference"/>
        </w:rPr>
        <w:endnoteReference w:id="36"/>
      </w:r>
      <w:r w:rsidR="00B51762">
        <w:t xml:space="preserve"> </w:t>
      </w:r>
      <w:r w:rsidR="009A10CC">
        <w:t xml:space="preserve"> If an instrument has been </w:t>
      </w:r>
      <w:r w:rsidR="00080437">
        <w:t>designed an</w:t>
      </w:r>
      <w:r w:rsidR="008B2A21">
        <w:t>d</w:t>
      </w:r>
      <w:r w:rsidR="00080437">
        <w:t xml:space="preserve"> implemented correct</w:t>
      </w:r>
      <w:r w:rsidR="00406C5C">
        <w:t>ly</w:t>
      </w:r>
      <w:r w:rsidR="00080437">
        <w:t xml:space="preserve">, then similar outcomes will be expected across </w:t>
      </w:r>
      <w:r w:rsidR="00FB088A">
        <w:t>ass</w:t>
      </w:r>
      <w:r w:rsidR="005D5350">
        <w:t>essors</w:t>
      </w:r>
      <w:r w:rsidR="00080437">
        <w:t xml:space="preserve"> when examining the same case.</w:t>
      </w:r>
      <w:r w:rsidR="00080437">
        <w:rPr>
          <w:rStyle w:val="EndnoteReference"/>
        </w:rPr>
        <w:endnoteReference w:id="37"/>
      </w:r>
      <w:r w:rsidR="00420E3D">
        <w:t xml:space="preserve">  </w:t>
      </w:r>
      <w:r w:rsidR="00C10E7B">
        <w:t xml:space="preserve">In an instrument with poor inter-rater reliability, the interpretation of a factor that is deemed to indicate high-risk by one assessor may be interpreted to be of low-risk by another. </w:t>
      </w:r>
      <w:r w:rsidR="007F5922">
        <w:t xml:space="preserve"> </w:t>
      </w:r>
      <w:r w:rsidR="00C10E7B">
        <w:t xml:space="preserve">These </w:t>
      </w:r>
      <w:r w:rsidR="007809D0">
        <w:t xml:space="preserve">different </w:t>
      </w:r>
      <w:r w:rsidR="00C10E7B">
        <w:t>decisions would lead to different outcomes for the case under scrutiny.</w:t>
      </w:r>
      <w:r w:rsidR="007F5922">
        <w:rPr>
          <w:rStyle w:val="EndnoteReference"/>
        </w:rPr>
        <w:endnoteReference w:id="38"/>
      </w:r>
      <w:r w:rsidR="00C10E7B">
        <w:t xml:space="preserve"> </w:t>
      </w:r>
      <w:r w:rsidR="007F5922">
        <w:t xml:space="preserve"> </w:t>
      </w:r>
      <w:r w:rsidR="00420E3D">
        <w:t xml:space="preserve">The </w:t>
      </w:r>
      <w:r w:rsidR="00B11FE2">
        <w:t xml:space="preserve">findings of the </w:t>
      </w:r>
      <w:r w:rsidR="00420E3D">
        <w:t xml:space="preserve">Corner Report </w:t>
      </w:r>
      <w:r w:rsidR="005E04FF">
        <w:t xml:space="preserve">in relation to the inter-rater reliability of VERA-2R </w:t>
      </w:r>
      <w:r w:rsidR="00B11FE2">
        <w:t>were as follows</w:t>
      </w:r>
      <w:r w:rsidR="00420E3D">
        <w:t>:</w:t>
      </w:r>
    </w:p>
    <w:p w14:paraId="644B9567" w14:textId="5338BD3C" w:rsidR="00B11FE2" w:rsidRPr="00A646FD" w:rsidRDefault="00B11FE2" w:rsidP="00B11FE2">
      <w:pPr>
        <w:pStyle w:val="ListNumber"/>
        <w:numPr>
          <w:ilvl w:val="0"/>
          <w:numId w:val="0"/>
        </w:numPr>
        <w:ind w:left="1440"/>
        <w:rPr>
          <w:rFonts w:cs="Open Sans"/>
          <w:sz w:val="22"/>
          <w:szCs w:val="22"/>
        </w:rPr>
      </w:pPr>
      <w:r w:rsidRPr="00A646FD">
        <w:rPr>
          <w:rFonts w:cs="Open Sans"/>
          <w:sz w:val="22"/>
          <w:szCs w:val="22"/>
        </w:rPr>
        <w:t xml:space="preserve">The average </w:t>
      </w:r>
      <w:r w:rsidRPr="00A646FD">
        <w:rPr>
          <w:rFonts w:ascii="Cambria Math" w:hAnsi="Cambria Math" w:cs="Cambria Math"/>
          <w:sz w:val="22"/>
          <w:szCs w:val="22"/>
        </w:rPr>
        <w:t>∝</w:t>
      </w:r>
      <w:r w:rsidRPr="00A646FD">
        <w:rPr>
          <w:rFonts w:cs="Open Sans"/>
          <w:sz w:val="22"/>
          <w:szCs w:val="22"/>
        </w:rPr>
        <w:t xml:space="preserve"> value for all assessed cases was 0.242. This indicates that inter-rater reliability of the VERA-2R is extremely low (values below 0.67 are considered worthless, values between 0.68 and 0.8 are considered poor, and values above 0.8 are considered good). The results also demonstrate, that if we were to conduct IRR testing across a population sample of cases, there is an 88.2% probability that the </w:t>
      </w:r>
      <w:r w:rsidRPr="00A646FD">
        <w:rPr>
          <w:rFonts w:ascii="Cambria Math" w:hAnsi="Cambria Math" w:cs="Cambria Math"/>
          <w:sz w:val="22"/>
          <w:szCs w:val="22"/>
        </w:rPr>
        <w:t>∝</w:t>
      </w:r>
      <w:r w:rsidRPr="00A646FD">
        <w:rPr>
          <w:rFonts w:cs="Open Sans"/>
          <w:sz w:val="22"/>
          <w:szCs w:val="22"/>
        </w:rPr>
        <w:t xml:space="preserve"> would be below 0.500 (indicating no inter-rater reliability)</w:t>
      </w:r>
      <w:r w:rsidR="00A646FD" w:rsidRPr="00A646FD">
        <w:rPr>
          <w:rFonts w:cs="Open Sans"/>
          <w:sz w:val="22"/>
          <w:szCs w:val="22"/>
        </w:rPr>
        <w:t>.</w:t>
      </w:r>
      <w:r w:rsidR="00A646FD">
        <w:rPr>
          <w:rStyle w:val="EndnoteReference"/>
        </w:rPr>
        <w:endnoteReference w:id="39"/>
      </w:r>
    </w:p>
    <w:p w14:paraId="1ADEEFAF" w14:textId="7423EC88" w:rsidR="00171F5D" w:rsidRDefault="006A4ACE" w:rsidP="00301609">
      <w:pPr>
        <w:pStyle w:val="ListNumber"/>
      </w:pPr>
      <w:r>
        <w:t xml:space="preserve">The </w:t>
      </w:r>
      <w:r w:rsidR="002338AA">
        <w:t xml:space="preserve">Corner Report concluded that VERA-2R </w:t>
      </w:r>
      <w:r w:rsidR="00B05053">
        <w:t>lacks a strong theoretical and empirical foundation, has poor inter-rater reliability and questionable predictive validity.</w:t>
      </w:r>
      <w:r w:rsidR="00B05053">
        <w:rPr>
          <w:rStyle w:val="EndnoteReference"/>
        </w:rPr>
        <w:endnoteReference w:id="40"/>
      </w:r>
    </w:p>
    <w:p w14:paraId="3B38A27C" w14:textId="2454D5EA" w:rsidR="00584BBB" w:rsidRDefault="00584BBB" w:rsidP="00301609">
      <w:pPr>
        <w:pStyle w:val="ListNumber"/>
      </w:pPr>
      <w:r>
        <w:t xml:space="preserve">In May </w:t>
      </w:r>
      <w:r w:rsidR="007D6546">
        <w:t xml:space="preserve">2023, the Australian Institute of Criminology published a review of violent extremism risk assessment tools </w:t>
      </w:r>
      <w:r w:rsidR="004E4FC6">
        <w:t xml:space="preserve">to determine their suitability for </w:t>
      </w:r>
      <w:r w:rsidR="003E3A30">
        <w:t xml:space="preserve">use </w:t>
      </w:r>
      <w:r w:rsidR="007D6546">
        <w:t xml:space="preserve">in Div 104 control order and Div 105A post-sentence </w:t>
      </w:r>
      <w:r w:rsidR="007D6546">
        <w:lastRenderedPageBreak/>
        <w:t xml:space="preserve">order </w:t>
      </w:r>
      <w:r w:rsidR="003E3A30">
        <w:t>proceedings</w:t>
      </w:r>
      <w:r w:rsidR="007D6546">
        <w:t>.</w:t>
      </w:r>
      <w:r w:rsidR="00415DCA">
        <w:rPr>
          <w:rStyle w:val="EndnoteReference"/>
        </w:rPr>
        <w:endnoteReference w:id="41"/>
      </w:r>
      <w:r w:rsidR="004E4FC6">
        <w:t xml:space="preserve">  The INSLM </w:t>
      </w:r>
      <w:r w:rsidR="00AB2F5E">
        <w:t xml:space="preserve">had regard to </w:t>
      </w:r>
      <w:r w:rsidR="004E4FC6">
        <w:t xml:space="preserve">a draft of that report in </w:t>
      </w:r>
      <w:r w:rsidR="00AB2F5E">
        <w:t>preparing his own report.</w:t>
      </w:r>
      <w:r w:rsidR="00AB2F5E">
        <w:rPr>
          <w:rStyle w:val="EndnoteReference"/>
        </w:rPr>
        <w:endnoteReference w:id="42"/>
      </w:r>
    </w:p>
    <w:p w14:paraId="36861B93" w14:textId="7AC5CE23" w:rsidR="004311EE" w:rsidRDefault="00835CC6" w:rsidP="00301609">
      <w:pPr>
        <w:pStyle w:val="ListNumber"/>
      </w:pPr>
      <w:r>
        <w:t xml:space="preserve">The primary recommendation of the </w:t>
      </w:r>
      <w:r w:rsidR="004311EE">
        <w:t xml:space="preserve">AIC </w:t>
      </w:r>
      <w:r>
        <w:t>was that ‘</w:t>
      </w:r>
      <w:r w:rsidR="004311EE">
        <w:t xml:space="preserve">VERA-2R </w:t>
      </w:r>
      <w:r w:rsidR="00F31F80">
        <w:t xml:space="preserve">remains </w:t>
      </w:r>
      <w:r w:rsidR="004311EE">
        <w:t xml:space="preserve">the </w:t>
      </w:r>
      <w:r w:rsidR="00606F6A">
        <w:t>most suitable</w:t>
      </w:r>
      <w:r w:rsidR="002C7DA2">
        <w:t xml:space="preserve"> risk assessment tool for use with Division 104 control orders and Division 105A post-sentence orders</w:t>
      </w:r>
      <w:r>
        <w:t xml:space="preserve"> </w:t>
      </w:r>
      <w:r w:rsidR="00F31F80">
        <w:t>and should continue to be used, in conjunction with other suitable tools as appropriate</w:t>
      </w:r>
      <w:r w:rsidR="00606F6A">
        <w:t>’</w:t>
      </w:r>
      <w:r w:rsidR="00F31F80">
        <w:t>.</w:t>
      </w:r>
      <w:r w:rsidR="00C500EA">
        <w:rPr>
          <w:rStyle w:val="EndnoteReference"/>
        </w:rPr>
        <w:endnoteReference w:id="43"/>
      </w:r>
      <w:r w:rsidR="00F31F80">
        <w:t xml:space="preserve">  However, this recommendation was qualified by </w:t>
      </w:r>
      <w:r w:rsidR="007413C8">
        <w:t>the warning that VERA-2R ‘must be subjected to further scrutiny and, in particular, validation’.</w:t>
      </w:r>
      <w:r w:rsidR="00396C6A">
        <w:rPr>
          <w:rStyle w:val="EndnoteReference"/>
        </w:rPr>
        <w:endnoteReference w:id="44"/>
      </w:r>
      <w:r w:rsidR="00606F6A">
        <w:t xml:space="preserve"> </w:t>
      </w:r>
      <w:r w:rsidR="007413C8">
        <w:t xml:space="preserve"> The AIC did not have the benefit of the Corner Report</w:t>
      </w:r>
      <w:r w:rsidR="00626AE5">
        <w:t>’s analysis of VERA-2R’s predictive validity</w:t>
      </w:r>
      <w:r w:rsidR="007413C8">
        <w:t xml:space="preserve"> when preparing its own report.</w:t>
      </w:r>
      <w:r w:rsidR="00C518B4">
        <w:rPr>
          <w:rStyle w:val="EndnoteReference"/>
        </w:rPr>
        <w:endnoteReference w:id="45"/>
      </w:r>
    </w:p>
    <w:p w14:paraId="26D1BCB3" w14:textId="37D218F4" w:rsidR="00C500EA" w:rsidRDefault="0019690D" w:rsidP="00301609">
      <w:pPr>
        <w:pStyle w:val="ListNumber"/>
      </w:pPr>
      <w:r>
        <w:t>A more detailed an</w:t>
      </w:r>
      <w:r w:rsidR="000F354A">
        <w:t>alysis of the AIC Report</w:t>
      </w:r>
      <w:r w:rsidR="00DA3543">
        <w:t xml:space="preserve"> casts </w:t>
      </w:r>
      <w:r w:rsidR="001914A5">
        <w:t xml:space="preserve">further </w:t>
      </w:r>
      <w:proofErr w:type="gramStart"/>
      <w:r w:rsidR="00DA3543">
        <w:t>doubt</w:t>
      </w:r>
      <w:proofErr w:type="gramEnd"/>
      <w:r w:rsidR="00DA3543">
        <w:t xml:space="preserve"> on t</w:t>
      </w:r>
      <w:r w:rsidR="001914A5">
        <w:t xml:space="preserve">he strength of its </w:t>
      </w:r>
      <w:r w:rsidR="00A140BD">
        <w:t xml:space="preserve">primary </w:t>
      </w:r>
      <w:r w:rsidR="001914A5">
        <w:t>recommendation.</w:t>
      </w:r>
      <w:r w:rsidR="00E81CC9">
        <w:t xml:space="preserve">  </w:t>
      </w:r>
      <w:r w:rsidR="009860C1">
        <w:t>The AIC Report emphasised that ‘when making decisions that have considerable ethical implications for the judicial process, there should be an expectation that the tools used to inform those decisions be robust and highly effective’.</w:t>
      </w:r>
      <w:r w:rsidR="006F36A0">
        <w:rPr>
          <w:rStyle w:val="EndnoteReference"/>
        </w:rPr>
        <w:endnoteReference w:id="46"/>
      </w:r>
      <w:r w:rsidR="009860C1">
        <w:t xml:space="preserve">  However, t</w:t>
      </w:r>
      <w:r w:rsidR="00E81CC9">
        <w:t>he report concedes in relation to each of the four tools under review that ‘there is little evidence that these tools are accurate’</w:t>
      </w:r>
      <w:r w:rsidR="00CB0625">
        <w:t>.</w:t>
      </w:r>
      <w:r w:rsidR="00CB0625">
        <w:rPr>
          <w:rStyle w:val="EndnoteReference"/>
        </w:rPr>
        <w:endnoteReference w:id="47"/>
      </w:r>
      <w:r w:rsidR="003406A7">
        <w:t xml:space="preserve">  In relation to VERA-2R in particular, the report notes that:</w:t>
      </w:r>
    </w:p>
    <w:p w14:paraId="6A1771D5" w14:textId="5CC50D98" w:rsidR="003406A7" w:rsidRDefault="00787270" w:rsidP="00C96854">
      <w:pPr>
        <w:pStyle w:val="ListNumber"/>
        <w:numPr>
          <w:ilvl w:val="0"/>
          <w:numId w:val="0"/>
        </w:numPr>
        <w:ind w:left="1440"/>
      </w:pPr>
      <w:r w:rsidRPr="00203A6F">
        <w:rPr>
          <w:sz w:val="22"/>
          <w:szCs w:val="22"/>
        </w:rPr>
        <w:t xml:space="preserve">Published studies on the VERA and its subsequent versions provide limited evidence regarding the validity or reliability of the tool. In addition, there is little evidence in terms of the appropriateness of the indicators with samples </w:t>
      </w:r>
      <w:r w:rsidR="00F83F95" w:rsidRPr="00203A6F">
        <w:rPr>
          <w:sz w:val="22"/>
          <w:szCs w:val="22"/>
        </w:rPr>
        <w:t xml:space="preserve">[of] </w:t>
      </w:r>
      <w:r w:rsidRPr="00203A6F">
        <w:rPr>
          <w:sz w:val="22"/>
          <w:szCs w:val="22"/>
        </w:rPr>
        <w:t>who became radicalised or engaged in violent extremism in Australia. The applicability for Australian violent extremists of the risk indicators</w:t>
      </w:r>
      <w:r w:rsidR="00BE36A2" w:rsidRPr="00203A6F">
        <w:rPr>
          <w:sz w:val="22"/>
          <w:szCs w:val="22"/>
        </w:rPr>
        <w:t xml:space="preserve"> emerging from the VERA-2R is therefore unclear. Research into this tool is particularly difficult as the content is not widely or publicly available and, as a result, independent research into its validity is not possible.</w:t>
      </w:r>
      <w:r w:rsidR="00A140BD">
        <w:rPr>
          <w:rStyle w:val="EndnoteReference"/>
        </w:rPr>
        <w:endnoteReference w:id="48"/>
      </w:r>
    </w:p>
    <w:p w14:paraId="482841FA" w14:textId="788F199F" w:rsidR="003B1AA7" w:rsidRDefault="003B1AA7" w:rsidP="00C040EA">
      <w:pPr>
        <w:pStyle w:val="ListNumber"/>
      </w:pPr>
      <w:r>
        <w:t xml:space="preserve">Ultimately, it appears that the AIC Report’s primary recommendation is based on the anecdotal </w:t>
      </w:r>
      <w:r w:rsidR="009271D0">
        <w:t xml:space="preserve">opinion of some </w:t>
      </w:r>
      <w:r>
        <w:t xml:space="preserve">participants in its study that VERA-2R </w:t>
      </w:r>
      <w:r w:rsidR="009271D0">
        <w:t>was</w:t>
      </w:r>
      <w:r w:rsidR="00A722E2">
        <w:t>, in comparison to others,</w:t>
      </w:r>
      <w:r w:rsidR="009271D0">
        <w:t xml:space="preserve"> the ‘best available’ tool.</w:t>
      </w:r>
      <w:r w:rsidR="00A722E2">
        <w:rPr>
          <w:rStyle w:val="EndnoteReference"/>
        </w:rPr>
        <w:endnoteReference w:id="49"/>
      </w:r>
      <w:r w:rsidR="009271D0">
        <w:t xml:space="preserve">  However, that is little comfort if the best available tool is not suited for the </w:t>
      </w:r>
      <w:r w:rsidR="00A722E2">
        <w:t xml:space="preserve">task </w:t>
      </w:r>
      <w:r w:rsidR="009271D0">
        <w:t xml:space="preserve">to which </w:t>
      </w:r>
      <w:r w:rsidR="00A722E2">
        <w:t>it is put.</w:t>
      </w:r>
    </w:p>
    <w:p w14:paraId="03461114" w14:textId="60B7FF2E" w:rsidR="00C040EA" w:rsidRDefault="00C806DF" w:rsidP="00301609">
      <w:pPr>
        <w:pStyle w:val="ListNumber"/>
      </w:pPr>
      <w:r>
        <w:t>As noted by the INSLM, VERA-2R was not developed to perform the task required by Div 105A</w:t>
      </w:r>
      <w:r w:rsidR="00C867B5">
        <w:t>,</w:t>
      </w:r>
      <w:r>
        <w:t xml:space="preserve"> that is, to assess the risk of an offender committing a serious Part 5.3 offence.  Nor was it developed for use in </w:t>
      </w:r>
      <w:proofErr w:type="gramStart"/>
      <w:r>
        <w:t>making a decision</w:t>
      </w:r>
      <w:proofErr w:type="gramEnd"/>
      <w:r>
        <w:t xml:space="preserve"> about whether a person should be detained in custody after the expiration of their sentence.</w:t>
      </w:r>
      <w:r w:rsidR="00C867B5">
        <w:rPr>
          <w:rStyle w:val="EndnoteReference"/>
        </w:rPr>
        <w:endnoteReference w:id="50"/>
      </w:r>
      <w:r w:rsidR="007F7AE2">
        <w:t xml:space="preserve">  On the basis of the </w:t>
      </w:r>
      <w:r w:rsidR="007F7AE2">
        <w:lastRenderedPageBreak/>
        <w:t xml:space="preserve">Corner Report, it is now clear that </w:t>
      </w:r>
      <w:r w:rsidR="00EB3849">
        <w:t xml:space="preserve">that ‘best available’ tool </w:t>
      </w:r>
      <w:r w:rsidR="007F7AE2">
        <w:t xml:space="preserve">is not </w:t>
      </w:r>
      <w:r w:rsidR="00C60944">
        <w:t xml:space="preserve">appropriate for use in relation to these tasks. </w:t>
      </w:r>
    </w:p>
    <w:p w14:paraId="4425516C" w14:textId="77777777" w:rsidR="00AA2B84" w:rsidRDefault="005E50D2" w:rsidP="00301609">
      <w:pPr>
        <w:pStyle w:val="ListNumber"/>
      </w:pPr>
      <w:r>
        <w:t xml:space="preserve">In the absence of </w:t>
      </w:r>
      <w:r w:rsidR="00815716">
        <w:t xml:space="preserve">a valid SPJ tool, an assessment of the risk of </w:t>
      </w:r>
      <w:r w:rsidR="0012562C">
        <w:t xml:space="preserve">a person committing a serious Part 5.3 offence would have to be made </w:t>
      </w:r>
      <w:proofErr w:type="gramStart"/>
      <w:r w:rsidR="0012562C">
        <w:t>on the basis of</w:t>
      </w:r>
      <w:proofErr w:type="gramEnd"/>
      <w:r w:rsidR="0012562C">
        <w:t xml:space="preserve"> an unstructured </w:t>
      </w:r>
      <w:r w:rsidR="0067096F">
        <w:t>‘clinical’</w:t>
      </w:r>
      <w:r w:rsidR="0012562C">
        <w:t xml:space="preserve"> judg</w:t>
      </w:r>
      <w:r w:rsidR="000F1A36">
        <w:t>e</w:t>
      </w:r>
      <w:r w:rsidR="0012562C">
        <w:t>ment.</w:t>
      </w:r>
      <w:r w:rsidR="00964E99">
        <w:t xml:space="preserve">  </w:t>
      </w:r>
      <w:r w:rsidR="002117C1">
        <w:t>The Corner Report refers to research demonstrat</w:t>
      </w:r>
      <w:r w:rsidR="00B24AD5">
        <w:t>ing</w:t>
      </w:r>
      <w:r w:rsidR="002117C1">
        <w:t xml:space="preserve"> that clinical judg</w:t>
      </w:r>
      <w:r w:rsidR="00214398">
        <w:t>e</w:t>
      </w:r>
      <w:r w:rsidR="002117C1">
        <w:t xml:space="preserve">ment alone is no better than chance </w:t>
      </w:r>
      <w:r w:rsidR="00175BA5">
        <w:t>at predicting the risk of violence.</w:t>
      </w:r>
      <w:r w:rsidR="00175BA5">
        <w:rPr>
          <w:rStyle w:val="EndnoteReference"/>
        </w:rPr>
        <w:endnoteReference w:id="51"/>
      </w:r>
      <w:r w:rsidR="00F728B7">
        <w:t xml:space="preserve">  </w:t>
      </w:r>
      <w:r w:rsidR="001D02F7">
        <w:t xml:space="preserve">This is consistent with </w:t>
      </w:r>
      <w:r w:rsidR="00921D7E">
        <w:t xml:space="preserve">evidence </w:t>
      </w:r>
      <w:r w:rsidR="00B13DFE">
        <w:t>referred to by the Sentence Advisory Councils in both Victoria and New South Wales.</w:t>
      </w:r>
      <w:r w:rsidR="001C4DBB">
        <w:rPr>
          <w:rStyle w:val="EndnoteReference"/>
        </w:rPr>
        <w:endnoteReference w:id="52"/>
      </w:r>
      <w:r w:rsidR="00B13DFE">
        <w:t xml:space="preserve"> </w:t>
      </w:r>
      <w:r w:rsidR="00921D7E">
        <w:t xml:space="preserve"> The AIC Report </w:t>
      </w:r>
      <w:r w:rsidR="0061084B">
        <w:t>refer</w:t>
      </w:r>
      <w:r w:rsidR="003B1788">
        <w:t>s</w:t>
      </w:r>
      <w:r w:rsidR="0061084B">
        <w:t xml:space="preserve"> to research </w:t>
      </w:r>
      <w:r w:rsidR="00921D7E">
        <w:t xml:space="preserve">that unstructured ‘clinical’ judgement ‘is </w:t>
      </w:r>
      <w:r w:rsidR="00BF313C">
        <w:t xml:space="preserve">prone to significant error due to subjective bias </w:t>
      </w:r>
      <w:r w:rsidR="006D0F8D">
        <w:t>that results in the incorrect assessment of factors and a lack of consistency and appropriateness in weighing the importance of certain factors’.</w:t>
      </w:r>
      <w:r w:rsidR="0061084B">
        <w:rPr>
          <w:rStyle w:val="EndnoteReference"/>
        </w:rPr>
        <w:endnoteReference w:id="53"/>
      </w:r>
      <w:r w:rsidR="0061084B">
        <w:t xml:space="preserve">  </w:t>
      </w:r>
    </w:p>
    <w:p w14:paraId="019C3AA1" w14:textId="392B1083" w:rsidR="005E50D2" w:rsidRDefault="00AA2B84" w:rsidP="00301609">
      <w:pPr>
        <w:pStyle w:val="ListNumber"/>
      </w:pPr>
      <w:r>
        <w:t>During his inquiry, t</w:t>
      </w:r>
      <w:r w:rsidR="00F728B7">
        <w:t xml:space="preserve">he INSLM </w:t>
      </w:r>
      <w:r w:rsidR="00C42550">
        <w:t xml:space="preserve">sought, but was not provided with, answers </w:t>
      </w:r>
      <w:r w:rsidR="00F0627A">
        <w:t xml:space="preserve">about what expertise was </w:t>
      </w:r>
      <w:r w:rsidR="00A01B67">
        <w:t xml:space="preserve">considered </w:t>
      </w:r>
      <w:r w:rsidR="00D717C8">
        <w:t>valid to inform a ‘clinical’ judgement about the likelihood of a person committing a Part 5.3 offence.</w:t>
      </w:r>
      <w:r w:rsidR="00D717C8">
        <w:rPr>
          <w:rStyle w:val="EndnoteReference"/>
        </w:rPr>
        <w:endnoteReference w:id="54"/>
      </w:r>
      <w:r w:rsidR="003B797D">
        <w:t xml:space="preserve">  What seems clear is that clinical judgement </w:t>
      </w:r>
      <w:r w:rsidR="008B3B35">
        <w:t xml:space="preserve">alone </w:t>
      </w:r>
      <w:r w:rsidR="003B797D">
        <w:t xml:space="preserve">cannot be a sufficient basis </w:t>
      </w:r>
      <w:r w:rsidR="008B3B35">
        <w:t xml:space="preserve">for the making of a </w:t>
      </w:r>
      <w:r w:rsidR="0071232D">
        <w:t>CDO</w:t>
      </w:r>
      <w:r w:rsidR="008B3B35">
        <w:t>.</w:t>
      </w:r>
      <w:r w:rsidR="00531EF7">
        <w:t xml:space="preserve">  That is, without a </w:t>
      </w:r>
      <w:r w:rsidR="00BF68BE">
        <w:t xml:space="preserve">valid risk assessment tool, </w:t>
      </w:r>
      <w:r w:rsidR="00656FC5">
        <w:t xml:space="preserve">there is no justification for keeping people detained after the end of their sentence based on </w:t>
      </w:r>
      <w:r w:rsidR="00474793">
        <w:t xml:space="preserve">the </w:t>
      </w:r>
      <w:r w:rsidR="00656FC5">
        <w:t xml:space="preserve">opinion of </w:t>
      </w:r>
      <w:r w:rsidR="00BA5723">
        <w:t xml:space="preserve">someone </w:t>
      </w:r>
      <w:r w:rsidR="006678BD">
        <w:t xml:space="preserve">claiming </w:t>
      </w:r>
      <w:r w:rsidR="003F22EE">
        <w:t>expert</w:t>
      </w:r>
      <w:r w:rsidR="006678BD">
        <w:t>ise</w:t>
      </w:r>
      <w:r w:rsidR="003F22EE">
        <w:t xml:space="preserve"> </w:t>
      </w:r>
      <w:r w:rsidR="00BA5723">
        <w:t xml:space="preserve">because those opinions are not reliable indicators of future risk. </w:t>
      </w:r>
    </w:p>
    <w:p w14:paraId="52516083" w14:textId="74439450" w:rsidR="00B07499" w:rsidRPr="0027171C" w:rsidRDefault="00B07499" w:rsidP="00B07499">
      <w:pPr>
        <w:pStyle w:val="Heading3"/>
        <w:rPr>
          <w:i/>
          <w:iCs/>
        </w:rPr>
      </w:pPr>
      <w:bookmarkStart w:id="13" w:name="_Toc138410679"/>
      <w:r w:rsidRPr="0027171C">
        <w:rPr>
          <w:i/>
          <w:iCs/>
        </w:rPr>
        <w:t>Recommendation by the INSLM</w:t>
      </w:r>
      <w:bookmarkEnd w:id="13"/>
    </w:p>
    <w:p w14:paraId="5BD0E9B7" w14:textId="05209AEF" w:rsidR="008B0473" w:rsidRDefault="00A22091" w:rsidP="00301609">
      <w:pPr>
        <w:pStyle w:val="ListNumber"/>
      </w:pPr>
      <w:r>
        <w:t xml:space="preserve">The INSLM recommended that </w:t>
      </w:r>
      <w:r w:rsidR="00041BF0">
        <w:t xml:space="preserve">Div 105A be amended by repealing the parts of it that relate to </w:t>
      </w:r>
      <w:r w:rsidR="00886D12">
        <w:t>CDOs</w:t>
      </w:r>
      <w:r w:rsidR="00041BF0">
        <w:t xml:space="preserve">.  </w:t>
      </w:r>
      <w:r w:rsidR="006A0DC7">
        <w:t xml:space="preserve">The Commission agrees </w:t>
      </w:r>
      <w:r w:rsidR="00E2610E">
        <w:t xml:space="preserve">with this </w:t>
      </w:r>
      <w:r w:rsidR="00981A2A">
        <w:t>recommendation</w:t>
      </w:r>
      <w:r w:rsidR="00E2610E">
        <w:t xml:space="preserve">.  The </w:t>
      </w:r>
      <w:r w:rsidR="0017778D">
        <w:t xml:space="preserve">key </w:t>
      </w:r>
      <w:r w:rsidR="00E2610E">
        <w:t xml:space="preserve">factors relied on by the INSLM in reaching the view that </w:t>
      </w:r>
      <w:r w:rsidR="007C035A">
        <w:t xml:space="preserve">the </w:t>
      </w:r>
      <w:r w:rsidR="00886D12">
        <w:t xml:space="preserve">CDO </w:t>
      </w:r>
      <w:r w:rsidR="008F2790">
        <w:t xml:space="preserve">regime </w:t>
      </w:r>
      <w:r w:rsidR="007C035A">
        <w:t xml:space="preserve">is not </w:t>
      </w:r>
      <w:r w:rsidR="008F2790">
        <w:t>proportionate to the threat of terrorism and is not necessary</w:t>
      </w:r>
      <w:r w:rsidR="0017778D">
        <w:t xml:space="preserve"> were:</w:t>
      </w:r>
    </w:p>
    <w:p w14:paraId="77E1085F" w14:textId="190AA571" w:rsidR="0017778D" w:rsidRDefault="00293A8B" w:rsidP="0017778D">
      <w:pPr>
        <w:pStyle w:val="ListNumber"/>
        <w:numPr>
          <w:ilvl w:val="0"/>
          <w:numId w:val="19"/>
        </w:numPr>
      </w:pPr>
      <w:r>
        <w:t>t</w:t>
      </w:r>
      <w:r w:rsidR="0017778D">
        <w:t xml:space="preserve">he inability to make accurate assessments about the risk that someone might commit a </w:t>
      </w:r>
      <w:r>
        <w:t xml:space="preserve">serious </w:t>
      </w:r>
      <w:r w:rsidR="0017778D">
        <w:t>Part 5.3 offenc</w:t>
      </w:r>
      <w:r>
        <w:t xml:space="preserve">e in the </w:t>
      </w:r>
      <w:proofErr w:type="gramStart"/>
      <w:r>
        <w:t>future</w:t>
      </w:r>
      <w:proofErr w:type="gramEnd"/>
    </w:p>
    <w:p w14:paraId="085019D5" w14:textId="02688E0B" w:rsidR="004F79F2" w:rsidRDefault="004F79F2" w:rsidP="0017778D">
      <w:pPr>
        <w:pStyle w:val="ListNumber"/>
        <w:numPr>
          <w:ilvl w:val="0"/>
          <w:numId w:val="19"/>
        </w:numPr>
      </w:pPr>
      <w:r>
        <w:t xml:space="preserve">the broad nature of the conduct that is captured by Part 5.3 of the Criminal Code, including </w:t>
      </w:r>
      <w:r w:rsidR="00CE4A01">
        <w:t xml:space="preserve">some conduct that </w:t>
      </w:r>
      <w:r w:rsidR="00AE1795">
        <w:t>does carry a high degree of probability of harm to persons or property</w:t>
      </w:r>
      <w:r w:rsidR="00836748">
        <w:rPr>
          <w:rStyle w:val="EndnoteReference"/>
        </w:rPr>
        <w:endnoteReference w:id="55"/>
      </w:r>
      <w:r w:rsidR="00AE1795">
        <w:t xml:space="preserve"> </w:t>
      </w:r>
    </w:p>
    <w:p w14:paraId="78BA68E9" w14:textId="138249A6" w:rsidR="00293A8B" w:rsidRDefault="00293A8B" w:rsidP="0017778D">
      <w:pPr>
        <w:pStyle w:val="ListNumber"/>
        <w:numPr>
          <w:ilvl w:val="0"/>
          <w:numId w:val="19"/>
        </w:numPr>
      </w:pPr>
      <w:r>
        <w:t xml:space="preserve">the </w:t>
      </w:r>
      <w:r w:rsidR="00DB6791">
        <w:t xml:space="preserve">very </w:t>
      </w:r>
      <w:r>
        <w:t xml:space="preserve">low numbers of people who have committed a serious Part 5.3 offence </w:t>
      </w:r>
      <w:r w:rsidR="00D027C5">
        <w:t xml:space="preserve">in Australia </w:t>
      </w:r>
      <w:r>
        <w:t xml:space="preserve">since </w:t>
      </w:r>
      <w:r w:rsidR="008A2E8D">
        <w:t>2001, particularly in comparison with other serious crimes</w:t>
      </w:r>
      <w:r w:rsidR="008A2E8D">
        <w:rPr>
          <w:rStyle w:val="EndnoteReference"/>
        </w:rPr>
        <w:endnoteReference w:id="56"/>
      </w:r>
    </w:p>
    <w:p w14:paraId="65B05B4E" w14:textId="1E992BD2" w:rsidR="00740CCE" w:rsidRDefault="00740CCE" w:rsidP="0017778D">
      <w:pPr>
        <w:pStyle w:val="ListNumber"/>
        <w:numPr>
          <w:ilvl w:val="0"/>
          <w:numId w:val="19"/>
        </w:numPr>
      </w:pPr>
      <w:r>
        <w:lastRenderedPageBreak/>
        <w:t>the very low recidivist rate for terrorist offenders, particularly in comparison with most (if not all) other offence types</w:t>
      </w:r>
      <w:r w:rsidR="00D027C5">
        <w:rPr>
          <w:rStyle w:val="EndnoteReference"/>
        </w:rPr>
        <w:endnoteReference w:id="57"/>
      </w:r>
    </w:p>
    <w:p w14:paraId="0F38AE8D" w14:textId="17E5CB2E" w:rsidR="008A2E8D" w:rsidRDefault="00CE076F" w:rsidP="0017778D">
      <w:pPr>
        <w:pStyle w:val="ListNumber"/>
        <w:numPr>
          <w:ilvl w:val="0"/>
          <w:numId w:val="19"/>
        </w:numPr>
      </w:pPr>
      <w:r>
        <w:t>the fact that no other comparable country has an equivalent regime of post-sentence detention</w:t>
      </w:r>
      <w:r w:rsidR="00C26093">
        <w:rPr>
          <w:rStyle w:val="EndnoteReference"/>
        </w:rPr>
        <w:endnoteReference w:id="58"/>
      </w:r>
    </w:p>
    <w:p w14:paraId="405C487F" w14:textId="309B7E73" w:rsidR="00301609" w:rsidRDefault="00347C84" w:rsidP="00301609">
      <w:pPr>
        <w:pStyle w:val="ListNumber"/>
        <w:numPr>
          <w:ilvl w:val="0"/>
          <w:numId w:val="19"/>
        </w:numPr>
      </w:pPr>
      <w:r>
        <w:t xml:space="preserve">the availability of other methods to deal with </w:t>
      </w:r>
      <w:r w:rsidR="000F22F8">
        <w:t xml:space="preserve">terrorist offenders, including </w:t>
      </w:r>
      <w:r w:rsidR="00AF179C">
        <w:t>ESOs</w:t>
      </w:r>
      <w:r w:rsidR="000F22F8">
        <w:t xml:space="preserve"> and, in the INLSM’s view, control orders and preventative detention orders</w:t>
      </w:r>
      <w:r w:rsidR="00D0548A">
        <w:t>.</w:t>
      </w:r>
      <w:r w:rsidR="000F22F8">
        <w:rPr>
          <w:rStyle w:val="EndnoteReference"/>
        </w:rPr>
        <w:endnoteReference w:id="59"/>
      </w:r>
    </w:p>
    <w:p w14:paraId="335B9D14" w14:textId="7CACF579" w:rsidR="0099501B" w:rsidRDefault="00077CBE" w:rsidP="00B75646">
      <w:pPr>
        <w:pStyle w:val="ListNumber"/>
      </w:pPr>
      <w:r>
        <w:t xml:space="preserve">It might be suggested that </w:t>
      </w:r>
      <w:r w:rsidR="005D553E">
        <w:t>it would be sufficient for the Government to adopt a</w:t>
      </w:r>
      <w:r w:rsidR="008741AA">
        <w:t xml:space="preserve"> temporary</w:t>
      </w:r>
      <w:r w:rsidR="005D553E">
        <w:t xml:space="preserve"> policy position of not seeking </w:t>
      </w:r>
      <w:r w:rsidR="00B34E7F">
        <w:t>CDOs</w:t>
      </w:r>
      <w:r w:rsidR="005D553E">
        <w:t>, in the hope or expect</w:t>
      </w:r>
      <w:r w:rsidR="003B58AF">
        <w:t xml:space="preserve">ation that a valid risk assessment tool might be developed in the future.  In the Commission’s view, it was a mistake to legislate </w:t>
      </w:r>
      <w:r w:rsidR="007116D1">
        <w:t xml:space="preserve">a </w:t>
      </w:r>
      <w:r w:rsidR="00B34E7F">
        <w:t xml:space="preserve">CDO </w:t>
      </w:r>
      <w:r w:rsidR="007116D1">
        <w:t xml:space="preserve">regime </w:t>
      </w:r>
      <w:r w:rsidR="003B58AF">
        <w:t xml:space="preserve">without </w:t>
      </w:r>
      <w:r w:rsidR="007116D1">
        <w:t xml:space="preserve">first demonstrating that </w:t>
      </w:r>
      <w:r w:rsidR="00B763AE">
        <w:t>valid risk assessments could be undertaken.</w:t>
      </w:r>
      <w:r w:rsidR="00FE5CF1">
        <w:t xml:space="preserve">  Little progress towards that goal has been achieved in the seven years since</w:t>
      </w:r>
      <w:r w:rsidR="00F5255B">
        <w:t xml:space="preserve"> </w:t>
      </w:r>
      <w:r w:rsidR="00944ADC">
        <w:t>the commencement of Div 105A in 2016</w:t>
      </w:r>
      <w:r w:rsidR="00FE5CF1">
        <w:t>.</w:t>
      </w:r>
    </w:p>
    <w:p w14:paraId="6A4F6824" w14:textId="045D4203" w:rsidR="00FE5CF1" w:rsidRDefault="00FE5CF1" w:rsidP="00B75646">
      <w:pPr>
        <w:pStyle w:val="ListNumber"/>
      </w:pPr>
      <w:r>
        <w:t xml:space="preserve">However, there is a more fundamental objection to leaving </w:t>
      </w:r>
      <w:r w:rsidR="00944ADC">
        <w:t xml:space="preserve">the </w:t>
      </w:r>
      <w:r w:rsidR="00B34E7F">
        <w:t>CDO</w:t>
      </w:r>
      <w:r w:rsidR="00944ADC">
        <w:t xml:space="preserve"> regime on the books.  </w:t>
      </w:r>
      <w:r w:rsidR="00692FEC">
        <w:t xml:space="preserve">The problem with having the ability to seek orders of this nature is the political temptation to do so in </w:t>
      </w:r>
      <w:r w:rsidR="00030FFB">
        <w:t xml:space="preserve">an individual case </w:t>
      </w:r>
      <w:r w:rsidR="00617D4A">
        <w:t>when</w:t>
      </w:r>
      <w:r w:rsidR="00030FFB">
        <w:t xml:space="preserve"> a particular offender </w:t>
      </w:r>
      <w:r w:rsidR="008E1C38">
        <w:t xml:space="preserve">is due for release, despite a prevailing policy </w:t>
      </w:r>
      <w:r w:rsidR="00EA7182">
        <w:t xml:space="preserve">against it </w:t>
      </w:r>
      <w:r w:rsidR="008E1C38">
        <w:t xml:space="preserve">or the </w:t>
      </w:r>
      <w:r w:rsidR="00EA7182">
        <w:t xml:space="preserve">lack of </w:t>
      </w:r>
      <w:r w:rsidR="008E1C38">
        <w:t xml:space="preserve">a valid tool.  </w:t>
      </w:r>
      <w:r w:rsidR="00173C73">
        <w:t xml:space="preserve">Further, retaining the </w:t>
      </w:r>
      <w:r w:rsidR="00A42CA7">
        <w:t xml:space="preserve">regime </w:t>
      </w:r>
      <w:r w:rsidR="00173C73">
        <w:t xml:space="preserve">sends a message to the judiciary that relevant assessments of risk </w:t>
      </w:r>
      <w:r w:rsidR="00173C73" w:rsidRPr="00173C73">
        <w:rPr>
          <w:i/>
          <w:iCs/>
        </w:rPr>
        <w:t>are</w:t>
      </w:r>
      <w:r w:rsidR="00173C73">
        <w:t xml:space="preserve"> possible, despite evidence to the contrary.</w:t>
      </w:r>
    </w:p>
    <w:p w14:paraId="4F7A367D" w14:textId="0AB6DA63" w:rsidR="00AD1C02" w:rsidRDefault="000B0925" w:rsidP="000B1086">
      <w:pPr>
        <w:pStyle w:val="ListNumber"/>
      </w:pPr>
      <w:r>
        <w:t>As noted in the INSLM Report,</w:t>
      </w:r>
      <w:r w:rsidR="002731C3">
        <w:rPr>
          <w:rStyle w:val="EndnoteReference"/>
        </w:rPr>
        <w:endnoteReference w:id="60"/>
      </w:r>
      <w:r>
        <w:t xml:space="preserve"> in the first instance proceeding involving Mr </w:t>
      </w:r>
      <w:proofErr w:type="spellStart"/>
      <w:r>
        <w:t>Benbrika</w:t>
      </w:r>
      <w:proofErr w:type="spellEnd"/>
      <w:r>
        <w:t xml:space="preserve">, </w:t>
      </w:r>
      <w:r w:rsidR="00A568BA">
        <w:t xml:space="preserve">Dr Michael Davis gave evidence </w:t>
      </w:r>
      <w:r w:rsidR="003D3A68">
        <w:t xml:space="preserve">that was substantially consistent with the later findings in the Corner Report.  Dr </w:t>
      </w:r>
      <w:proofErr w:type="spellStart"/>
      <w:r w:rsidR="003D3A68">
        <w:t>Davis</w:t>
      </w:r>
      <w:r w:rsidR="00952F13">
        <w:t>’</w:t>
      </w:r>
      <w:proofErr w:type="spellEnd"/>
      <w:r w:rsidR="00952F13">
        <w:t xml:space="preserve"> evidence was to the effect that </w:t>
      </w:r>
      <w:r w:rsidR="002731C3">
        <w:t>there was ‘no valid way of assessing extremist risk</w:t>
      </w:r>
      <w:r w:rsidR="0035328D">
        <w:t>’ and that the VERA-2R tool is ‘not appropriate for use in the assessment of risk of violent extremist offending’.</w:t>
      </w:r>
      <w:r w:rsidR="005C1C23">
        <w:rPr>
          <w:rStyle w:val="EndnoteReference"/>
        </w:rPr>
        <w:endnoteReference w:id="61"/>
      </w:r>
      <w:r w:rsidR="002731C3">
        <w:t xml:space="preserve"> </w:t>
      </w:r>
      <w:r w:rsidR="00F7014B">
        <w:t xml:space="preserve"> Justice </w:t>
      </w:r>
      <w:proofErr w:type="spellStart"/>
      <w:r w:rsidR="00F7014B">
        <w:t>Tinney</w:t>
      </w:r>
      <w:proofErr w:type="spellEnd"/>
      <w:r w:rsidR="00F7014B">
        <w:t xml:space="preserve"> </w:t>
      </w:r>
      <w:r w:rsidR="00D72CBD">
        <w:t xml:space="preserve">rejected that </w:t>
      </w:r>
      <w:r w:rsidR="00A143A8">
        <w:t xml:space="preserve">evidence because </w:t>
      </w:r>
      <w:r w:rsidR="00952F13">
        <w:t xml:space="preserve">to accept it would </w:t>
      </w:r>
      <w:r w:rsidR="00A143A8">
        <w:t xml:space="preserve">be to conclude that there could never be evidence of a kind </w:t>
      </w:r>
      <w:r w:rsidR="00990C76">
        <w:t>that Div 105A countenanced.</w:t>
      </w:r>
      <w:r w:rsidR="00AC36E4">
        <w:rPr>
          <w:rStyle w:val="EndnoteReference"/>
        </w:rPr>
        <w:endnoteReference w:id="62"/>
      </w:r>
      <w:r w:rsidR="00990C76">
        <w:t xml:space="preserve">  That is, the Court found that if the legislation says that </w:t>
      </w:r>
      <w:r w:rsidR="002439A5">
        <w:t xml:space="preserve">the Court must have regard to </w:t>
      </w:r>
      <w:r w:rsidR="004702FA">
        <w:t>an</w:t>
      </w:r>
      <w:r w:rsidR="00AC14D3">
        <w:t>y</w:t>
      </w:r>
      <w:r w:rsidR="004702FA">
        <w:t xml:space="preserve"> expert report about the risk of an offender committing a serious Part 5.3 offence, then it must be possible for such a </w:t>
      </w:r>
      <w:r w:rsidR="007541E2">
        <w:t>risk assessment to be undertaken</w:t>
      </w:r>
      <w:r w:rsidR="00AC36E4">
        <w:t>.</w:t>
      </w:r>
      <w:r w:rsidR="00B64740">
        <w:t xml:space="preserve">  This finding </w:t>
      </w:r>
      <w:r w:rsidR="00AD1C02">
        <w:t xml:space="preserve">clearly </w:t>
      </w:r>
      <w:r w:rsidR="006B0A6C">
        <w:t xml:space="preserve">demonstrates why it was an error to legislate for the regime prior to developing a </w:t>
      </w:r>
      <w:r w:rsidR="00AD1C02">
        <w:t xml:space="preserve">valid </w:t>
      </w:r>
      <w:r w:rsidR="006B0A6C">
        <w:t xml:space="preserve">risk assessment tool.  </w:t>
      </w:r>
    </w:p>
    <w:p w14:paraId="3858BD23" w14:textId="4A8FA519" w:rsidR="005E51E1" w:rsidRPr="0027171C" w:rsidRDefault="00AB44C3" w:rsidP="00AB44C3">
      <w:pPr>
        <w:pStyle w:val="Heading3"/>
        <w:rPr>
          <w:i/>
          <w:iCs/>
        </w:rPr>
      </w:pPr>
      <w:bookmarkStart w:id="14" w:name="_Toc138410680"/>
      <w:r w:rsidRPr="0027171C">
        <w:rPr>
          <w:i/>
          <w:iCs/>
        </w:rPr>
        <w:lastRenderedPageBreak/>
        <w:t>Experience of managing offenders in the community</w:t>
      </w:r>
      <w:bookmarkEnd w:id="14"/>
    </w:p>
    <w:p w14:paraId="5D64DFDC" w14:textId="7B370D1A" w:rsidR="00D17642" w:rsidRDefault="00DB4DD4" w:rsidP="00940CD5">
      <w:pPr>
        <w:pStyle w:val="ListNumber"/>
      </w:pPr>
      <w:r>
        <w:t xml:space="preserve">Repeal of the CDO regime is unlikely to have any material impact on the way in which terrorist offenders are managed in practice following the expiration of their sentences.  </w:t>
      </w:r>
      <w:r w:rsidR="00A807B0">
        <w:t xml:space="preserve">Overwhelmingly, </w:t>
      </w:r>
      <w:r w:rsidR="001F7D57">
        <w:t xml:space="preserve">the practice of authorities in Australia has been to manage terrorist offenders in the community following the end of their sentences, </w:t>
      </w:r>
      <w:r w:rsidR="00BB4D8E">
        <w:t xml:space="preserve">with an initial period </w:t>
      </w:r>
      <w:r w:rsidR="00ED3A3F">
        <w:t xml:space="preserve">of up to two years </w:t>
      </w:r>
      <w:r w:rsidR="00BB4D8E">
        <w:t xml:space="preserve">during which they are required to comply with a </w:t>
      </w:r>
      <w:r w:rsidR="007F7E50">
        <w:t>range of conditions.</w:t>
      </w:r>
    </w:p>
    <w:p w14:paraId="0FA210E4" w14:textId="77777777" w:rsidR="00440B32" w:rsidRDefault="004A5B9A" w:rsidP="00940CD5">
      <w:pPr>
        <w:pStyle w:val="ListNumber"/>
      </w:pPr>
      <w:r>
        <w:t xml:space="preserve">Since the CDO regime was enacted in 2016, there have been </w:t>
      </w:r>
      <w:r w:rsidR="0094274A">
        <w:t xml:space="preserve">at least </w:t>
      </w:r>
      <w:r w:rsidR="00BB2192">
        <w:t>1</w:t>
      </w:r>
      <w:r w:rsidR="00352B24">
        <w:t>4</w:t>
      </w:r>
      <w:r w:rsidR="00BB2192">
        <w:t xml:space="preserve"> </w:t>
      </w:r>
      <w:r>
        <w:t>people who</w:t>
      </w:r>
      <w:r w:rsidR="00EE3C15">
        <w:t xml:space="preserve"> </w:t>
      </w:r>
      <w:r w:rsidR="009333F1">
        <w:t xml:space="preserve">met the definition of a ‘terrorist offender’ </w:t>
      </w:r>
      <w:r w:rsidR="00886BA6">
        <w:t>for the purposes of Div 105A,</w:t>
      </w:r>
      <w:r w:rsidR="008170F4">
        <w:rPr>
          <w:rStyle w:val="EndnoteReference"/>
        </w:rPr>
        <w:endnoteReference w:id="63"/>
      </w:r>
      <w:r w:rsidR="00886BA6">
        <w:t xml:space="preserve"> </w:t>
      </w:r>
      <w:r w:rsidR="00267AE4">
        <w:t xml:space="preserve">but were </w:t>
      </w:r>
      <w:r>
        <w:t xml:space="preserve">released from </w:t>
      </w:r>
      <w:r w:rsidR="005D3AAC">
        <w:t xml:space="preserve">detention without a CDO being sought.  </w:t>
      </w:r>
    </w:p>
    <w:p w14:paraId="51C858FA" w14:textId="58356733" w:rsidR="00BA6581" w:rsidRDefault="00267AE4" w:rsidP="00940CD5">
      <w:pPr>
        <w:pStyle w:val="ListNumber"/>
      </w:pPr>
      <w:r>
        <w:t xml:space="preserve">In the case of </w:t>
      </w:r>
      <w:r w:rsidR="001769CA">
        <w:t>12</w:t>
      </w:r>
      <w:r>
        <w:t xml:space="preserve"> of those people, a control order was </w:t>
      </w:r>
      <w:r w:rsidR="008B0559">
        <w:t xml:space="preserve">obtained for </w:t>
      </w:r>
      <w:r w:rsidR="00BD6FD5">
        <w:t>a</w:t>
      </w:r>
      <w:r w:rsidR="00B9450F">
        <w:t>n initial</w:t>
      </w:r>
      <w:r w:rsidR="00BD6FD5">
        <w:t xml:space="preserve"> </w:t>
      </w:r>
      <w:proofErr w:type="gramStart"/>
      <w:r w:rsidR="00BD6FD5">
        <w:t>12 month</w:t>
      </w:r>
      <w:proofErr w:type="gramEnd"/>
      <w:r w:rsidR="00BD6FD5">
        <w:t xml:space="preserve"> period</w:t>
      </w:r>
      <w:r w:rsidR="008B0559">
        <w:t xml:space="preserve"> following </w:t>
      </w:r>
      <w:r w:rsidR="00A942EE">
        <w:t xml:space="preserve">their </w:t>
      </w:r>
      <w:r w:rsidR="008B0559">
        <w:t>release</w:t>
      </w:r>
      <w:r w:rsidR="00011639">
        <w:t>.</w:t>
      </w:r>
      <w:r w:rsidR="008170F4">
        <w:rPr>
          <w:rStyle w:val="EndnoteReference"/>
        </w:rPr>
        <w:endnoteReference w:id="64"/>
      </w:r>
      <w:r w:rsidR="000073BA">
        <w:t xml:space="preserve">  </w:t>
      </w:r>
      <w:r w:rsidR="00BD6FD5">
        <w:t xml:space="preserve">In some of those cases, a second control order was </w:t>
      </w:r>
      <w:r w:rsidR="00375A50">
        <w:t>obtained for a further 12 month period</w:t>
      </w:r>
      <w:r w:rsidR="00BD6FD5">
        <w:t xml:space="preserve">.  </w:t>
      </w:r>
      <w:r w:rsidR="00DE2180">
        <w:t xml:space="preserve">Most of these people complied with the terms of the control orders without incident.  </w:t>
      </w:r>
      <w:r w:rsidR="003913E7">
        <w:t>The Commission understands that i</w:t>
      </w:r>
      <w:r w:rsidR="00DE2180">
        <w:t xml:space="preserve">n </w:t>
      </w:r>
      <w:r w:rsidR="008F31B0">
        <w:t>two</w:t>
      </w:r>
      <w:r w:rsidR="00DE2180">
        <w:t xml:space="preserve"> cases, </w:t>
      </w:r>
      <w:r w:rsidR="005866E0">
        <w:t xml:space="preserve">offenders </w:t>
      </w:r>
      <w:r w:rsidR="00293509">
        <w:t xml:space="preserve">meeting the definition of ‘terrorist offenders’ </w:t>
      </w:r>
      <w:r w:rsidR="005866E0">
        <w:t>have been given short additional sentences for breach of the terms of their control orders.</w:t>
      </w:r>
      <w:r w:rsidR="00612AD9">
        <w:rPr>
          <w:rStyle w:val="EndnoteReference"/>
        </w:rPr>
        <w:endnoteReference w:id="65"/>
      </w:r>
    </w:p>
    <w:p w14:paraId="49E39323" w14:textId="1C8C69ED" w:rsidR="00D07472" w:rsidRDefault="000073BA" w:rsidP="00940CD5">
      <w:pPr>
        <w:pStyle w:val="ListNumber"/>
      </w:pPr>
      <w:r>
        <w:t xml:space="preserve">In </w:t>
      </w:r>
      <w:r w:rsidR="000904EE">
        <w:t>a 13</w:t>
      </w:r>
      <w:r w:rsidR="000904EE" w:rsidRPr="000904EE">
        <w:rPr>
          <w:vertAlign w:val="superscript"/>
        </w:rPr>
        <w:t>th</w:t>
      </w:r>
      <w:r w:rsidR="000904EE">
        <w:t xml:space="preserve"> </w:t>
      </w:r>
      <w:r>
        <w:t>case, a</w:t>
      </w:r>
      <w:r w:rsidR="0095662C">
        <w:t xml:space="preserve">n ESO was made under the </w:t>
      </w:r>
      <w:r w:rsidR="00E248D7" w:rsidRPr="00154AC3">
        <w:rPr>
          <w:i/>
          <w:iCs/>
        </w:rPr>
        <w:t>Terrorism (High Risk Offenders) Act 2017</w:t>
      </w:r>
      <w:r w:rsidR="00E248D7">
        <w:t xml:space="preserve"> (</w:t>
      </w:r>
      <w:r w:rsidR="0095662C">
        <w:t>NSW</w:t>
      </w:r>
      <w:r w:rsidR="00E248D7">
        <w:t>)</w:t>
      </w:r>
      <w:r w:rsidR="003B420B">
        <w:t xml:space="preserve"> for a period of 12 months</w:t>
      </w:r>
      <w:r w:rsidR="0095662C">
        <w:t>.</w:t>
      </w:r>
      <w:r w:rsidR="003C0115">
        <w:rPr>
          <w:rStyle w:val="EndnoteReference"/>
        </w:rPr>
        <w:endnoteReference w:id="66"/>
      </w:r>
      <w:r w:rsidR="002F2A5B">
        <w:t xml:space="preserve">  </w:t>
      </w:r>
      <w:r w:rsidR="006F2F7A">
        <w:t xml:space="preserve">In </w:t>
      </w:r>
      <w:r w:rsidR="000904EE">
        <w:t>a 14</w:t>
      </w:r>
      <w:r w:rsidR="000904EE" w:rsidRPr="000904EE">
        <w:rPr>
          <w:vertAlign w:val="superscript"/>
        </w:rPr>
        <w:t>th</w:t>
      </w:r>
      <w:r w:rsidR="000904EE">
        <w:t xml:space="preserve"> </w:t>
      </w:r>
      <w:r w:rsidR="006F2F7A">
        <w:t xml:space="preserve">case, </w:t>
      </w:r>
      <w:r w:rsidR="00E835ED">
        <w:t xml:space="preserve">after amendments </w:t>
      </w:r>
      <w:r w:rsidR="00567F31">
        <w:t xml:space="preserve">to Div 105A </w:t>
      </w:r>
      <w:r w:rsidR="00E835ED">
        <w:t xml:space="preserve">to permit </w:t>
      </w:r>
      <w:r w:rsidR="00567F31">
        <w:t xml:space="preserve">the making of </w:t>
      </w:r>
      <w:r w:rsidR="00E835ED">
        <w:t>ESOs</w:t>
      </w:r>
      <w:r w:rsidR="00642308">
        <w:t xml:space="preserve">, the first ESO was made in </w:t>
      </w:r>
      <w:r w:rsidR="00D2785A">
        <w:t>November 2022</w:t>
      </w:r>
      <w:r w:rsidR="00F87261">
        <w:t xml:space="preserve"> for a period of 18 months</w:t>
      </w:r>
      <w:r w:rsidR="006F2F7A">
        <w:t>.</w:t>
      </w:r>
      <w:r w:rsidR="00701C2B">
        <w:rPr>
          <w:rStyle w:val="EndnoteReference"/>
        </w:rPr>
        <w:endnoteReference w:id="67"/>
      </w:r>
      <w:r w:rsidR="006F2F7A">
        <w:t xml:space="preserve">  </w:t>
      </w:r>
      <w:r w:rsidR="002F2A5B">
        <w:t>It appears that a 1</w:t>
      </w:r>
      <w:r w:rsidR="00701C2B">
        <w:t>5</w:t>
      </w:r>
      <w:r w:rsidR="002F2A5B" w:rsidRPr="002F2A5B">
        <w:rPr>
          <w:vertAlign w:val="superscript"/>
        </w:rPr>
        <w:t>th</w:t>
      </w:r>
      <w:r w:rsidR="002F2A5B">
        <w:t xml:space="preserve"> offender, Mr </w:t>
      </w:r>
      <w:r w:rsidR="00B119AF" w:rsidRPr="00B119AF">
        <w:t xml:space="preserve">Robert Musa </w:t>
      </w:r>
      <w:proofErr w:type="spellStart"/>
      <w:r w:rsidR="00B119AF" w:rsidRPr="00B119AF">
        <w:t>Cerantonio</w:t>
      </w:r>
      <w:proofErr w:type="spellEnd"/>
      <w:r w:rsidR="00B119AF">
        <w:t>, was due for release on 9</w:t>
      </w:r>
      <w:r w:rsidR="00F2559F">
        <w:t xml:space="preserve"> May 2023.  The Commission cannot find a record of any post-sentence order being </w:t>
      </w:r>
      <w:r w:rsidR="001E32CB">
        <w:t>made</w:t>
      </w:r>
      <w:r w:rsidR="00F2559F">
        <w:t xml:space="preserve"> in relation to him. </w:t>
      </w:r>
    </w:p>
    <w:p w14:paraId="5E18BF1B" w14:textId="6CCB61CD" w:rsidR="000716CD" w:rsidRDefault="003C6762" w:rsidP="00940CD5">
      <w:pPr>
        <w:pStyle w:val="ListNumber"/>
      </w:pPr>
      <w:r>
        <w:t>There have only ever been two CDOs made</w:t>
      </w:r>
      <w:r w:rsidR="005627BE">
        <w:t>, and only one of those remains in force</w:t>
      </w:r>
      <w:r w:rsidR="00FB6DA4">
        <w:t xml:space="preserve">.  </w:t>
      </w:r>
      <w:r w:rsidR="000F5256">
        <w:t xml:space="preserve">On 24 December 2020, </w:t>
      </w:r>
      <w:proofErr w:type="spellStart"/>
      <w:r w:rsidR="000F5256">
        <w:t>Tinney</w:t>
      </w:r>
      <w:proofErr w:type="spellEnd"/>
      <w:r w:rsidR="000F5256">
        <w:t xml:space="preserve"> J in the Supreme Court of Victoria ordered that Mr Abdul </w:t>
      </w:r>
      <w:proofErr w:type="spellStart"/>
      <w:r w:rsidR="000F5256">
        <w:t>Nacer</w:t>
      </w:r>
      <w:proofErr w:type="spellEnd"/>
      <w:r w:rsidR="000F5256">
        <w:t xml:space="preserve"> </w:t>
      </w:r>
      <w:proofErr w:type="spellStart"/>
      <w:r w:rsidR="000F5256">
        <w:t>Benbrika</w:t>
      </w:r>
      <w:proofErr w:type="spellEnd"/>
      <w:r w:rsidR="000F5256">
        <w:t xml:space="preserve"> be subject to a CDO for a period of three years.</w:t>
      </w:r>
      <w:r w:rsidR="000F5256">
        <w:rPr>
          <w:rStyle w:val="EndnoteReference"/>
        </w:rPr>
        <w:endnoteReference w:id="68"/>
      </w:r>
      <w:r w:rsidR="000F5256">
        <w:t xml:space="preserve">  </w:t>
      </w:r>
      <w:r w:rsidR="000D7296">
        <w:t xml:space="preserve">Mr </w:t>
      </w:r>
      <w:proofErr w:type="spellStart"/>
      <w:r w:rsidR="000D7296">
        <w:t>Benbrika’s</w:t>
      </w:r>
      <w:proofErr w:type="spellEnd"/>
      <w:r w:rsidR="000D7296">
        <w:t xml:space="preserve"> CDO is due to expire in December 2023.  </w:t>
      </w:r>
    </w:p>
    <w:p w14:paraId="049866A2" w14:textId="2A521264" w:rsidR="003C6762" w:rsidRDefault="003C748C" w:rsidP="00940CD5">
      <w:pPr>
        <w:pStyle w:val="ListNumber"/>
      </w:pPr>
      <w:r>
        <w:t>On 15 December 2021, Walton J in the Supreme Court of New South Wales ordered that Mr Blake Nicholas Pender be subject to a CDO for a period of one year commencing on 13 September 2021.</w:t>
      </w:r>
      <w:r>
        <w:rPr>
          <w:rStyle w:val="EndnoteReference"/>
        </w:rPr>
        <w:endnoteReference w:id="69"/>
      </w:r>
      <w:r>
        <w:t xml:space="preserve"> </w:t>
      </w:r>
      <w:r w:rsidR="00C2147E">
        <w:t xml:space="preserve"> </w:t>
      </w:r>
      <w:r w:rsidR="005D31F4">
        <w:t xml:space="preserve">While in custody, he was </w:t>
      </w:r>
      <w:r w:rsidR="00404BBA">
        <w:t xml:space="preserve">convicted </w:t>
      </w:r>
      <w:r w:rsidR="005C3F8E">
        <w:t>of an assault charge and sentenced to an additional 6 months imprisonment, expiring on 18 October 2022.</w:t>
      </w:r>
      <w:r w:rsidR="00E266BB">
        <w:rPr>
          <w:rStyle w:val="EndnoteReference"/>
        </w:rPr>
        <w:endnoteReference w:id="70"/>
      </w:r>
      <w:r w:rsidR="0021570E">
        <w:t xml:space="preserve">  On 7 October 2022, shortly before his release, </w:t>
      </w:r>
      <w:r w:rsidR="00976C98">
        <w:t xml:space="preserve">an Interim Supervision </w:t>
      </w:r>
      <w:r w:rsidR="00976C98">
        <w:lastRenderedPageBreak/>
        <w:t xml:space="preserve">Order </w:t>
      </w:r>
      <w:r w:rsidR="00830326">
        <w:t xml:space="preserve">(ISO) </w:t>
      </w:r>
      <w:r w:rsidR="00976C98">
        <w:t xml:space="preserve">was </w:t>
      </w:r>
      <w:r w:rsidR="00830326">
        <w:t>imposed on him</w:t>
      </w:r>
      <w:r w:rsidR="009B2A89">
        <w:t>,</w:t>
      </w:r>
      <w:r w:rsidR="009B2A89">
        <w:rPr>
          <w:rStyle w:val="EndnoteReference"/>
        </w:rPr>
        <w:endnoteReference w:id="71"/>
      </w:r>
      <w:r w:rsidR="009B2A89">
        <w:t xml:space="preserve"> pending </w:t>
      </w:r>
      <w:r w:rsidR="00172DF4">
        <w:t xml:space="preserve">the determination of </w:t>
      </w:r>
      <w:r w:rsidR="009B2A89">
        <w:t>an application for an ESO</w:t>
      </w:r>
      <w:r w:rsidR="00830326">
        <w:t xml:space="preserve">.  </w:t>
      </w:r>
      <w:r w:rsidR="00E266BB">
        <w:t xml:space="preserve">While in the community, he was charged with </w:t>
      </w:r>
      <w:r w:rsidR="00332215">
        <w:t xml:space="preserve">using his mobile phone contrary to the terms of </w:t>
      </w:r>
      <w:r w:rsidR="00CE4179">
        <w:t>the ISO and was remanded in custody.</w:t>
      </w:r>
      <w:r w:rsidR="00753D88">
        <w:rPr>
          <w:rStyle w:val="EndnoteReference"/>
        </w:rPr>
        <w:endnoteReference w:id="72"/>
      </w:r>
      <w:r w:rsidR="00E266BB">
        <w:t xml:space="preserve"> </w:t>
      </w:r>
      <w:r w:rsidR="00D2678A">
        <w:t xml:space="preserve"> </w:t>
      </w:r>
      <w:r w:rsidR="003C6762">
        <w:t xml:space="preserve">In December 2022, an ESO was made in relation to Mr Pender </w:t>
      </w:r>
      <w:r w:rsidR="0006421B">
        <w:t>for a period of three years</w:t>
      </w:r>
      <w:r w:rsidR="003C6762">
        <w:t>.</w:t>
      </w:r>
      <w:r w:rsidR="003C6762">
        <w:rPr>
          <w:rStyle w:val="EndnoteReference"/>
        </w:rPr>
        <w:endnoteReference w:id="73"/>
      </w:r>
      <w:r w:rsidR="00D2678A">
        <w:t xml:space="preserve">  He is reportedly due for release into the community</w:t>
      </w:r>
      <w:r w:rsidR="00EA1FB8">
        <w:t xml:space="preserve">, subject to the terms of </w:t>
      </w:r>
      <w:r w:rsidR="00D2678A">
        <w:t>the ESO</w:t>
      </w:r>
      <w:r w:rsidR="00EA1FB8">
        <w:t>,</w:t>
      </w:r>
      <w:r w:rsidR="00D2678A">
        <w:t xml:space="preserve"> on </w:t>
      </w:r>
      <w:r w:rsidR="00F86021">
        <w:t>9 September 2023.</w:t>
      </w:r>
      <w:r w:rsidR="00F86021">
        <w:rPr>
          <w:rStyle w:val="EndnoteReference"/>
        </w:rPr>
        <w:endnoteReference w:id="74"/>
      </w:r>
    </w:p>
    <w:p w14:paraId="616BDF25" w14:textId="74B5F38F" w:rsidR="00E243B5" w:rsidRDefault="008F3F8F" w:rsidP="00E243B5">
      <w:pPr>
        <w:pStyle w:val="ListNumber"/>
      </w:pPr>
      <w:r>
        <w:t xml:space="preserve">None of the former terrorist offenders released into the community have gone on to commit a </w:t>
      </w:r>
      <w:r w:rsidR="00D84C26">
        <w:t>serious Part 5.3 offence.</w:t>
      </w:r>
      <w:r w:rsidR="00425EAB">
        <w:t xml:space="preserve">  </w:t>
      </w:r>
      <w:r w:rsidR="006F7CFD">
        <w:t xml:space="preserve">This is consistent with the </w:t>
      </w:r>
      <w:r w:rsidR="00394C17">
        <w:t xml:space="preserve">evidence referred to by the INSLM of the low recidivism rates </w:t>
      </w:r>
      <w:r w:rsidR="00535D29">
        <w:t>internationally among convicted terrorism offenders.</w:t>
      </w:r>
      <w:r w:rsidR="00535D29">
        <w:rPr>
          <w:rStyle w:val="EndnoteReference"/>
        </w:rPr>
        <w:endnoteReference w:id="75"/>
      </w:r>
      <w:r w:rsidR="00535D29">
        <w:t xml:space="preserve">  </w:t>
      </w:r>
      <w:r w:rsidR="00425EAB">
        <w:t xml:space="preserve">It appears that </w:t>
      </w:r>
      <w:r w:rsidR="00535D29">
        <w:t xml:space="preserve">in Australia </w:t>
      </w:r>
      <w:r w:rsidR="00425EAB">
        <w:t xml:space="preserve">the </w:t>
      </w:r>
      <w:r w:rsidR="00530C25">
        <w:t>system of supervision, initially pursuant to control orders and now pursuant to ESOs</w:t>
      </w:r>
      <w:r w:rsidR="00E147D6">
        <w:t>,</w:t>
      </w:r>
      <w:r w:rsidR="00530C25">
        <w:t xml:space="preserve"> has been sufficient to address the risk of harm posed by former offenders on their release. </w:t>
      </w:r>
    </w:p>
    <w:p w14:paraId="3A7DE320" w14:textId="77777777" w:rsidR="00572B0B" w:rsidRPr="00572B0B" w:rsidRDefault="00572B0B" w:rsidP="00572B0B">
      <w:pPr>
        <w:pStyle w:val="ListNumber"/>
        <w:keepNext/>
        <w:numPr>
          <w:ilvl w:val="0"/>
          <w:numId w:val="0"/>
        </w:numPr>
        <w:ind w:left="1094"/>
        <w:rPr>
          <w:b/>
          <w:bCs/>
        </w:rPr>
      </w:pPr>
      <w:r w:rsidRPr="00572B0B">
        <w:rPr>
          <w:b/>
          <w:bCs/>
        </w:rPr>
        <w:t>Recommendation 1</w:t>
      </w:r>
    </w:p>
    <w:p w14:paraId="0A7F15A1" w14:textId="77777777" w:rsidR="00572B0B" w:rsidRDefault="00572B0B" w:rsidP="00572B0B">
      <w:pPr>
        <w:pStyle w:val="ListNumber"/>
        <w:numPr>
          <w:ilvl w:val="0"/>
          <w:numId w:val="0"/>
        </w:numPr>
        <w:ind w:left="1094"/>
      </w:pPr>
      <w:r>
        <w:t>The Commission recommends that the continuing detention order regime in Div 105A of the Criminal Code be repealed, while retaining the extended supervision order regime.</w:t>
      </w:r>
    </w:p>
    <w:p w14:paraId="35F461F3" w14:textId="78423770" w:rsidR="003B5B80" w:rsidRDefault="00247D26" w:rsidP="003B5B80">
      <w:pPr>
        <w:pStyle w:val="Heading1"/>
      </w:pPr>
      <w:bookmarkStart w:id="15" w:name="_Toc138410681"/>
      <w:r>
        <w:t>Retention of e</w:t>
      </w:r>
      <w:r w:rsidR="003B5B80">
        <w:t>xtended supervision order</w:t>
      </w:r>
      <w:r>
        <w:t xml:space="preserve"> regime</w:t>
      </w:r>
      <w:bookmarkEnd w:id="15"/>
    </w:p>
    <w:p w14:paraId="48C4D8DD" w14:textId="66112CB2" w:rsidR="002626D6" w:rsidRDefault="006F43DE" w:rsidP="00E243B5">
      <w:pPr>
        <w:pStyle w:val="ListNumber"/>
      </w:pPr>
      <w:r>
        <w:t xml:space="preserve">While the INSLM noted that </w:t>
      </w:r>
      <w:r w:rsidR="008E6B27">
        <w:t xml:space="preserve">continued </w:t>
      </w:r>
      <w:r>
        <w:t xml:space="preserve">detention of a person in a prison </w:t>
      </w:r>
      <w:r w:rsidR="008E6B27">
        <w:t xml:space="preserve">after the end of their sentence </w:t>
      </w:r>
      <w:r>
        <w:t xml:space="preserve">should not be decided by </w:t>
      </w:r>
      <w:r w:rsidR="00A300B6">
        <w:t>questionable predictions of their future risk</w:t>
      </w:r>
      <w:r w:rsidR="002626D6">
        <w:t>, he recommended that the extended supervision order regime continue.</w:t>
      </w:r>
      <w:r w:rsidR="002626D6">
        <w:rPr>
          <w:rStyle w:val="EndnoteReference"/>
        </w:rPr>
        <w:endnoteReference w:id="76"/>
      </w:r>
      <w:r w:rsidR="002626D6">
        <w:t xml:space="preserve"> </w:t>
      </w:r>
    </w:p>
    <w:p w14:paraId="2D2A9B5C" w14:textId="18DAC241" w:rsidR="00E243B5" w:rsidRDefault="002626D6" w:rsidP="00E243B5">
      <w:pPr>
        <w:pStyle w:val="ListNumber"/>
      </w:pPr>
      <w:r>
        <w:t>The use of a tool like VERA-2R to assist in this process would be closer to the purpose for which it was originally designed</w:t>
      </w:r>
      <w:r w:rsidR="00DB0C00">
        <w:t>.</w:t>
      </w:r>
      <w:r w:rsidR="00293E7A">
        <w:rPr>
          <w:rStyle w:val="EndnoteReference"/>
        </w:rPr>
        <w:endnoteReference w:id="77"/>
      </w:r>
      <w:r w:rsidR="00DB0C00">
        <w:t xml:space="preserve">  The application of conditions to a convicted offender on release is less problematic and is </w:t>
      </w:r>
      <w:proofErr w:type="gramStart"/>
      <w:r w:rsidR="00710182">
        <w:t>similar to</w:t>
      </w:r>
      <w:proofErr w:type="gramEnd"/>
      <w:r w:rsidR="00710182">
        <w:t xml:space="preserve"> other established processes in the criminal justice system including bail conditions. </w:t>
      </w:r>
    </w:p>
    <w:p w14:paraId="21EB0009" w14:textId="77777777" w:rsidR="001109E8" w:rsidRDefault="001109E8" w:rsidP="00940CD5">
      <w:pPr>
        <w:pStyle w:val="ListNumber"/>
      </w:pPr>
      <w:r>
        <w:t>The following sections of this submission identify changes to the regime in Div 105A if CSOs are abolished and ESOs are retained.</w:t>
      </w:r>
    </w:p>
    <w:p w14:paraId="54485D84" w14:textId="387294AB" w:rsidR="003C6762" w:rsidRDefault="00387EF6" w:rsidP="00940CD5">
      <w:pPr>
        <w:pStyle w:val="ListNumber"/>
      </w:pPr>
      <w:r>
        <w:t xml:space="preserve">The Commission has previously provided detailed submissions to both the INSLM and the PJCIS about amendments to the regime in Div 105A.  Given that the current review </w:t>
      </w:r>
      <w:r w:rsidR="00830355">
        <w:t xml:space="preserve">by the PJCIS </w:t>
      </w:r>
      <w:r>
        <w:t xml:space="preserve">is in response to </w:t>
      </w:r>
      <w:r w:rsidR="00830355">
        <w:t xml:space="preserve">the INSLM Report, the Commission focuses </w:t>
      </w:r>
      <w:proofErr w:type="gramStart"/>
      <w:r w:rsidR="00830355">
        <w:t>in particular on</w:t>
      </w:r>
      <w:proofErr w:type="gramEnd"/>
      <w:r w:rsidR="00830355">
        <w:t xml:space="preserve"> recommendations </w:t>
      </w:r>
      <w:r w:rsidR="00830355">
        <w:lastRenderedPageBreak/>
        <w:t>made by the INSLM, while also highlighting some important recommendations by the Commission</w:t>
      </w:r>
      <w:r w:rsidR="0053557C">
        <w:t xml:space="preserve"> that have not yet been implemented</w:t>
      </w:r>
      <w:r w:rsidR="00830355">
        <w:t xml:space="preserve">.  </w:t>
      </w:r>
      <w:r w:rsidR="00E130BE">
        <w:t xml:space="preserve">Because the Commission’s views on these issues have already been canvassed at length previously, this submission seeks to </w:t>
      </w:r>
      <w:r w:rsidR="00B64156">
        <w:t xml:space="preserve">deal with them </w:t>
      </w:r>
      <w:r w:rsidR="001A0C45">
        <w:t>in a condensed, summary way.</w:t>
      </w:r>
    </w:p>
    <w:p w14:paraId="426B1D61" w14:textId="5B5CFB14" w:rsidR="004D0142" w:rsidRDefault="00E70CE5" w:rsidP="004D0142">
      <w:pPr>
        <w:pStyle w:val="ListNumber"/>
      </w:pPr>
      <w:r>
        <w:t>If CDOs are abolished, then there</w:t>
      </w:r>
      <w:r w:rsidR="008A6539">
        <w:t xml:space="preserve"> would be no need to deal with Recommendations </w:t>
      </w:r>
      <w:r w:rsidR="006A6497">
        <w:t xml:space="preserve">1–6 and </w:t>
      </w:r>
      <w:r w:rsidR="00471D5E">
        <w:t>9–15</w:t>
      </w:r>
      <w:r w:rsidR="002A6D7E">
        <w:t xml:space="preserve"> made by the Commission to the INSLM.</w:t>
      </w:r>
      <w:r w:rsidR="004D0142">
        <w:t xml:space="preserve">  </w:t>
      </w:r>
    </w:p>
    <w:p w14:paraId="495DBD73" w14:textId="2C4BD2DC" w:rsidR="001A0C45" w:rsidRPr="001A0C45" w:rsidRDefault="001A0C45" w:rsidP="001A0C45">
      <w:pPr>
        <w:pStyle w:val="Heading3"/>
        <w:rPr>
          <w:i/>
          <w:iCs/>
        </w:rPr>
      </w:pPr>
      <w:bookmarkStart w:id="16" w:name="_Toc138410682"/>
      <w:r w:rsidRPr="001A0C45">
        <w:rPr>
          <w:i/>
          <w:iCs/>
        </w:rPr>
        <w:t>Objects</w:t>
      </w:r>
      <w:bookmarkEnd w:id="16"/>
    </w:p>
    <w:p w14:paraId="352DB31F" w14:textId="7BFC33D2" w:rsidR="001A0C45" w:rsidRDefault="001A0C45" w:rsidP="00940CD5">
      <w:pPr>
        <w:pStyle w:val="ListNumber"/>
      </w:pPr>
      <w:r>
        <w:t xml:space="preserve">The Commission agrees with </w:t>
      </w:r>
      <w:r w:rsidR="004B03EA">
        <w:t>the recommendation of the INSLM, that the objects of Div 105A be amended to include</w:t>
      </w:r>
      <w:r w:rsidR="00074F06">
        <w:t xml:space="preserve"> the rehabilitation and reintegration of </w:t>
      </w:r>
      <w:r w:rsidR="003D55F9">
        <w:t>the subjects of a post-sentence order back into the community.</w:t>
      </w:r>
      <w:r w:rsidR="00405443">
        <w:t xml:space="preserve">  Th</w:t>
      </w:r>
      <w:r w:rsidR="00734E95">
        <w:t>is issue is dealt with in Chapter 6 of the INSLM Report.</w:t>
      </w:r>
    </w:p>
    <w:p w14:paraId="75618DFD" w14:textId="77777777" w:rsidR="006468B3" w:rsidRPr="006468B3" w:rsidRDefault="006468B3" w:rsidP="006468B3">
      <w:pPr>
        <w:pStyle w:val="ListNumber"/>
        <w:keepNext/>
        <w:numPr>
          <w:ilvl w:val="0"/>
          <w:numId w:val="0"/>
        </w:numPr>
        <w:ind w:left="1094"/>
        <w:rPr>
          <w:b/>
          <w:bCs/>
        </w:rPr>
      </w:pPr>
      <w:r w:rsidRPr="006468B3">
        <w:rPr>
          <w:b/>
          <w:bCs/>
        </w:rPr>
        <w:t>Recommendation 2</w:t>
      </w:r>
    </w:p>
    <w:p w14:paraId="3A911C12" w14:textId="1F5DF971" w:rsidR="006468B3" w:rsidRDefault="006468B3" w:rsidP="006468B3">
      <w:pPr>
        <w:pStyle w:val="ListNumber"/>
        <w:numPr>
          <w:ilvl w:val="0"/>
          <w:numId w:val="0"/>
        </w:numPr>
        <w:ind w:left="1094"/>
      </w:pPr>
      <w:r>
        <w:t xml:space="preserve">The Commission recommends that the objects of Div 105A </w:t>
      </w:r>
      <w:r w:rsidR="00D80E1F">
        <w:t xml:space="preserve">of the Criminal Code </w:t>
      </w:r>
      <w:r>
        <w:t>be amended to include the rehabilitation and reintegration of the subjects of a post-sentence order back into the community.</w:t>
      </w:r>
    </w:p>
    <w:p w14:paraId="1D523254" w14:textId="7FA002E2" w:rsidR="006468B3" w:rsidRPr="003D2F73" w:rsidRDefault="003D2F73" w:rsidP="003D2F73">
      <w:pPr>
        <w:pStyle w:val="Heading3"/>
        <w:rPr>
          <w:i/>
          <w:iCs/>
        </w:rPr>
      </w:pPr>
      <w:bookmarkStart w:id="17" w:name="_Toc138410683"/>
      <w:r w:rsidRPr="003D2F73">
        <w:rPr>
          <w:i/>
          <w:iCs/>
        </w:rPr>
        <w:t>Disclosure of relevant information</w:t>
      </w:r>
      <w:bookmarkEnd w:id="17"/>
    </w:p>
    <w:p w14:paraId="335AA559" w14:textId="07B0642D" w:rsidR="00734E95" w:rsidRDefault="00063691" w:rsidP="00940CD5">
      <w:pPr>
        <w:pStyle w:val="ListNumber"/>
      </w:pPr>
      <w:r>
        <w:t xml:space="preserve">The non-disclosure of the Corner Report </w:t>
      </w:r>
      <w:r w:rsidR="001663E7">
        <w:t xml:space="preserve">in each of the two CDO proceedings to date </w:t>
      </w:r>
      <w:r>
        <w:t xml:space="preserve">raises questions about the adequacy of the existing </w:t>
      </w:r>
      <w:r w:rsidR="00711A1C">
        <w:t>provisions</w:t>
      </w:r>
      <w:r>
        <w:t xml:space="preserve"> in Div 105A </w:t>
      </w:r>
      <w:r w:rsidR="00711A1C">
        <w:t xml:space="preserve">that deal with </w:t>
      </w:r>
      <w:r>
        <w:t xml:space="preserve">the </w:t>
      </w:r>
      <w:r w:rsidR="001663E7">
        <w:t xml:space="preserve">disclosure of </w:t>
      </w:r>
      <w:r w:rsidR="00401338">
        <w:t xml:space="preserve">information </w:t>
      </w:r>
      <w:r w:rsidR="001663E7">
        <w:t xml:space="preserve">to a </w:t>
      </w:r>
      <w:r w:rsidR="00EF5D09">
        <w:t>def</w:t>
      </w:r>
      <w:r w:rsidR="009C3992">
        <w:t>endant</w:t>
      </w:r>
      <w:r w:rsidR="00590D75">
        <w:t xml:space="preserve"> that </w:t>
      </w:r>
      <w:r w:rsidR="00164AA7">
        <w:t>c</w:t>
      </w:r>
      <w:r w:rsidR="00DB1ABD">
        <w:t xml:space="preserve">ould support a finding </w:t>
      </w:r>
      <w:r w:rsidR="00164AA7">
        <w:t xml:space="preserve">that </w:t>
      </w:r>
      <w:r w:rsidR="00590D75">
        <w:t>a post-sentence order should not be made</w:t>
      </w:r>
      <w:r w:rsidR="001663E7">
        <w:t>.</w:t>
      </w:r>
    </w:p>
    <w:p w14:paraId="2B4532F7" w14:textId="609AED60" w:rsidR="003D55F9" w:rsidRDefault="00F1603E" w:rsidP="00940CD5">
      <w:pPr>
        <w:pStyle w:val="ListNumber"/>
      </w:pPr>
      <w:r>
        <w:t xml:space="preserve">Disclosure of </w:t>
      </w:r>
      <w:r w:rsidR="00590D75">
        <w:t xml:space="preserve">such </w:t>
      </w:r>
      <w:r w:rsidR="00401338">
        <w:t xml:space="preserve">information </w:t>
      </w:r>
      <w:r>
        <w:t>will remain relevant in ESO proceedings.</w:t>
      </w:r>
    </w:p>
    <w:p w14:paraId="342B5733" w14:textId="4A265200" w:rsidR="00F1603E" w:rsidRDefault="00855215" w:rsidP="00940CD5">
      <w:pPr>
        <w:pStyle w:val="ListNumber"/>
      </w:pPr>
      <w:r>
        <w:t xml:space="preserve">The Commission agrees with the five recommendations made </w:t>
      </w:r>
      <w:r w:rsidR="00CB2B73">
        <w:t>at [390] of the INSLM Report which are designed to make the disclosure regime more robust.  In summary, adoption of these recommendations would</w:t>
      </w:r>
      <w:r w:rsidR="00982402">
        <w:t>:</w:t>
      </w:r>
    </w:p>
    <w:p w14:paraId="072A06BB" w14:textId="4A9146DE" w:rsidR="00982402" w:rsidRDefault="00982402" w:rsidP="00982402">
      <w:pPr>
        <w:pStyle w:val="ListNumber"/>
        <w:numPr>
          <w:ilvl w:val="0"/>
          <w:numId w:val="19"/>
        </w:numPr>
      </w:pPr>
      <w:r>
        <w:t xml:space="preserve">require </w:t>
      </w:r>
      <w:r w:rsidR="00B72FF3">
        <w:t xml:space="preserve">the AFP </w:t>
      </w:r>
      <w:r w:rsidR="000448DF">
        <w:t xml:space="preserve">Minister </w:t>
      </w:r>
      <w:r w:rsidR="00B72FF3">
        <w:t>t</w:t>
      </w:r>
      <w:r w:rsidR="000448DF">
        <w:t xml:space="preserve">o conduct </w:t>
      </w:r>
      <w:r>
        <w:t xml:space="preserve">broader searches for relevant </w:t>
      </w:r>
      <w:proofErr w:type="gramStart"/>
      <w:r>
        <w:t>information</w:t>
      </w:r>
      <w:proofErr w:type="gramEnd"/>
      <w:r w:rsidR="00614E87">
        <w:t xml:space="preserve"> </w:t>
      </w:r>
    </w:p>
    <w:p w14:paraId="1B85C4D4" w14:textId="4FBCD40B" w:rsidR="00982402" w:rsidRDefault="00A42E27" w:rsidP="00982402">
      <w:pPr>
        <w:pStyle w:val="ListNumber"/>
        <w:numPr>
          <w:ilvl w:val="0"/>
          <w:numId w:val="19"/>
        </w:numPr>
      </w:pPr>
      <w:r>
        <w:t xml:space="preserve">require sworn evidence to be provided to the Court about the nature of searches </w:t>
      </w:r>
      <w:proofErr w:type="gramStart"/>
      <w:r>
        <w:t>conducted</w:t>
      </w:r>
      <w:proofErr w:type="gramEnd"/>
    </w:p>
    <w:p w14:paraId="445C8E12" w14:textId="2A8B2186" w:rsidR="00A42E27" w:rsidRDefault="00AF0F53" w:rsidP="00982402">
      <w:pPr>
        <w:pStyle w:val="ListNumber"/>
        <w:numPr>
          <w:ilvl w:val="0"/>
          <w:numId w:val="19"/>
        </w:numPr>
      </w:pPr>
      <w:r>
        <w:lastRenderedPageBreak/>
        <w:t xml:space="preserve">require this evidence to be updated shortly before the </w:t>
      </w:r>
      <w:proofErr w:type="gramStart"/>
      <w:r>
        <w:t>hearing</w:t>
      </w:r>
      <w:proofErr w:type="gramEnd"/>
    </w:p>
    <w:p w14:paraId="137A5539" w14:textId="28377B31" w:rsidR="00CC6A6E" w:rsidRDefault="00CC6A6E" w:rsidP="003F4E81">
      <w:pPr>
        <w:pStyle w:val="ListNumber"/>
        <w:numPr>
          <w:ilvl w:val="0"/>
          <w:numId w:val="19"/>
        </w:numPr>
      </w:pPr>
      <w:r>
        <w:t>require particular attention to be given to expert reports, scientific evidence or research that differs from the evidence to be relied upon by the Minister</w:t>
      </w:r>
      <w:r w:rsidR="003F4E81">
        <w:t>.</w:t>
      </w:r>
    </w:p>
    <w:p w14:paraId="3D63545F" w14:textId="5AAD7378" w:rsidR="00D32E31" w:rsidRPr="00A711D9" w:rsidRDefault="00A711D9" w:rsidP="00A711D9">
      <w:pPr>
        <w:pStyle w:val="ListNumber"/>
        <w:keepNext/>
        <w:numPr>
          <w:ilvl w:val="0"/>
          <w:numId w:val="0"/>
        </w:numPr>
        <w:ind w:left="1094"/>
        <w:rPr>
          <w:b/>
          <w:bCs/>
        </w:rPr>
      </w:pPr>
      <w:bookmarkStart w:id="18" w:name="_Toc525894100"/>
      <w:r w:rsidRPr="00A711D9">
        <w:rPr>
          <w:b/>
          <w:bCs/>
        </w:rPr>
        <w:t>Recommendation 3</w:t>
      </w:r>
    </w:p>
    <w:p w14:paraId="0C8D96C8" w14:textId="363BCF86" w:rsidR="00A711D9" w:rsidRDefault="00A711D9" w:rsidP="00A711D9">
      <w:pPr>
        <w:pStyle w:val="ListNumber"/>
        <w:numPr>
          <w:ilvl w:val="0"/>
          <w:numId w:val="0"/>
        </w:numPr>
        <w:ind w:left="1094"/>
      </w:pPr>
      <w:r>
        <w:t xml:space="preserve">The Commission endorses </w:t>
      </w:r>
      <w:r w:rsidR="003074D6">
        <w:t xml:space="preserve">and repeats </w:t>
      </w:r>
      <w:r>
        <w:t xml:space="preserve">the 5 recommendations made by the INSLM at [390] of the INSLM </w:t>
      </w:r>
      <w:r w:rsidR="003074D6">
        <w:t>R</w:t>
      </w:r>
      <w:r>
        <w:t>eport dealing with the disclosure of information</w:t>
      </w:r>
      <w:r w:rsidR="004624DE">
        <w:t xml:space="preserve"> that tends to suggest that a post-sentence order should not be made</w:t>
      </w:r>
      <w:r>
        <w:t>.</w:t>
      </w:r>
    </w:p>
    <w:p w14:paraId="582A8447" w14:textId="29EA1321" w:rsidR="00A711D9" w:rsidRPr="00FC0422" w:rsidRDefault="00BA41DF" w:rsidP="00FC0422">
      <w:pPr>
        <w:pStyle w:val="Heading3"/>
        <w:rPr>
          <w:i/>
          <w:iCs/>
        </w:rPr>
      </w:pPr>
      <w:bookmarkStart w:id="19" w:name="_Toc138410684"/>
      <w:r w:rsidRPr="00FC0422">
        <w:rPr>
          <w:i/>
          <w:iCs/>
        </w:rPr>
        <w:t>Admissibility of expert evidence</w:t>
      </w:r>
      <w:bookmarkEnd w:id="19"/>
    </w:p>
    <w:p w14:paraId="5E253B81" w14:textId="1FC86734" w:rsidR="003860CD" w:rsidRDefault="00FC0422" w:rsidP="00D32E31">
      <w:pPr>
        <w:pStyle w:val="ListNumber"/>
      </w:pPr>
      <w:r>
        <w:t>In Chapter</w:t>
      </w:r>
      <w:r w:rsidR="00240C79">
        <w:t>s 4 and</w:t>
      </w:r>
      <w:r>
        <w:t xml:space="preserve"> </w:t>
      </w:r>
      <w:r w:rsidR="005617DD">
        <w:t>7</w:t>
      </w:r>
      <w:r>
        <w:t xml:space="preserve"> of the INSLM Report, the INSLM expressed concern about </w:t>
      </w:r>
      <w:r w:rsidR="003860CD">
        <w:t>two matters:</w:t>
      </w:r>
    </w:p>
    <w:p w14:paraId="48EFA273" w14:textId="488975BF" w:rsidR="00BA41DF" w:rsidRDefault="003860CD" w:rsidP="003860CD">
      <w:pPr>
        <w:pStyle w:val="ListNumber"/>
        <w:numPr>
          <w:ilvl w:val="0"/>
          <w:numId w:val="19"/>
        </w:numPr>
      </w:pPr>
      <w:r>
        <w:t xml:space="preserve">first, </w:t>
      </w:r>
      <w:r w:rsidR="00BD228A">
        <w:t xml:space="preserve">whether </w:t>
      </w:r>
      <w:r>
        <w:t xml:space="preserve">the field of ‘risk assessment for violent </w:t>
      </w:r>
      <w:r w:rsidR="003B568E">
        <w:t xml:space="preserve">extremist offending’ could properly be characterised as a </w:t>
      </w:r>
      <w:r w:rsidR="005311E3">
        <w:t xml:space="preserve">relevant field of expertise </w:t>
      </w:r>
      <w:r w:rsidR="00FB20EF">
        <w:t>for the purposes of admission of expert evidence</w:t>
      </w:r>
      <w:r w:rsidR="002D45A7">
        <w:rPr>
          <w:rStyle w:val="EndnoteReference"/>
        </w:rPr>
        <w:endnoteReference w:id="78"/>
      </w:r>
    </w:p>
    <w:p w14:paraId="1D48D22E" w14:textId="47E909FA" w:rsidR="00FB20EF" w:rsidRDefault="00FB20EF" w:rsidP="003860CD">
      <w:pPr>
        <w:pStyle w:val="ListNumber"/>
        <w:numPr>
          <w:ilvl w:val="0"/>
          <w:numId w:val="19"/>
        </w:numPr>
      </w:pPr>
      <w:r>
        <w:t xml:space="preserve">secondly, whether </w:t>
      </w:r>
      <w:r w:rsidR="00343528">
        <w:t xml:space="preserve">the Criminal Code </w:t>
      </w:r>
      <w:r w:rsidR="00343528" w:rsidRPr="00DF2247">
        <w:rPr>
          <w:i/>
          <w:iCs/>
        </w:rPr>
        <w:t>required</w:t>
      </w:r>
      <w:r w:rsidR="00343528">
        <w:t xml:space="preserve"> a judge hearing an application for a post-sentence order </w:t>
      </w:r>
      <w:r w:rsidR="002D45A7">
        <w:t>to have regard to expert evidence even if it would not otherwise be admissible.</w:t>
      </w:r>
      <w:r w:rsidR="00DF2247">
        <w:rPr>
          <w:rStyle w:val="EndnoteReference"/>
        </w:rPr>
        <w:endnoteReference w:id="79"/>
      </w:r>
    </w:p>
    <w:p w14:paraId="2C28B507" w14:textId="7D03E2ED" w:rsidR="003860CD" w:rsidRDefault="00E97DD2" w:rsidP="00D32E31">
      <w:pPr>
        <w:pStyle w:val="ListNumber"/>
      </w:pPr>
      <w:r>
        <w:t xml:space="preserve">In a supplementary submission to the INSLM’s inquiry, the Attorney-General’s Department </w:t>
      </w:r>
      <w:r w:rsidR="00E80DA0">
        <w:t>accepted that experts must be qualified as experts under the ordinary rules of evidence</w:t>
      </w:r>
      <w:r w:rsidR="002104BE">
        <w:t xml:space="preserve">.  It said that the statutory requirement that the Court must have regard to an expert </w:t>
      </w:r>
      <w:r w:rsidR="000C18DD">
        <w:t xml:space="preserve">report was subject to the qualification that the court must apply the rules of evidence and procedure for civil matters </w:t>
      </w:r>
      <w:r w:rsidR="00CD4421">
        <w:t>in a PSO proceeding, including rules about the admissibility of evidence.</w:t>
      </w:r>
      <w:r w:rsidR="00CD4421">
        <w:rPr>
          <w:rStyle w:val="EndnoteReference"/>
        </w:rPr>
        <w:endnoteReference w:id="80"/>
      </w:r>
    </w:p>
    <w:p w14:paraId="3FDFF971" w14:textId="26428583" w:rsidR="007E4942" w:rsidRDefault="007E4942" w:rsidP="00D32E31">
      <w:pPr>
        <w:pStyle w:val="ListNumber"/>
      </w:pPr>
      <w:r>
        <w:t xml:space="preserve">The INSLM made </w:t>
      </w:r>
      <w:r w:rsidR="00E520B3">
        <w:t xml:space="preserve">two recommendations at [409] and [410] of </w:t>
      </w:r>
      <w:r w:rsidR="00B455C7">
        <w:t xml:space="preserve">the INSLM Report designed to </w:t>
      </w:r>
      <w:r w:rsidR="00F41CEE">
        <w:t>make it clear that:</w:t>
      </w:r>
    </w:p>
    <w:p w14:paraId="2450666B" w14:textId="66ECE098" w:rsidR="00F41CEE" w:rsidRDefault="00344B01" w:rsidP="00F41CEE">
      <w:pPr>
        <w:pStyle w:val="ListNumber"/>
        <w:numPr>
          <w:ilvl w:val="0"/>
          <w:numId w:val="19"/>
        </w:numPr>
      </w:pPr>
      <w:r>
        <w:t>reports of relevant experts can only be admitted into ev</w:t>
      </w:r>
      <w:r w:rsidR="001A3899">
        <w:t>i</w:t>
      </w:r>
      <w:r>
        <w:t>den</w:t>
      </w:r>
      <w:r w:rsidR="001A3899">
        <w:t>c</w:t>
      </w:r>
      <w:r>
        <w:t xml:space="preserve">e if admissible by the applicable laws of </w:t>
      </w:r>
      <w:proofErr w:type="gramStart"/>
      <w:r>
        <w:t>evidence</w:t>
      </w:r>
      <w:proofErr w:type="gramEnd"/>
    </w:p>
    <w:p w14:paraId="32E7253A" w14:textId="5D486CC8" w:rsidR="00344B01" w:rsidRDefault="00344B01" w:rsidP="00F41CEE">
      <w:pPr>
        <w:pStyle w:val="ListNumber"/>
        <w:numPr>
          <w:ilvl w:val="0"/>
          <w:numId w:val="19"/>
        </w:numPr>
      </w:pPr>
      <w:r>
        <w:t xml:space="preserve">the court is not </w:t>
      </w:r>
      <w:r w:rsidR="001A3899">
        <w:t>required to have regard to any witness’s opinion evidence that is not admissible.</w:t>
      </w:r>
    </w:p>
    <w:p w14:paraId="23731286" w14:textId="1F17432A" w:rsidR="00314A28" w:rsidRDefault="00314A28" w:rsidP="00D32E31">
      <w:pPr>
        <w:pStyle w:val="ListNumber"/>
      </w:pPr>
      <w:r>
        <w:t xml:space="preserve">The Commission considers that </w:t>
      </w:r>
      <w:r w:rsidR="001A3899">
        <w:t xml:space="preserve">these clarifications </w:t>
      </w:r>
      <w:r w:rsidR="00B23DF7">
        <w:t xml:space="preserve">are useful and are consistent with the intention of the </w:t>
      </w:r>
      <w:r w:rsidR="00A42CA7">
        <w:t>regime</w:t>
      </w:r>
      <w:r w:rsidR="00B23DF7">
        <w:t xml:space="preserve"> as described in the submission of the Attorney-General’s Department. </w:t>
      </w:r>
    </w:p>
    <w:p w14:paraId="432DA59B" w14:textId="5E50AFFA" w:rsidR="00B23DF7" w:rsidRPr="00E84FE2" w:rsidRDefault="00B23DF7" w:rsidP="00E84FE2">
      <w:pPr>
        <w:pStyle w:val="ListNumber"/>
        <w:keepNext/>
        <w:numPr>
          <w:ilvl w:val="0"/>
          <w:numId w:val="0"/>
        </w:numPr>
        <w:ind w:left="1094"/>
        <w:rPr>
          <w:b/>
          <w:bCs/>
        </w:rPr>
      </w:pPr>
      <w:r w:rsidRPr="00E84FE2">
        <w:rPr>
          <w:b/>
          <w:bCs/>
        </w:rPr>
        <w:lastRenderedPageBreak/>
        <w:t>Recommendation 4</w:t>
      </w:r>
    </w:p>
    <w:p w14:paraId="23D6BC33" w14:textId="2CFAB97C" w:rsidR="00B23DF7" w:rsidRDefault="00B23DF7" w:rsidP="00E84FE2">
      <w:pPr>
        <w:pStyle w:val="ListNumber"/>
        <w:numPr>
          <w:ilvl w:val="0"/>
          <w:numId w:val="0"/>
        </w:numPr>
        <w:ind w:left="1094"/>
      </w:pPr>
      <w:r>
        <w:t xml:space="preserve">The Commission recommends that </w:t>
      </w:r>
      <w:r w:rsidR="00E84FE2">
        <w:t>Div 105A of the Criminal Code be amended to clarify that:</w:t>
      </w:r>
    </w:p>
    <w:p w14:paraId="73423EDC" w14:textId="77777777" w:rsidR="00E84FE2" w:rsidRDefault="00E84FE2" w:rsidP="00E84FE2">
      <w:pPr>
        <w:pStyle w:val="ListNumber"/>
        <w:numPr>
          <w:ilvl w:val="0"/>
          <w:numId w:val="19"/>
        </w:numPr>
      </w:pPr>
      <w:r>
        <w:t xml:space="preserve">reports of relevant experts can only be admitted into evidence if admissible by the applicable laws of </w:t>
      </w:r>
      <w:proofErr w:type="gramStart"/>
      <w:r>
        <w:t>evidence</w:t>
      </w:r>
      <w:proofErr w:type="gramEnd"/>
    </w:p>
    <w:p w14:paraId="4F726B3E" w14:textId="77777777" w:rsidR="00E84FE2" w:rsidRDefault="00E84FE2" w:rsidP="00E84FE2">
      <w:pPr>
        <w:pStyle w:val="ListNumber"/>
        <w:numPr>
          <w:ilvl w:val="0"/>
          <w:numId w:val="19"/>
        </w:numPr>
      </w:pPr>
      <w:r>
        <w:t>the court is not required to have regard to any witness’s opinion evidence that is not admissible.</w:t>
      </w:r>
    </w:p>
    <w:p w14:paraId="71F5973D" w14:textId="19F7E1C7" w:rsidR="00E84FE2" w:rsidRPr="00311196" w:rsidRDefault="0049092E" w:rsidP="00311196">
      <w:pPr>
        <w:pStyle w:val="Heading3"/>
        <w:rPr>
          <w:i/>
          <w:iCs/>
        </w:rPr>
      </w:pPr>
      <w:bookmarkStart w:id="20" w:name="_Toc138410685"/>
      <w:r>
        <w:rPr>
          <w:i/>
          <w:iCs/>
        </w:rPr>
        <w:t xml:space="preserve">Making </w:t>
      </w:r>
      <w:r w:rsidR="00CC50A2" w:rsidRPr="00311196">
        <w:rPr>
          <w:i/>
          <w:iCs/>
        </w:rPr>
        <w:t>an extended supervision order</w:t>
      </w:r>
      <w:bookmarkEnd w:id="20"/>
    </w:p>
    <w:p w14:paraId="5128AC05" w14:textId="496F1035" w:rsidR="00FD6CCD" w:rsidRDefault="0027676D" w:rsidP="00237764">
      <w:pPr>
        <w:pStyle w:val="ListNumber"/>
      </w:pPr>
      <w:r>
        <w:t xml:space="preserve">Given the proposed change to the objects of Div 105A </w:t>
      </w:r>
      <w:r w:rsidR="0082310C">
        <w:t xml:space="preserve">to include rehabilitation and reintegration into the community </w:t>
      </w:r>
      <w:r>
        <w:t xml:space="preserve">(see Recommendation 2), the INSLM also recommended that </w:t>
      </w:r>
      <w:r w:rsidR="0082310C">
        <w:t>the conditions imposed by an ESO also be directed to</w:t>
      </w:r>
      <w:r w:rsidR="00FD6CCD">
        <w:t>wards these objects, as well as to the safety of the community.</w:t>
      </w:r>
      <w:r w:rsidR="00CF7AA7">
        <w:t xml:space="preserve">  The Commission supports this recommendation.</w:t>
      </w:r>
    </w:p>
    <w:p w14:paraId="6C3B3208" w14:textId="4D2F9043" w:rsidR="00655A45" w:rsidRPr="00655A45" w:rsidRDefault="00655A45" w:rsidP="00655A45">
      <w:pPr>
        <w:pStyle w:val="ListNumber"/>
        <w:keepNext/>
        <w:numPr>
          <w:ilvl w:val="0"/>
          <w:numId w:val="0"/>
        </w:numPr>
        <w:ind w:left="1094"/>
        <w:rPr>
          <w:b/>
          <w:bCs/>
        </w:rPr>
      </w:pPr>
      <w:r w:rsidRPr="00655A45">
        <w:rPr>
          <w:b/>
          <w:bCs/>
        </w:rPr>
        <w:t>Recommendation 5</w:t>
      </w:r>
    </w:p>
    <w:p w14:paraId="319A6C64" w14:textId="50C59C87" w:rsidR="007621B4" w:rsidRDefault="00655A45" w:rsidP="00D81987">
      <w:pPr>
        <w:pStyle w:val="ListNumber"/>
        <w:numPr>
          <w:ilvl w:val="0"/>
          <w:numId w:val="0"/>
        </w:numPr>
        <w:ind w:left="1094"/>
      </w:pPr>
      <w:r>
        <w:t xml:space="preserve">The Commission recommends that </w:t>
      </w:r>
      <w:r w:rsidR="00A83A34">
        <w:t>s 105A.7</w:t>
      </w:r>
      <w:r w:rsidR="005A3634">
        <w:t>A</w:t>
      </w:r>
      <w:r w:rsidR="00E942FE">
        <w:t>(1)(c)</w:t>
      </w:r>
      <w:r w:rsidR="00A83A34">
        <w:t xml:space="preserve"> </w:t>
      </w:r>
      <w:r w:rsidR="00D80E1F">
        <w:t xml:space="preserve">of the Criminal Code </w:t>
      </w:r>
      <w:r w:rsidR="00A83A34">
        <w:t xml:space="preserve">be amended to provide that </w:t>
      </w:r>
      <w:r w:rsidR="00DC38BF">
        <w:t xml:space="preserve">the Court must be satisfied that the conditions to be imposed by an ESO </w:t>
      </w:r>
      <w:r w:rsidR="001F402A">
        <w:t xml:space="preserve">are </w:t>
      </w:r>
      <w:r w:rsidR="00DC38BF">
        <w:t xml:space="preserve">also reasonably necessary, and reasonably appropriate and adapted, for the purpose of </w:t>
      </w:r>
      <w:r w:rsidR="003A04DA">
        <w:t>aiding the offender’s rehabilitation and reintegration into the community.</w:t>
      </w:r>
    </w:p>
    <w:p w14:paraId="0A4B583D" w14:textId="4D4D9FA7" w:rsidR="00D81987" w:rsidRDefault="008B4D8D" w:rsidP="00237764">
      <w:pPr>
        <w:pStyle w:val="ListNumber"/>
      </w:pPr>
      <w:r>
        <w:t xml:space="preserve">The Commission remains concerned about the standard of proof required for </w:t>
      </w:r>
      <w:r w:rsidR="00127398">
        <w:t>the making of an ESO.  This issue was dealt with in detail in section 10.1 of the Commission’s submission to the INSLM.</w:t>
      </w:r>
      <w:r w:rsidR="00550023">
        <w:rPr>
          <w:rStyle w:val="EndnoteReference"/>
        </w:rPr>
        <w:endnoteReference w:id="81"/>
      </w:r>
    </w:p>
    <w:p w14:paraId="3F7C5A5A" w14:textId="16124677" w:rsidR="009530F5" w:rsidRDefault="00095FF5" w:rsidP="00237764">
      <w:pPr>
        <w:pStyle w:val="ListNumber"/>
      </w:pPr>
      <w:r>
        <w:t xml:space="preserve">The ‘balance of probabilities’ standard in the Criminal Code is contrary to the recommendation of the </w:t>
      </w:r>
      <w:r w:rsidR="00553DDF">
        <w:t>third INSLM</w:t>
      </w:r>
      <w:r w:rsidR="00EA3B09">
        <w:t>, Dr James Renwick CSC SC,</w:t>
      </w:r>
      <w:r w:rsidR="00553DDF">
        <w:t xml:space="preserve"> prior to the ESO regime being legislated.  It is also lower than the threshold for making an ESO in every </w:t>
      </w:r>
      <w:r w:rsidR="009F7A11">
        <w:t xml:space="preserve">equivalent </w:t>
      </w:r>
      <w:r w:rsidR="00553DDF">
        <w:t xml:space="preserve">State and Territory </w:t>
      </w:r>
      <w:r w:rsidR="00217984">
        <w:t xml:space="preserve">jurisdiction in Australia. </w:t>
      </w:r>
      <w:r w:rsidR="00027D9D">
        <w:t xml:space="preserve"> </w:t>
      </w:r>
      <w:proofErr w:type="gramStart"/>
      <w:r w:rsidR="00027D9D">
        <w:t>All of</w:t>
      </w:r>
      <w:proofErr w:type="gramEnd"/>
      <w:r w:rsidR="00027D9D">
        <w:t xml:space="preserve"> those jurisdictions require satisfaction to a ‘high degree of probability’.</w:t>
      </w:r>
      <w:r w:rsidR="0022542A">
        <w:t xml:space="preserve">  </w:t>
      </w:r>
    </w:p>
    <w:p w14:paraId="4B880563" w14:textId="64B2BBC6" w:rsidR="00127398" w:rsidRDefault="009530F5" w:rsidP="00BB20E9">
      <w:pPr>
        <w:pStyle w:val="ListNumber"/>
      </w:pPr>
      <w:r>
        <w:t>The Commission considers that the balance of probabilities standard</w:t>
      </w:r>
      <w:r w:rsidR="004D28FF">
        <w:t xml:space="preserve"> </w:t>
      </w:r>
      <w:r>
        <w:t>for ESOs does not give sufficient weight to the significant restrictions</w:t>
      </w:r>
      <w:r w:rsidR="004D28FF">
        <w:t xml:space="preserve"> </w:t>
      </w:r>
      <w:r>
        <w:t xml:space="preserve">on liberty imposed by the ESO regime. </w:t>
      </w:r>
      <w:r w:rsidR="00F00154">
        <w:t xml:space="preserve"> </w:t>
      </w:r>
      <w:r>
        <w:t>This is a quasi-criminal regime</w:t>
      </w:r>
      <w:r w:rsidR="004D28FF">
        <w:t xml:space="preserve"> </w:t>
      </w:r>
      <w:r>
        <w:t>that, as presently drafted, can impose restrictions on all areas of a</w:t>
      </w:r>
      <w:r w:rsidR="004D28FF">
        <w:t xml:space="preserve"> </w:t>
      </w:r>
      <w:r>
        <w:t>person’s life, based on an assessment of their risk of engaging in future</w:t>
      </w:r>
      <w:r w:rsidR="004D28FF">
        <w:t xml:space="preserve"> </w:t>
      </w:r>
      <w:r>
        <w:t xml:space="preserve">criminal activity. </w:t>
      </w:r>
      <w:r w:rsidR="00F00154">
        <w:t xml:space="preserve"> </w:t>
      </w:r>
      <w:r>
        <w:t>Those restrictions may be imposed for up to three</w:t>
      </w:r>
      <w:r w:rsidR="004D28FF">
        <w:t xml:space="preserve"> </w:t>
      </w:r>
      <w:r>
        <w:lastRenderedPageBreak/>
        <w:t>years at a time. It is appropriate that a standard higher than the usual</w:t>
      </w:r>
      <w:r w:rsidR="004D28FF">
        <w:t xml:space="preserve"> c</w:t>
      </w:r>
      <w:r>
        <w:t>ivil standard be applied for the imposition of such extensive</w:t>
      </w:r>
      <w:r w:rsidR="004D28FF">
        <w:t xml:space="preserve"> </w:t>
      </w:r>
      <w:r>
        <w:t>restrictions</w:t>
      </w:r>
      <w:r w:rsidR="004D28FF">
        <w:t xml:space="preserve">.  </w:t>
      </w:r>
      <w:r w:rsidR="0022542A">
        <w:t xml:space="preserve">The Commission reiterates </w:t>
      </w:r>
      <w:r w:rsidR="00E11A6A">
        <w:t>the recommendation it made to the INSLM on this issue (Recommendation 16).</w:t>
      </w:r>
    </w:p>
    <w:p w14:paraId="458B7C24" w14:textId="6043C8F6" w:rsidR="001A1548" w:rsidRPr="001A1548" w:rsidRDefault="001A1548" w:rsidP="001A1548">
      <w:pPr>
        <w:pStyle w:val="ListNumber"/>
        <w:keepNext/>
        <w:numPr>
          <w:ilvl w:val="0"/>
          <w:numId w:val="0"/>
        </w:numPr>
        <w:ind w:left="1094"/>
        <w:rPr>
          <w:b/>
          <w:bCs/>
        </w:rPr>
      </w:pPr>
      <w:r w:rsidRPr="001A1548">
        <w:rPr>
          <w:b/>
          <w:bCs/>
        </w:rPr>
        <w:t>Recommendation 6</w:t>
      </w:r>
    </w:p>
    <w:p w14:paraId="132639E9" w14:textId="77777777" w:rsidR="001A1548" w:rsidRDefault="001A1548" w:rsidP="001A1548">
      <w:pPr>
        <w:pStyle w:val="ListNumber"/>
        <w:numPr>
          <w:ilvl w:val="0"/>
          <w:numId w:val="0"/>
        </w:numPr>
        <w:ind w:left="1094"/>
      </w:pPr>
      <w:r>
        <w:t>The Commission recommends that the threshold for making an extended supervision order in s 105A.7A(1)(b) of the Criminal Code be amended to require that the Court be ‘satisfied to a high degree of probability, on the basis of admissible evidence, that the offender poses an unacceptable risk of committing, providing support for or facilitating a terrorist act’.</w:t>
      </w:r>
    </w:p>
    <w:p w14:paraId="3777416E" w14:textId="7F215673" w:rsidR="00E11A6A" w:rsidRDefault="00834D11" w:rsidP="00237764">
      <w:pPr>
        <w:pStyle w:val="ListNumber"/>
      </w:pPr>
      <w:r>
        <w:t>The Commission also reiterates its comments about two types of conditions that may be imposed pursuant to an ESO.</w:t>
      </w:r>
    </w:p>
    <w:p w14:paraId="3292E6BD" w14:textId="6FE2328A" w:rsidR="00D54E17" w:rsidRDefault="00834D11" w:rsidP="00B92FD3">
      <w:pPr>
        <w:pStyle w:val="ListNumber"/>
      </w:pPr>
      <w:r>
        <w:t xml:space="preserve">First, the Commission </w:t>
      </w:r>
      <w:r w:rsidR="00FA6FE9">
        <w:t>maintains that it is not appropriate, and in fact may be counter-productive, to provide for compulsory engagement in de-radicalisation programs and other activities.</w:t>
      </w:r>
      <w:r w:rsidR="001B5CBE">
        <w:t xml:space="preserve">  </w:t>
      </w:r>
      <w:r w:rsidR="00623DE8">
        <w:t xml:space="preserve">This issue is </w:t>
      </w:r>
      <w:r w:rsidR="001B5CBE">
        <w:t xml:space="preserve">dealt with in detail in </w:t>
      </w:r>
      <w:r w:rsidR="00000E64">
        <w:t>section 10.2(b) of the Commission’s submission to the INSLM.</w:t>
      </w:r>
      <w:r w:rsidR="00000E64">
        <w:rPr>
          <w:rStyle w:val="EndnoteReference"/>
        </w:rPr>
        <w:endnoteReference w:id="82"/>
      </w:r>
      <w:r w:rsidR="00D54E17">
        <w:t xml:space="preserve">  As set out in that submission, research in this area </w:t>
      </w:r>
      <w:r w:rsidR="00B13BB9">
        <w:t>establishes that:</w:t>
      </w:r>
    </w:p>
    <w:p w14:paraId="775EA488" w14:textId="5A9A323D" w:rsidR="00B13BB9" w:rsidRDefault="00B13BB9" w:rsidP="00B13BB9">
      <w:pPr>
        <w:pStyle w:val="ListNumber"/>
        <w:numPr>
          <w:ilvl w:val="0"/>
          <w:numId w:val="0"/>
        </w:numPr>
        <w:ind w:left="1440"/>
      </w:pPr>
      <w:proofErr w:type="gramStart"/>
      <w:r w:rsidRPr="00B13BB9">
        <w:rPr>
          <w:sz w:val="22"/>
          <w:szCs w:val="22"/>
        </w:rPr>
        <w:t>in order for</w:t>
      </w:r>
      <w:proofErr w:type="gramEnd"/>
      <w:r w:rsidRPr="00B13BB9">
        <w:rPr>
          <w:sz w:val="22"/>
          <w:szCs w:val="22"/>
        </w:rPr>
        <w:t xml:space="preserve"> individuals to be disengaged, they must first be willing to hear alternate ideas and accept the support on offer. Forced participation is unlikely to achieve either the desired results or positive outcomes and, in many cases, may harden the radical views of those forced to participate.</w:t>
      </w:r>
      <w:r w:rsidR="003F5D4F">
        <w:rPr>
          <w:rStyle w:val="EndnoteReference"/>
          <w:szCs w:val="22"/>
        </w:rPr>
        <w:endnoteReference w:id="83"/>
      </w:r>
    </w:p>
    <w:p w14:paraId="367F7A2B" w14:textId="4E045E17" w:rsidR="00834D11" w:rsidRPr="00E143AB" w:rsidRDefault="00834D11" w:rsidP="00E143AB">
      <w:pPr>
        <w:pStyle w:val="ListNumber"/>
        <w:keepNext/>
        <w:numPr>
          <w:ilvl w:val="0"/>
          <w:numId w:val="0"/>
        </w:numPr>
        <w:ind w:left="1094"/>
        <w:rPr>
          <w:b/>
          <w:bCs/>
        </w:rPr>
      </w:pPr>
      <w:r w:rsidRPr="00E143AB">
        <w:rPr>
          <w:b/>
          <w:bCs/>
        </w:rPr>
        <w:t xml:space="preserve">Recommendation </w:t>
      </w:r>
      <w:r w:rsidR="004B51C8" w:rsidRPr="00E143AB">
        <w:rPr>
          <w:b/>
          <w:bCs/>
        </w:rPr>
        <w:t>7</w:t>
      </w:r>
    </w:p>
    <w:p w14:paraId="537E9704" w14:textId="77777777" w:rsidR="00834D11" w:rsidRDefault="00834D11" w:rsidP="004B51C8">
      <w:pPr>
        <w:pStyle w:val="ListNumber"/>
        <w:numPr>
          <w:ilvl w:val="0"/>
          <w:numId w:val="0"/>
        </w:numPr>
        <w:ind w:left="1094"/>
      </w:pPr>
      <w:r>
        <w:t xml:space="preserve">The Commission recommends that any condition imposed by an extended supervision order or interim supervision order that requires a person to participate in treatment, rehabilitative or intervention programs or activities, psychological or psychiatric assessment or counselling, </w:t>
      </w:r>
      <w:proofErr w:type="gramStart"/>
      <w:r>
        <w:t>interviews</w:t>
      </w:r>
      <w:proofErr w:type="gramEnd"/>
      <w:r>
        <w:t xml:space="preserve"> or other assessments, be subject to a further condition that a person is only required to participate if they agree, at the time of the relevant activity, to so participate. </w:t>
      </w:r>
    </w:p>
    <w:p w14:paraId="38DCD22E" w14:textId="6043A8DC" w:rsidR="00E143AB" w:rsidRDefault="00E143AB" w:rsidP="00834D11">
      <w:pPr>
        <w:pStyle w:val="ListNumber"/>
      </w:pPr>
      <w:r>
        <w:t xml:space="preserve">Secondly, </w:t>
      </w:r>
      <w:r w:rsidR="00A07264">
        <w:t xml:space="preserve">the Commission maintains that it is not appropriate for </w:t>
      </w:r>
      <w:r w:rsidR="00FB4C10">
        <w:t xml:space="preserve">conditions to be imposed on an ESO that permit specified authorities to have warrantless entry into people’s homes.  </w:t>
      </w:r>
      <w:r w:rsidR="00623DE8">
        <w:t>This issue is dealt with in detail in section 10.2(c) of the Commission’s submission to the INSLM.</w:t>
      </w:r>
      <w:r w:rsidR="00623DE8">
        <w:rPr>
          <w:rStyle w:val="EndnoteReference"/>
        </w:rPr>
        <w:endnoteReference w:id="84"/>
      </w:r>
      <w:r w:rsidR="00623DE8">
        <w:t xml:space="preserve">  </w:t>
      </w:r>
      <w:r w:rsidR="004A78C8">
        <w:t>Authorities already have extensive powers to obtain warrants where they are necessary</w:t>
      </w:r>
      <w:r w:rsidR="00EE684A">
        <w:t>,</w:t>
      </w:r>
      <w:r w:rsidR="004A78C8">
        <w:t xml:space="preserve"> and the warrant system brings with it a </w:t>
      </w:r>
      <w:r w:rsidR="004A78C8">
        <w:lastRenderedPageBreak/>
        <w:t xml:space="preserve">system of checks and balances on the exercise of executive power </w:t>
      </w:r>
      <w:r w:rsidR="00653CE2">
        <w:t>so that intrusive powers of this nature are not misused</w:t>
      </w:r>
      <w:r w:rsidR="004A78C8">
        <w:t xml:space="preserve">. </w:t>
      </w:r>
    </w:p>
    <w:p w14:paraId="2899F867" w14:textId="3A3BC134" w:rsidR="00EE684A" w:rsidRDefault="00EE684A" w:rsidP="00834D11">
      <w:pPr>
        <w:pStyle w:val="ListNumber"/>
      </w:pPr>
      <w:r>
        <w:t xml:space="preserve">The Commission has previously </w:t>
      </w:r>
      <w:r w:rsidR="00CC14F7">
        <w:t xml:space="preserve">provided </w:t>
      </w:r>
      <w:r>
        <w:t xml:space="preserve">the PJCIS </w:t>
      </w:r>
      <w:r w:rsidR="00CC14F7">
        <w:t>with an example of the misuse of a different statutory power permitting warrantless entry</w:t>
      </w:r>
      <w:r w:rsidR="00F758A0">
        <w:t xml:space="preserve"> into a person’s home</w:t>
      </w:r>
      <w:r w:rsidR="00761968">
        <w:t>.</w:t>
      </w:r>
      <w:r w:rsidR="00761968">
        <w:rPr>
          <w:rStyle w:val="EndnoteReference"/>
        </w:rPr>
        <w:endnoteReference w:id="85"/>
      </w:r>
    </w:p>
    <w:p w14:paraId="3A7454A9" w14:textId="103C0653" w:rsidR="00834D11" w:rsidRPr="007F20FF" w:rsidRDefault="00834D11" w:rsidP="00F31BF8">
      <w:pPr>
        <w:pStyle w:val="ListNumber"/>
        <w:keepNext/>
        <w:numPr>
          <w:ilvl w:val="0"/>
          <w:numId w:val="0"/>
        </w:numPr>
        <w:ind w:left="1094"/>
        <w:rPr>
          <w:b/>
          <w:bCs/>
        </w:rPr>
      </w:pPr>
      <w:r w:rsidRPr="007F20FF">
        <w:rPr>
          <w:b/>
          <w:bCs/>
        </w:rPr>
        <w:t xml:space="preserve">Recommendation </w:t>
      </w:r>
      <w:r w:rsidR="007F20FF" w:rsidRPr="007F20FF">
        <w:rPr>
          <w:b/>
          <w:bCs/>
        </w:rPr>
        <w:t>8</w:t>
      </w:r>
    </w:p>
    <w:p w14:paraId="1BE0B9EE" w14:textId="77777777" w:rsidR="00834D11" w:rsidRDefault="00834D11" w:rsidP="004A78C8">
      <w:pPr>
        <w:pStyle w:val="ListNumber"/>
        <w:numPr>
          <w:ilvl w:val="0"/>
          <w:numId w:val="0"/>
        </w:numPr>
        <w:ind w:left="1094"/>
      </w:pPr>
      <w:r>
        <w:t xml:space="preserve">The Commission recommends that the conditions requiring a person to consent to certain monitoring and enforcement activity in </w:t>
      </w:r>
      <w:r>
        <w:rPr>
          <w:lang w:val="en-US"/>
        </w:rPr>
        <w:t>s</w:t>
      </w:r>
      <w:r>
        <w:t>s 104.5A(1)(c)(</w:t>
      </w:r>
      <w:proofErr w:type="spellStart"/>
      <w:r>
        <w:t>i</w:t>
      </w:r>
      <w:proofErr w:type="spellEnd"/>
      <w:r>
        <w:t>), (2)(a) and (5); 105A.7B(5)(g)–(j); and 105A.7E(1)(c)(</w:t>
      </w:r>
      <w:proofErr w:type="spellStart"/>
      <w:r>
        <w:t>i</w:t>
      </w:r>
      <w:proofErr w:type="spellEnd"/>
      <w:r>
        <w:t>), (2)(a) and (5) of the Criminal Code be repealed on the basis that they are not necessary, given the existing range of monitoring warrants.</w:t>
      </w:r>
    </w:p>
    <w:p w14:paraId="2A3F8C56" w14:textId="6D618D1A" w:rsidR="001A1BD7" w:rsidRDefault="00742768" w:rsidP="001A1BD7">
      <w:pPr>
        <w:pStyle w:val="Heading1"/>
      </w:pPr>
      <w:bookmarkStart w:id="21" w:name="_Toc138410686"/>
      <w:r>
        <w:t>Establishment of o</w:t>
      </w:r>
      <w:r w:rsidR="001A1BD7">
        <w:t>versight bodies</w:t>
      </w:r>
      <w:bookmarkEnd w:id="21"/>
    </w:p>
    <w:p w14:paraId="1AF32DD8" w14:textId="4245DE11" w:rsidR="00D81987" w:rsidRPr="00D81987" w:rsidRDefault="00D81987" w:rsidP="00D81987">
      <w:pPr>
        <w:pStyle w:val="Heading3"/>
        <w:rPr>
          <w:i/>
          <w:iCs/>
        </w:rPr>
      </w:pPr>
      <w:bookmarkStart w:id="22" w:name="_Toc138410687"/>
      <w:r w:rsidRPr="00D81987">
        <w:rPr>
          <w:i/>
          <w:iCs/>
        </w:rPr>
        <w:t xml:space="preserve">Establishment of an ESO </w:t>
      </w:r>
      <w:r w:rsidR="00130520">
        <w:rPr>
          <w:i/>
          <w:iCs/>
        </w:rPr>
        <w:t>A</w:t>
      </w:r>
      <w:r w:rsidRPr="00D81987">
        <w:rPr>
          <w:i/>
          <w:iCs/>
        </w:rPr>
        <w:t>uthority</w:t>
      </w:r>
      <w:bookmarkEnd w:id="22"/>
    </w:p>
    <w:p w14:paraId="211F5E3C" w14:textId="515B6915" w:rsidR="00CF7AA7" w:rsidRDefault="000A0FE4" w:rsidP="00237764">
      <w:pPr>
        <w:pStyle w:val="ListNumber"/>
      </w:pPr>
      <w:r>
        <w:t xml:space="preserve">The INSLM Report recommended </w:t>
      </w:r>
      <w:r w:rsidR="00D7234A">
        <w:t xml:space="preserve">that </w:t>
      </w:r>
      <w:r>
        <w:t xml:space="preserve">the </w:t>
      </w:r>
      <w:r w:rsidR="0018357C">
        <w:t xml:space="preserve">Attorney-General’s Department prepare a report about the </w:t>
      </w:r>
      <w:r w:rsidR="0017322A">
        <w:t>establishment of an independent statutory body</w:t>
      </w:r>
      <w:r w:rsidR="00650E34">
        <w:t xml:space="preserve">, called an ESO Authority, </w:t>
      </w:r>
      <w:r w:rsidR="00CB5002">
        <w:t>that would:</w:t>
      </w:r>
    </w:p>
    <w:p w14:paraId="5A7ABB9A" w14:textId="7F0CAADD" w:rsidR="00CB5002" w:rsidRDefault="00CB5002" w:rsidP="00CB5002">
      <w:pPr>
        <w:pStyle w:val="ListNumber"/>
        <w:numPr>
          <w:ilvl w:val="0"/>
          <w:numId w:val="19"/>
        </w:numPr>
      </w:pPr>
      <w:r>
        <w:t xml:space="preserve">provide oversight of </w:t>
      </w:r>
      <w:r w:rsidR="003D3A90">
        <w:t>offenders’ compliance with ESO conditions</w:t>
      </w:r>
    </w:p>
    <w:p w14:paraId="42693CEF" w14:textId="307DD68F" w:rsidR="003D3A90" w:rsidRDefault="003D3A90" w:rsidP="00CB5002">
      <w:pPr>
        <w:pStyle w:val="ListNumber"/>
        <w:numPr>
          <w:ilvl w:val="0"/>
          <w:numId w:val="19"/>
        </w:numPr>
      </w:pPr>
      <w:r>
        <w:t>provide oversight of the services provided to assist offender</w:t>
      </w:r>
      <w:r w:rsidR="003615A6">
        <w:t>s</w:t>
      </w:r>
      <w:r>
        <w:t xml:space="preserve"> in complying with ESO </w:t>
      </w:r>
      <w:proofErr w:type="gramStart"/>
      <w:r>
        <w:t>conditions</w:t>
      </w:r>
      <w:proofErr w:type="gramEnd"/>
    </w:p>
    <w:p w14:paraId="52FEE543" w14:textId="388AB46C" w:rsidR="003D3A90" w:rsidRDefault="003D3A90" w:rsidP="00CB5002">
      <w:pPr>
        <w:pStyle w:val="ListNumber"/>
        <w:numPr>
          <w:ilvl w:val="0"/>
          <w:numId w:val="19"/>
        </w:numPr>
      </w:pPr>
      <w:r>
        <w:t xml:space="preserve">provide </w:t>
      </w:r>
      <w:r w:rsidR="00E30AC7">
        <w:t xml:space="preserve">oversight of the services provided to assist offenders with rehabilitation and reintegration into their </w:t>
      </w:r>
      <w:proofErr w:type="gramStart"/>
      <w:r w:rsidR="00E30AC7">
        <w:t>communities</w:t>
      </w:r>
      <w:proofErr w:type="gramEnd"/>
    </w:p>
    <w:p w14:paraId="5CE27662" w14:textId="45EB84EA" w:rsidR="00E30AC7" w:rsidRDefault="00C42EAF" w:rsidP="00CB5002">
      <w:pPr>
        <w:pStyle w:val="ListNumber"/>
        <w:numPr>
          <w:ilvl w:val="0"/>
          <w:numId w:val="19"/>
        </w:numPr>
      </w:pPr>
      <w:r>
        <w:t xml:space="preserve">report to the court on each review of an ESO about the exercise by </w:t>
      </w:r>
      <w:r w:rsidR="00FF00D1">
        <w:t xml:space="preserve">‘specified authorities’ of their delegated powers including their decisions about the variation of </w:t>
      </w:r>
      <w:proofErr w:type="gramStart"/>
      <w:r w:rsidR="00FF00D1">
        <w:t>conditions</w:t>
      </w:r>
      <w:proofErr w:type="gramEnd"/>
    </w:p>
    <w:p w14:paraId="77114A5A" w14:textId="2F97BA64" w:rsidR="00ED20E1" w:rsidRDefault="00ED20E1" w:rsidP="00CB5002">
      <w:pPr>
        <w:pStyle w:val="ListNumber"/>
        <w:numPr>
          <w:ilvl w:val="0"/>
          <w:numId w:val="19"/>
        </w:numPr>
      </w:pPr>
      <w:r>
        <w:t xml:space="preserve">assist the court in determining whether the conditions imposed by an ESO </w:t>
      </w:r>
      <w:r w:rsidR="009E01A9">
        <w:t xml:space="preserve">remain reasonably necessary and reasonably appropriate and adapted for the purposes of </w:t>
      </w:r>
      <w:r w:rsidR="001E7DB0">
        <w:t>the offender’s rehabilitation and reintegration into the community.</w:t>
      </w:r>
      <w:r w:rsidR="000245EC">
        <w:rPr>
          <w:rStyle w:val="EndnoteReference"/>
        </w:rPr>
        <w:endnoteReference w:id="86"/>
      </w:r>
    </w:p>
    <w:p w14:paraId="6F5DE8BE" w14:textId="18543418" w:rsidR="001C435A" w:rsidRDefault="001E7DB0" w:rsidP="0033174F">
      <w:pPr>
        <w:pStyle w:val="ListNumber"/>
      </w:pPr>
      <w:r>
        <w:t xml:space="preserve">The Commission agrees that oversight of specified authorities is appropriate. </w:t>
      </w:r>
      <w:r w:rsidR="00205444">
        <w:t xml:space="preserve"> </w:t>
      </w:r>
      <w:r w:rsidR="001C435A">
        <w:t xml:space="preserve">Some of the reasons for this are set out in more detail </w:t>
      </w:r>
      <w:r w:rsidR="001D7968">
        <w:t>in section 10.5 of the Commission’s submission to the IN</w:t>
      </w:r>
      <w:r w:rsidR="006B57A9">
        <w:t xml:space="preserve">SLM which described the practice </w:t>
      </w:r>
      <w:r w:rsidR="00DD2C3C">
        <w:t xml:space="preserve">at both Commonwealth and State and Territory levels </w:t>
      </w:r>
      <w:r w:rsidR="006B57A9">
        <w:t xml:space="preserve">of </w:t>
      </w:r>
      <w:r w:rsidR="00765349">
        <w:t xml:space="preserve">prosecuting people for relatively minor breaches of control </w:t>
      </w:r>
      <w:r w:rsidR="00765349">
        <w:lastRenderedPageBreak/>
        <w:t>order</w:t>
      </w:r>
      <w:r w:rsidR="00BE404B">
        <w:t xml:space="preserve"> and ESO</w:t>
      </w:r>
      <w:r w:rsidR="00765349">
        <w:t xml:space="preserve"> conditions.</w:t>
      </w:r>
      <w:r w:rsidR="00423224">
        <w:rPr>
          <w:rStyle w:val="EndnoteReference"/>
        </w:rPr>
        <w:endnoteReference w:id="87"/>
      </w:r>
      <w:r w:rsidR="00765349">
        <w:t xml:space="preserve">  </w:t>
      </w:r>
      <w:r w:rsidR="006C1FA5">
        <w:t xml:space="preserve">Similar concerns were expressed by the INSLM based on evidence </w:t>
      </w:r>
      <w:r w:rsidR="00D4628B">
        <w:t>given to his inquiry.</w:t>
      </w:r>
      <w:r w:rsidR="00D4628B">
        <w:rPr>
          <w:rStyle w:val="EndnoteReference"/>
        </w:rPr>
        <w:endnoteReference w:id="88"/>
      </w:r>
    </w:p>
    <w:p w14:paraId="7D3B8900" w14:textId="3B1E36E2" w:rsidR="00CB5002" w:rsidRDefault="001C435A" w:rsidP="00237764">
      <w:pPr>
        <w:pStyle w:val="ListNumber"/>
      </w:pPr>
      <w:r>
        <w:t xml:space="preserve">If </w:t>
      </w:r>
      <w:r w:rsidR="0055564A">
        <w:t xml:space="preserve">an ESO </w:t>
      </w:r>
      <w:r w:rsidR="00F81485">
        <w:t>A</w:t>
      </w:r>
      <w:r w:rsidR="0055564A">
        <w:t xml:space="preserve">uthority were established with oversight of the conduct of </w:t>
      </w:r>
      <w:r w:rsidR="001D7968">
        <w:t>‘</w:t>
      </w:r>
      <w:r w:rsidR="0055564A">
        <w:t>specified authorities</w:t>
      </w:r>
      <w:r w:rsidR="001D7968">
        <w:t>’</w:t>
      </w:r>
      <w:r w:rsidR="0055564A">
        <w:t>, i</w:t>
      </w:r>
      <w:r w:rsidR="004934FA">
        <w:t xml:space="preserve">t may obviate the need for some of the specific recommendations made by the Commission about the </w:t>
      </w:r>
      <w:r w:rsidR="00704A6A">
        <w:t xml:space="preserve">way in which specified authorities operate (see Recommendations </w:t>
      </w:r>
      <w:r w:rsidR="008572FA">
        <w:t xml:space="preserve">17, 20, </w:t>
      </w:r>
      <w:r w:rsidR="001E4568">
        <w:t>23, 24 and 25</w:t>
      </w:r>
      <w:r w:rsidR="001022C6">
        <w:t xml:space="preserve"> of the Commission’s submission to the INSLM</w:t>
      </w:r>
      <w:r w:rsidR="001D7968">
        <w:t>).</w:t>
      </w:r>
    </w:p>
    <w:p w14:paraId="1DF1DF2F" w14:textId="7EF23EEB" w:rsidR="001022C6" w:rsidRPr="00D007B0" w:rsidRDefault="001022C6" w:rsidP="00D007B0">
      <w:pPr>
        <w:pStyle w:val="ListNumber"/>
        <w:keepNext/>
        <w:numPr>
          <w:ilvl w:val="0"/>
          <w:numId w:val="0"/>
        </w:numPr>
        <w:ind w:left="1094"/>
        <w:rPr>
          <w:b/>
          <w:bCs/>
        </w:rPr>
      </w:pPr>
      <w:r w:rsidRPr="00D007B0">
        <w:rPr>
          <w:b/>
          <w:bCs/>
        </w:rPr>
        <w:t xml:space="preserve">Recommendation </w:t>
      </w:r>
      <w:r w:rsidR="00A07264">
        <w:rPr>
          <w:b/>
          <w:bCs/>
        </w:rPr>
        <w:t>9</w:t>
      </w:r>
    </w:p>
    <w:p w14:paraId="086CBA6B" w14:textId="57FEF47B" w:rsidR="001022C6" w:rsidRDefault="001022C6" w:rsidP="00D007B0">
      <w:pPr>
        <w:pStyle w:val="ListNumber"/>
        <w:numPr>
          <w:ilvl w:val="0"/>
          <w:numId w:val="0"/>
        </w:numPr>
        <w:ind w:left="1094"/>
      </w:pPr>
      <w:r>
        <w:t xml:space="preserve">The Commission endorses and </w:t>
      </w:r>
      <w:r w:rsidR="00F230F6">
        <w:t>repeats the</w:t>
      </w:r>
      <w:r>
        <w:t xml:space="preserve"> recommen</w:t>
      </w:r>
      <w:r w:rsidR="00F230F6">
        <w:t xml:space="preserve">dation made by the INSLM at [461] of the INSLM Report dealing with </w:t>
      </w:r>
      <w:r w:rsidR="00D007B0">
        <w:t xml:space="preserve">the establishment of an ESO Authority. </w:t>
      </w:r>
    </w:p>
    <w:p w14:paraId="3E484C97" w14:textId="7D639757" w:rsidR="00D007B0" w:rsidRPr="00B52863" w:rsidRDefault="00401FBF" w:rsidP="00401FBF">
      <w:pPr>
        <w:pStyle w:val="Heading3"/>
        <w:rPr>
          <w:i/>
          <w:iCs/>
        </w:rPr>
      </w:pPr>
      <w:bookmarkStart w:id="23" w:name="_Toc138410688"/>
      <w:r w:rsidRPr="00B52863">
        <w:rPr>
          <w:i/>
          <w:iCs/>
        </w:rPr>
        <w:t xml:space="preserve">Establishment of a risk management </w:t>
      </w:r>
      <w:r w:rsidR="00DC22D8">
        <w:rPr>
          <w:i/>
          <w:iCs/>
        </w:rPr>
        <w:t>body</w:t>
      </w:r>
      <w:bookmarkEnd w:id="23"/>
    </w:p>
    <w:p w14:paraId="1AC9C43A" w14:textId="3D087C3B" w:rsidR="00401FBF" w:rsidRDefault="00784A37" w:rsidP="00237764">
      <w:pPr>
        <w:pStyle w:val="ListNumber"/>
      </w:pPr>
      <w:r>
        <w:t xml:space="preserve">Experience </w:t>
      </w:r>
      <w:r w:rsidR="003831F0">
        <w:t xml:space="preserve">with Div 105A has shown the importance of accurate risk assessment, </w:t>
      </w:r>
      <w:r w:rsidR="00057E8E">
        <w:t xml:space="preserve">of the </w:t>
      </w:r>
      <w:r w:rsidR="00F57A1A">
        <w:t xml:space="preserve">need for </w:t>
      </w:r>
      <w:r w:rsidR="00C3618E">
        <w:t xml:space="preserve">transparency in how risk assessment is conducted, and the need for risk assessors to be </w:t>
      </w:r>
      <w:r w:rsidR="00057E8E">
        <w:t>independen</w:t>
      </w:r>
      <w:r w:rsidR="00C3618E">
        <w:t>t of government.</w:t>
      </w:r>
    </w:p>
    <w:p w14:paraId="61E124F9" w14:textId="77777777" w:rsidR="000C07C3" w:rsidRDefault="000C07C3" w:rsidP="000C07C3">
      <w:pPr>
        <w:pStyle w:val="ListNumber"/>
      </w:pPr>
      <w:r>
        <w:t>At present, the definition of ‘relevant expert’ is broad, vague and does not guarantee sufficient training or independence.  There are no minimum requirements for training or accreditation.</w:t>
      </w:r>
    </w:p>
    <w:p w14:paraId="5AFE746C" w14:textId="76A0E975" w:rsidR="00C3618E" w:rsidRPr="00DB4CDA" w:rsidRDefault="00B7077F" w:rsidP="00237764">
      <w:pPr>
        <w:pStyle w:val="ListNumber"/>
      </w:pPr>
      <w:r>
        <w:t xml:space="preserve">In </w:t>
      </w:r>
      <w:r w:rsidR="005A141B">
        <w:t>Scotland</w:t>
      </w:r>
      <w:r>
        <w:t>,</w:t>
      </w:r>
      <w:r w:rsidR="00846DF8">
        <w:t xml:space="preserve"> a Risk Management Authority </w:t>
      </w:r>
      <w:r w:rsidR="00332029">
        <w:t xml:space="preserve">(RMA) </w:t>
      </w:r>
      <w:r w:rsidR="00FF7B80">
        <w:t xml:space="preserve">was </w:t>
      </w:r>
      <w:r>
        <w:t xml:space="preserve">established in 2005 pursuant to s 3 of the </w:t>
      </w:r>
      <w:r w:rsidRPr="00B7077F">
        <w:rPr>
          <w:i/>
          <w:iCs/>
        </w:rPr>
        <w:t>Criminal Justice (Scotland) Act 2003</w:t>
      </w:r>
      <w:r>
        <w:t xml:space="preserve"> (UK) (CJS Act).</w:t>
      </w:r>
      <w:r w:rsidR="005B2363">
        <w:t xml:space="preserve">  The purpose of the </w:t>
      </w:r>
      <w:r w:rsidR="00332029">
        <w:t xml:space="preserve">RMA </w:t>
      </w:r>
      <w:r w:rsidR="00DB4CDA" w:rsidRPr="00600D74">
        <w:rPr>
          <w:rFonts w:cs="Open Sans"/>
        </w:rPr>
        <w:t xml:space="preserve">is to make Scotland safer by setting the standard for risk practice to reduce reoffending and the harm that it causes.  </w:t>
      </w:r>
      <w:r w:rsidR="00DB4CDA">
        <w:rPr>
          <w:rFonts w:cs="Open Sans"/>
        </w:rPr>
        <w:t xml:space="preserve">It </w:t>
      </w:r>
      <w:r w:rsidR="00DB4CDA" w:rsidRPr="00600D74">
        <w:rPr>
          <w:rFonts w:cs="Open Sans"/>
        </w:rPr>
        <w:t>is particularly focused on the risk posed by violent and sexual offenders.</w:t>
      </w:r>
    </w:p>
    <w:p w14:paraId="774AA407" w14:textId="77777777" w:rsidR="00795FF9" w:rsidRPr="00600D74" w:rsidRDefault="00795FF9" w:rsidP="00795FF9">
      <w:pPr>
        <w:pStyle w:val="ListNumber"/>
      </w:pPr>
      <w:r w:rsidRPr="00600D74">
        <w:t>The RMA has the following functions</w:t>
      </w:r>
      <w:r>
        <w:t xml:space="preserve"> under the CJS Act</w:t>
      </w:r>
      <w:r w:rsidRPr="00600D74">
        <w:t>:</w:t>
      </w:r>
    </w:p>
    <w:p w14:paraId="35AC1131" w14:textId="77777777" w:rsidR="00795FF9" w:rsidRPr="00327DE6" w:rsidRDefault="00795FF9" w:rsidP="00795FF9">
      <w:pPr>
        <w:pStyle w:val="ListNumber"/>
        <w:numPr>
          <w:ilvl w:val="0"/>
          <w:numId w:val="29"/>
        </w:numPr>
        <w:ind w:left="1440"/>
      </w:pPr>
      <w:r>
        <w:t>p</w:t>
      </w:r>
      <w:r w:rsidRPr="00327DE6">
        <w:t xml:space="preserve">romote effective </w:t>
      </w:r>
      <w:r>
        <w:t xml:space="preserve">risk management </w:t>
      </w:r>
      <w:proofErr w:type="gramStart"/>
      <w:r w:rsidRPr="00327DE6">
        <w:t>practice</w:t>
      </w:r>
      <w:proofErr w:type="gramEnd"/>
    </w:p>
    <w:p w14:paraId="251C4850" w14:textId="77777777" w:rsidR="00795FF9" w:rsidRPr="00327DE6" w:rsidRDefault="00795FF9" w:rsidP="00795FF9">
      <w:pPr>
        <w:pStyle w:val="ListNumber"/>
        <w:numPr>
          <w:ilvl w:val="0"/>
          <w:numId w:val="29"/>
        </w:numPr>
        <w:ind w:left="1440"/>
      </w:pPr>
      <w:r>
        <w:rPr>
          <w:rFonts w:ascii="Arial" w:hAnsi="Arial" w:cs="Arial"/>
        </w:rPr>
        <w:t>c</w:t>
      </w:r>
      <w:r w:rsidRPr="00327DE6">
        <w:t>ompile and review research and development</w:t>
      </w:r>
    </w:p>
    <w:p w14:paraId="490EF1CA" w14:textId="77777777" w:rsidR="00795FF9" w:rsidRPr="00327DE6" w:rsidRDefault="00795FF9" w:rsidP="00795FF9">
      <w:pPr>
        <w:pStyle w:val="ListNumber"/>
        <w:numPr>
          <w:ilvl w:val="0"/>
          <w:numId w:val="29"/>
        </w:numPr>
        <w:ind w:left="1440"/>
      </w:pPr>
      <w:r>
        <w:rPr>
          <w:rFonts w:ascii="Arial" w:hAnsi="Arial" w:cs="Arial"/>
        </w:rPr>
        <w:t>p</w:t>
      </w:r>
      <w:r w:rsidRPr="00327DE6">
        <w:t>rovide advice and recommendations</w:t>
      </w:r>
      <w:r>
        <w:t xml:space="preserve"> to Scottish Ministers</w:t>
      </w:r>
    </w:p>
    <w:p w14:paraId="5D5EAC38" w14:textId="77777777" w:rsidR="00795FF9" w:rsidRPr="00327DE6" w:rsidRDefault="00795FF9" w:rsidP="00795FF9">
      <w:pPr>
        <w:pStyle w:val="ListNumber"/>
        <w:numPr>
          <w:ilvl w:val="0"/>
          <w:numId w:val="29"/>
        </w:numPr>
        <w:ind w:left="1440"/>
      </w:pPr>
      <w:r>
        <w:t>s</w:t>
      </w:r>
      <w:r w:rsidRPr="00327DE6">
        <w:t>et standards and issue guidelines</w:t>
      </w:r>
      <w:r>
        <w:t xml:space="preserve"> on the assessment and management of </w:t>
      </w:r>
      <w:proofErr w:type="gramStart"/>
      <w:r>
        <w:t>risk</w:t>
      </w:r>
      <w:proofErr w:type="gramEnd"/>
    </w:p>
    <w:p w14:paraId="1401D862" w14:textId="77777777" w:rsidR="00795FF9" w:rsidRPr="00327DE6" w:rsidRDefault="00795FF9" w:rsidP="00795FF9">
      <w:pPr>
        <w:pStyle w:val="ListNumber"/>
        <w:numPr>
          <w:ilvl w:val="0"/>
          <w:numId w:val="29"/>
        </w:numPr>
        <w:ind w:left="1440"/>
      </w:pPr>
      <w:r>
        <w:t>p</w:t>
      </w:r>
      <w:r w:rsidRPr="00327DE6">
        <w:t xml:space="preserve">ublish the form of risk management </w:t>
      </w:r>
      <w:proofErr w:type="gramStart"/>
      <w:r w:rsidRPr="00327DE6">
        <w:t>plans</w:t>
      </w:r>
      <w:proofErr w:type="gramEnd"/>
    </w:p>
    <w:p w14:paraId="25D6DAA1" w14:textId="77777777" w:rsidR="00795FF9" w:rsidRPr="00EB0A88" w:rsidRDefault="00795FF9" w:rsidP="00795FF9">
      <w:pPr>
        <w:pStyle w:val="ListNumber"/>
        <w:numPr>
          <w:ilvl w:val="0"/>
          <w:numId w:val="29"/>
        </w:numPr>
        <w:ind w:left="1440"/>
      </w:pPr>
      <w:r w:rsidRPr="00EB0A88">
        <w:rPr>
          <w:rFonts w:ascii="Arial" w:hAnsi="Arial" w:cs="Arial"/>
        </w:rPr>
        <w:t>a</w:t>
      </w:r>
      <w:r w:rsidRPr="00EB0A88">
        <w:t>pprove risk management plans and review</w:t>
      </w:r>
      <w:r>
        <w:t xml:space="preserve"> </w:t>
      </w:r>
      <w:r w:rsidRPr="00EB0A88">
        <w:t xml:space="preserve">their </w:t>
      </w:r>
      <w:proofErr w:type="gramStart"/>
      <w:r w:rsidRPr="00EB0A88">
        <w:t>implementation</w:t>
      </w:r>
      <w:proofErr w:type="gramEnd"/>
    </w:p>
    <w:p w14:paraId="3E8E20B7" w14:textId="77777777" w:rsidR="00795FF9" w:rsidRPr="00327DE6" w:rsidRDefault="00795FF9" w:rsidP="00795FF9">
      <w:pPr>
        <w:pStyle w:val="ListNumber"/>
        <w:numPr>
          <w:ilvl w:val="0"/>
          <w:numId w:val="29"/>
        </w:numPr>
        <w:ind w:left="1440"/>
      </w:pPr>
      <w:r>
        <w:lastRenderedPageBreak/>
        <w:t>a</w:t>
      </w:r>
      <w:r w:rsidRPr="00327DE6">
        <w:t>dminister schemes of accreditation</w:t>
      </w:r>
    </w:p>
    <w:p w14:paraId="6D89D83B" w14:textId="77777777" w:rsidR="00795FF9" w:rsidRPr="00327DE6" w:rsidRDefault="00795FF9" w:rsidP="00795FF9">
      <w:pPr>
        <w:pStyle w:val="ListNumber"/>
        <w:numPr>
          <w:ilvl w:val="0"/>
          <w:numId w:val="29"/>
        </w:numPr>
        <w:ind w:left="1440"/>
      </w:pPr>
      <w:r>
        <w:t>p</w:t>
      </w:r>
      <w:r w:rsidRPr="00327DE6">
        <w:t>rovide education and training</w:t>
      </w:r>
      <w:r>
        <w:t>.</w:t>
      </w:r>
    </w:p>
    <w:p w14:paraId="65040A8B" w14:textId="1BD083D5" w:rsidR="00DB4CDA" w:rsidRPr="007B17AD" w:rsidRDefault="007B17AD" w:rsidP="00237764">
      <w:pPr>
        <w:pStyle w:val="ListNumber"/>
      </w:pPr>
      <w:r w:rsidRPr="007B17AD">
        <w:rPr>
          <w:rFonts w:cs="Open Sans"/>
        </w:rPr>
        <w:t>Section 11 of the CJS Act provides that Scottish Ministers may make a scheme of accreditation in relation to:</w:t>
      </w:r>
    </w:p>
    <w:p w14:paraId="366E1D71" w14:textId="77777777" w:rsidR="0019697D" w:rsidRPr="00600D74" w:rsidRDefault="0019697D" w:rsidP="0019697D">
      <w:pPr>
        <w:pStyle w:val="ListNumber"/>
        <w:numPr>
          <w:ilvl w:val="0"/>
          <w:numId w:val="31"/>
        </w:numPr>
        <w:ind w:left="1440"/>
      </w:pPr>
      <w:r w:rsidRPr="00600D74">
        <w:t xml:space="preserve">any manner of assessing and minimising risk </w:t>
      </w:r>
    </w:p>
    <w:p w14:paraId="396C40BB" w14:textId="77777777" w:rsidR="0019697D" w:rsidRPr="00600D74" w:rsidRDefault="0019697D" w:rsidP="0019697D">
      <w:pPr>
        <w:pStyle w:val="ListNumber"/>
        <w:numPr>
          <w:ilvl w:val="0"/>
          <w:numId w:val="31"/>
        </w:numPr>
        <w:ind w:left="1440"/>
      </w:pPr>
      <w:r w:rsidRPr="00600D74">
        <w:t>persons having functions in relation to the assessment and minimisation of risk.</w:t>
      </w:r>
    </w:p>
    <w:p w14:paraId="3E6FA087" w14:textId="77777777" w:rsidR="009859E8" w:rsidRDefault="00493B11" w:rsidP="005B58EE">
      <w:pPr>
        <w:pStyle w:val="ListNumber"/>
      </w:pPr>
      <w:r w:rsidRPr="00600D74">
        <w:t xml:space="preserve">The RMA is to administer any such scheme of accreditation. </w:t>
      </w:r>
      <w:r w:rsidR="00082AED">
        <w:t xml:space="preserve"> </w:t>
      </w:r>
    </w:p>
    <w:p w14:paraId="2B8CD62F" w14:textId="4ED252E0" w:rsidR="009859E8" w:rsidRPr="00600D74" w:rsidRDefault="009859E8" w:rsidP="009859E8">
      <w:pPr>
        <w:pStyle w:val="ListNumber"/>
      </w:pPr>
      <w:r>
        <w:t xml:space="preserve">The RMA publishes a resource on its website called </w:t>
      </w:r>
      <w:r w:rsidRPr="00D959A9">
        <w:t>the Risk Assessment Tools Evaluation Directory.</w:t>
      </w:r>
      <w:r w:rsidR="00DC3243">
        <w:rPr>
          <w:rStyle w:val="EndnoteReference"/>
        </w:rPr>
        <w:endnoteReference w:id="89"/>
      </w:r>
      <w:r w:rsidRPr="00D959A9">
        <w:t xml:space="preserve"> This </w:t>
      </w:r>
      <w:r>
        <w:t xml:space="preserve">publication </w:t>
      </w:r>
      <w:r w:rsidRPr="00D959A9">
        <w:t xml:space="preserve">provides background information on </w:t>
      </w:r>
      <w:r w:rsidR="00370030">
        <w:t>74</w:t>
      </w:r>
      <w:r w:rsidRPr="00D959A9">
        <w:t xml:space="preserve"> risk instruments and highlights the strengths and limitations that the assessor should </w:t>
      </w:r>
      <w:proofErr w:type="gramStart"/>
      <w:r w:rsidRPr="00D959A9">
        <w:t>take into account</w:t>
      </w:r>
      <w:proofErr w:type="gramEnd"/>
      <w:r w:rsidRPr="00D959A9">
        <w:t xml:space="preserve"> when applying each tool as part of a holistic risk assessment process.</w:t>
      </w:r>
    </w:p>
    <w:p w14:paraId="41B25025" w14:textId="77777777" w:rsidR="00E527A2" w:rsidRPr="008A2266" w:rsidRDefault="00E527A2" w:rsidP="00E527A2">
      <w:pPr>
        <w:pStyle w:val="SubmissionNormal"/>
        <w:keepNext/>
        <w:numPr>
          <w:ilvl w:val="0"/>
          <w:numId w:val="0"/>
        </w:numPr>
        <w:ind w:left="1080"/>
        <w:rPr>
          <w:b/>
        </w:rPr>
      </w:pPr>
      <w:r>
        <w:rPr>
          <w:b/>
        </w:rPr>
        <w:t>Recommendation 10</w:t>
      </w:r>
    </w:p>
    <w:p w14:paraId="70B96F5C" w14:textId="77777777" w:rsidR="00E527A2" w:rsidRDefault="00E527A2" w:rsidP="00E527A2">
      <w:pPr>
        <w:pStyle w:val="SubmissionNormal"/>
        <w:numPr>
          <w:ilvl w:val="0"/>
          <w:numId w:val="0"/>
        </w:numPr>
        <w:ind w:left="1080"/>
      </w:pPr>
      <w:r>
        <w:t>The Commission recommends that an independent risk management body be established to:</w:t>
      </w:r>
    </w:p>
    <w:p w14:paraId="14F2070C" w14:textId="77777777" w:rsidR="00E527A2" w:rsidRDefault="00E527A2" w:rsidP="00E527A2">
      <w:pPr>
        <w:pStyle w:val="SubmissionNormal"/>
        <w:numPr>
          <w:ilvl w:val="0"/>
          <w:numId w:val="0"/>
        </w:numPr>
        <w:ind w:left="1800" w:hanging="720"/>
      </w:pPr>
      <w:r>
        <w:t>(a)</w:t>
      </w:r>
      <w:r>
        <w:tab/>
        <w:t>accredit people in the assessment of risk for the purpose of becoming ‘relevant experts’ as defined in s 105A.2 of the Criminal Code</w:t>
      </w:r>
    </w:p>
    <w:p w14:paraId="24051D1F" w14:textId="77777777" w:rsidR="00E527A2" w:rsidRDefault="00E527A2" w:rsidP="00E527A2">
      <w:pPr>
        <w:pStyle w:val="SubmissionNormal"/>
        <w:numPr>
          <w:ilvl w:val="0"/>
          <w:numId w:val="0"/>
        </w:numPr>
        <w:ind w:left="1800" w:hanging="720"/>
      </w:pPr>
      <w:r>
        <w:t>(b)</w:t>
      </w:r>
      <w:r>
        <w:tab/>
        <w:t xml:space="preserve">develop best-practice risk-assessment and risk-management processes, </w:t>
      </w:r>
      <w:proofErr w:type="gramStart"/>
      <w:r>
        <w:t>guidelines</w:t>
      </w:r>
      <w:proofErr w:type="gramEnd"/>
      <w:r>
        <w:t xml:space="preserve"> and standards</w:t>
      </w:r>
    </w:p>
    <w:p w14:paraId="733AE5DB" w14:textId="77777777" w:rsidR="00E527A2" w:rsidRDefault="00E527A2" w:rsidP="00E527A2">
      <w:pPr>
        <w:pStyle w:val="SubmissionNormal"/>
        <w:numPr>
          <w:ilvl w:val="0"/>
          <w:numId w:val="0"/>
        </w:numPr>
        <w:ind w:left="1800" w:hanging="720"/>
      </w:pPr>
      <w:r>
        <w:t>(c)</w:t>
      </w:r>
      <w:r>
        <w:tab/>
        <w:t>validate new risk assessment tools and processes</w:t>
      </w:r>
    </w:p>
    <w:p w14:paraId="3590FA38" w14:textId="77777777" w:rsidR="00E527A2" w:rsidRDefault="00E527A2" w:rsidP="00E527A2">
      <w:pPr>
        <w:pStyle w:val="SubmissionNormal"/>
        <w:numPr>
          <w:ilvl w:val="0"/>
          <w:numId w:val="0"/>
        </w:numPr>
        <w:ind w:left="1800" w:hanging="720"/>
      </w:pPr>
      <w:r>
        <w:t>(d)</w:t>
      </w:r>
      <w:r>
        <w:tab/>
        <w:t>evaluate the operation of risk assessment tools</w:t>
      </w:r>
    </w:p>
    <w:p w14:paraId="15DC1355" w14:textId="77777777" w:rsidR="00E527A2" w:rsidRDefault="00E527A2" w:rsidP="00E527A2">
      <w:pPr>
        <w:pStyle w:val="SubmissionNormal"/>
        <w:numPr>
          <w:ilvl w:val="0"/>
          <w:numId w:val="0"/>
        </w:numPr>
        <w:ind w:left="1800" w:hanging="720"/>
      </w:pPr>
      <w:r>
        <w:t>(e)</w:t>
      </w:r>
      <w:r>
        <w:tab/>
        <w:t>undertake and commission research on risk assessment methods; and</w:t>
      </w:r>
    </w:p>
    <w:p w14:paraId="36DE6751" w14:textId="77777777" w:rsidR="00E527A2" w:rsidRDefault="00E527A2" w:rsidP="00E527A2">
      <w:pPr>
        <w:pStyle w:val="SubmissionNormal"/>
        <w:numPr>
          <w:ilvl w:val="0"/>
          <w:numId w:val="0"/>
        </w:numPr>
        <w:ind w:left="1800" w:hanging="720"/>
      </w:pPr>
      <w:r>
        <w:t>(f)</w:t>
      </w:r>
      <w:r>
        <w:tab/>
        <w:t>provide education and training for risk assessors.</w:t>
      </w:r>
    </w:p>
    <w:p w14:paraId="0D2E5430" w14:textId="77777777" w:rsidR="00E527A2" w:rsidRPr="004343CF" w:rsidRDefault="00E527A2" w:rsidP="00E527A2">
      <w:pPr>
        <w:pStyle w:val="SubmissionNormal"/>
        <w:keepNext/>
        <w:numPr>
          <w:ilvl w:val="0"/>
          <w:numId w:val="0"/>
        </w:numPr>
        <w:ind w:left="1800" w:hanging="720"/>
        <w:rPr>
          <w:b/>
        </w:rPr>
      </w:pPr>
      <w:r>
        <w:rPr>
          <w:b/>
        </w:rPr>
        <w:t>Recommendation 11</w:t>
      </w:r>
    </w:p>
    <w:p w14:paraId="5DAABD13" w14:textId="6850464B" w:rsidR="006355A1" w:rsidRDefault="00E527A2" w:rsidP="002F6F12">
      <w:pPr>
        <w:pStyle w:val="SubmissionNormal"/>
        <w:numPr>
          <w:ilvl w:val="0"/>
          <w:numId w:val="0"/>
        </w:numPr>
        <w:ind w:left="1080"/>
        <w:rPr>
          <w:b/>
          <w:bCs/>
          <w:sz w:val="28"/>
          <w:szCs w:val="32"/>
        </w:rPr>
      </w:pPr>
      <w:r>
        <w:t xml:space="preserve">The Commission recommends that ‘relevant experts’ be required to be accredited by the independent risk management body </w:t>
      </w:r>
      <w:proofErr w:type="gramStart"/>
      <w:r>
        <w:t>in order to</w:t>
      </w:r>
      <w:proofErr w:type="gramEnd"/>
      <w:r>
        <w:t xml:space="preserve"> be appointed under ss 105A.6 or 105A.18D of the Criminal Code.</w:t>
      </w:r>
      <w:bookmarkEnd w:id="18"/>
      <w:r w:rsidR="006355A1">
        <w:rPr>
          <w:b/>
          <w:bCs/>
          <w:sz w:val="28"/>
          <w:szCs w:val="32"/>
        </w:rPr>
        <w:br w:type="page"/>
      </w:r>
    </w:p>
    <w:p w14:paraId="102E4627" w14:textId="41F48BFA" w:rsidR="00A7615D" w:rsidRPr="000D58C2" w:rsidRDefault="000D58C2" w:rsidP="000705F2">
      <w:pPr>
        <w:pStyle w:val="ListNumber"/>
        <w:numPr>
          <w:ilvl w:val="0"/>
          <w:numId w:val="0"/>
        </w:numPr>
        <w:rPr>
          <w:b/>
          <w:bCs/>
          <w:sz w:val="28"/>
          <w:szCs w:val="32"/>
        </w:rPr>
      </w:pPr>
      <w:r w:rsidRPr="000D58C2">
        <w:rPr>
          <w:b/>
          <w:bCs/>
          <w:sz w:val="28"/>
          <w:szCs w:val="32"/>
        </w:rPr>
        <w:lastRenderedPageBreak/>
        <w:t>Endnotes</w:t>
      </w:r>
    </w:p>
    <w:sectPr w:rsidR="00A7615D" w:rsidRPr="000D58C2" w:rsidSect="00E5430C">
      <w:headerReference w:type="default" r:id="rId18"/>
      <w:headerReference w:type="first" r:id="rId19"/>
      <w:endnotePr>
        <w:numFmt w:val="decimal"/>
      </w:endnotePr>
      <w:pgSz w:w="11906" w:h="16838" w:code="9"/>
      <w:pgMar w:top="2438" w:right="1418" w:bottom="1134"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26EA" w14:textId="77777777" w:rsidR="000E69B0" w:rsidRDefault="000E69B0" w:rsidP="00F14C6D">
      <w:r>
        <w:separator/>
      </w:r>
    </w:p>
  </w:endnote>
  <w:endnote w:type="continuationSeparator" w:id="0">
    <w:p w14:paraId="0C51BE7D" w14:textId="77777777" w:rsidR="000E69B0" w:rsidRDefault="000E69B0" w:rsidP="00F14C6D">
      <w:r>
        <w:continuationSeparator/>
      </w:r>
    </w:p>
  </w:endnote>
  <w:endnote w:type="continuationNotice" w:id="1">
    <w:p w14:paraId="6679249C" w14:textId="77777777" w:rsidR="000E69B0" w:rsidRDefault="000E69B0">
      <w:pPr>
        <w:spacing w:before="0" w:after="0"/>
      </w:pPr>
    </w:p>
  </w:endnote>
  <w:endnote w:id="2">
    <w:p w14:paraId="3BD72D4A" w14:textId="16415332" w:rsidR="00771BAC" w:rsidRDefault="00771BAC" w:rsidP="000930BE">
      <w:pPr>
        <w:pStyle w:val="EndnoteText"/>
        <w:ind w:left="284" w:hanging="284"/>
      </w:pPr>
      <w:r>
        <w:rPr>
          <w:rStyle w:val="EndnoteReference"/>
        </w:rPr>
        <w:endnoteRef/>
      </w:r>
      <w:r>
        <w:t xml:space="preserve"> </w:t>
      </w:r>
      <w:r>
        <w:tab/>
      </w:r>
      <w:r>
        <w:rPr>
          <w:lang w:val="en-US"/>
        </w:rPr>
        <w:t xml:space="preserve">Australian Human Rights Commission, </w:t>
      </w:r>
      <w:r w:rsidR="000B6820" w:rsidRPr="00215EE4">
        <w:rPr>
          <w:i/>
          <w:iCs/>
          <w:lang w:val="en-US"/>
        </w:rPr>
        <w:t>Review into Division 105A of the Criminal Code (post sentence orders)</w:t>
      </w:r>
      <w:r w:rsidR="00215EE4">
        <w:rPr>
          <w:lang w:val="en-US"/>
        </w:rPr>
        <w:t>, s</w:t>
      </w:r>
      <w:r w:rsidR="000B6820" w:rsidRPr="000B6820">
        <w:rPr>
          <w:lang w:val="en-US"/>
        </w:rPr>
        <w:t xml:space="preserve">ubmission to the </w:t>
      </w:r>
      <w:r w:rsidR="00215EE4">
        <w:rPr>
          <w:lang w:val="en-US"/>
        </w:rPr>
        <w:t xml:space="preserve">INSLM, </w:t>
      </w:r>
      <w:r w:rsidR="000B6820" w:rsidRPr="000B6820">
        <w:rPr>
          <w:lang w:val="en-US"/>
        </w:rPr>
        <w:t>4 February 2022</w:t>
      </w:r>
      <w:r w:rsidR="00215EE4">
        <w:rPr>
          <w:lang w:val="en-US"/>
        </w:rPr>
        <w:t xml:space="preserve">, at </w:t>
      </w:r>
      <w:hyperlink r:id="rId1" w:history="1">
        <w:r w:rsidR="000930BE" w:rsidRPr="00F46897">
          <w:rPr>
            <w:rStyle w:val="Hyperlink"/>
            <w:lang w:val="en-US"/>
          </w:rPr>
          <w:t>https://www.inslm.gov.au/sites/default/files/2022-03/11-australian-human-rights-commission.pdf</w:t>
        </w:r>
      </w:hyperlink>
      <w:r w:rsidR="000930BE">
        <w:rPr>
          <w:lang w:val="en-US"/>
        </w:rPr>
        <w:t xml:space="preserve">. </w:t>
      </w:r>
    </w:p>
  </w:endnote>
  <w:endnote w:id="3">
    <w:p w14:paraId="341862B6" w14:textId="05B93D5B" w:rsidR="00DE1F0D" w:rsidRPr="00DE1F0D" w:rsidRDefault="00DE1F0D" w:rsidP="00F21C19">
      <w:pPr>
        <w:pStyle w:val="EndnoteText"/>
        <w:ind w:left="284" w:hanging="284"/>
        <w:rPr>
          <w:lang w:val="en-US"/>
        </w:rPr>
      </w:pPr>
      <w:r>
        <w:rPr>
          <w:rStyle w:val="EndnoteReference"/>
        </w:rPr>
        <w:endnoteRef/>
      </w:r>
      <w:r>
        <w:t xml:space="preserve"> </w:t>
      </w:r>
      <w:r w:rsidR="00B25294">
        <w:tab/>
      </w:r>
      <w:r>
        <w:rPr>
          <w:lang w:val="en-US"/>
        </w:rPr>
        <w:t xml:space="preserve">Australian Human Rights Commission, </w:t>
      </w:r>
      <w:r w:rsidRPr="00974954">
        <w:rPr>
          <w:i/>
          <w:iCs/>
          <w:lang w:val="en-US"/>
        </w:rPr>
        <w:t>Criminal Code Amendment (High Risk Terrorist Offenders) Bill 2016 (</w:t>
      </w:r>
      <w:r w:rsidRPr="00974954">
        <w:rPr>
          <w:i/>
          <w:iCs/>
          <w:lang w:val="en-US"/>
        </w:rPr>
        <w:t>Cth)</w:t>
      </w:r>
      <w:r>
        <w:rPr>
          <w:lang w:val="en-US"/>
        </w:rPr>
        <w:t xml:space="preserve">, submission to the PJCIS, </w:t>
      </w:r>
      <w:r w:rsidRPr="0006741A">
        <w:t>12 October 2016</w:t>
      </w:r>
      <w:r>
        <w:t xml:space="preserve">, at </w:t>
      </w:r>
      <w:hyperlink r:id="rId2" w:history="1">
        <w:r w:rsidRPr="003E5E7A">
          <w:rPr>
            <w:rStyle w:val="Hyperlink"/>
          </w:rPr>
          <w:t>https://www.aph.gov.au/DocumentStore.ashx?id=32397a66-a179-4a07-a5fb-ab60b776676f&amp;subId=414693</w:t>
        </w:r>
      </w:hyperlink>
      <w:r w:rsidR="00240123">
        <w:rPr>
          <w:rStyle w:val="Hyperlink"/>
        </w:rPr>
        <w:t>.</w:t>
      </w:r>
    </w:p>
  </w:endnote>
  <w:endnote w:id="4">
    <w:p w14:paraId="03C2D5A9" w14:textId="389F40F1" w:rsidR="00A24FDD" w:rsidRPr="00A24FDD" w:rsidRDefault="00A24FDD" w:rsidP="00F21C19">
      <w:pPr>
        <w:pStyle w:val="EndnoteText"/>
        <w:ind w:left="284" w:hanging="284"/>
        <w:rPr>
          <w:lang w:val="en-US"/>
        </w:rPr>
      </w:pPr>
      <w:r>
        <w:rPr>
          <w:rStyle w:val="EndnoteReference"/>
        </w:rPr>
        <w:endnoteRef/>
      </w:r>
      <w:r>
        <w:t xml:space="preserve"> </w:t>
      </w:r>
      <w:r>
        <w:rPr>
          <w:lang w:val="en-US"/>
        </w:rPr>
        <w:tab/>
        <w:t xml:space="preserve">Australian Human Rights Commission, </w:t>
      </w:r>
      <w:r w:rsidRPr="00521B6F">
        <w:rPr>
          <w:i/>
          <w:iCs/>
          <w:lang w:val="en-US"/>
        </w:rPr>
        <w:t>Independent National Security Legislation Monitor (INSLM) Statutory Deadline Review</w:t>
      </w:r>
      <w:r w:rsidR="00521B6F">
        <w:rPr>
          <w:lang w:val="en-US"/>
        </w:rPr>
        <w:t xml:space="preserve">, submission to the Acting INSLM, 15 May 2017, at </w:t>
      </w:r>
      <w:hyperlink r:id="rId3" w:history="1">
        <w:r w:rsidR="00521B6F" w:rsidRPr="00AB020A">
          <w:rPr>
            <w:rStyle w:val="Hyperlink"/>
            <w:lang w:val="en-US"/>
          </w:rPr>
          <w:t>https://www.inslm.gov.au/sites/default/files/11-australian-human-rights-commission.pdf</w:t>
        </w:r>
      </w:hyperlink>
      <w:r w:rsidR="00521B6F">
        <w:rPr>
          <w:lang w:val="en-US"/>
        </w:rPr>
        <w:t xml:space="preserve">. </w:t>
      </w:r>
    </w:p>
  </w:endnote>
  <w:endnote w:id="5">
    <w:p w14:paraId="7F810E27" w14:textId="3AF9CD37" w:rsidR="00C218F7" w:rsidRPr="00C218F7" w:rsidRDefault="00C218F7" w:rsidP="00F21C19">
      <w:pPr>
        <w:pStyle w:val="EndnoteText"/>
        <w:ind w:left="284" w:hanging="284"/>
        <w:rPr>
          <w:lang w:val="en-US"/>
        </w:rPr>
      </w:pPr>
      <w:r>
        <w:rPr>
          <w:rStyle w:val="EndnoteReference"/>
        </w:rPr>
        <w:endnoteRef/>
      </w:r>
      <w:r>
        <w:t xml:space="preserve"> </w:t>
      </w:r>
      <w:r w:rsidR="00DB659E">
        <w:rPr>
          <w:lang w:val="en-US"/>
        </w:rPr>
        <w:tab/>
        <w:t xml:space="preserve">Australian Human Rights Commission, Review of Australian Federal Police Powers, submission to the PJCIS, 10 September </w:t>
      </w:r>
      <w:r w:rsidR="00CB6F9E">
        <w:rPr>
          <w:lang w:val="en-US"/>
        </w:rPr>
        <w:t xml:space="preserve">2020, at </w:t>
      </w:r>
      <w:hyperlink r:id="rId4" w:history="1">
        <w:r w:rsidR="00CB6F9E" w:rsidRPr="009C62F6">
          <w:rPr>
            <w:rStyle w:val="Hyperlink"/>
            <w:lang w:val="en-US"/>
          </w:rPr>
          <w:t>https://www.aph.gov.au/DocumentStore.ashx?id=b2a784cc-435f-4cbd-b5c7-6831eeb05e81&amp;subId=691580</w:t>
        </w:r>
      </w:hyperlink>
      <w:r w:rsidR="00CB6F9E">
        <w:rPr>
          <w:rStyle w:val="Hyperlink"/>
          <w:lang w:val="en-US"/>
        </w:rPr>
        <w:t>.</w:t>
      </w:r>
    </w:p>
  </w:endnote>
  <w:endnote w:id="6">
    <w:p w14:paraId="686CD256" w14:textId="435583A8" w:rsidR="00A33D80" w:rsidRPr="00A33D80" w:rsidRDefault="00A33D80" w:rsidP="00F21C19">
      <w:pPr>
        <w:pStyle w:val="EndnoteText"/>
        <w:ind w:left="284" w:hanging="284"/>
        <w:rPr>
          <w:lang w:val="en-US"/>
        </w:rPr>
      </w:pPr>
      <w:r>
        <w:rPr>
          <w:rStyle w:val="EndnoteReference"/>
        </w:rPr>
        <w:endnoteRef/>
      </w:r>
      <w:r>
        <w:t xml:space="preserve"> </w:t>
      </w:r>
      <w:r>
        <w:rPr>
          <w:lang w:val="en-US"/>
        </w:rPr>
        <w:tab/>
        <w:t xml:space="preserve">Australian Human Rights Commission, </w:t>
      </w:r>
      <w:r w:rsidR="00494BC6" w:rsidRPr="00494BC6">
        <w:rPr>
          <w:i/>
          <w:iCs/>
          <w:lang w:val="en-US"/>
        </w:rPr>
        <w:t>Counter-Terrorism Legislation Amendment (High Risk Terrorist Offenders) Bill 2020</w:t>
      </w:r>
      <w:r w:rsidR="00494BC6">
        <w:rPr>
          <w:lang w:val="en-US"/>
        </w:rPr>
        <w:t>, submission to the PJCIS, 20 October 2020,</w:t>
      </w:r>
      <w:r w:rsidR="00494BC6" w:rsidRPr="00494BC6">
        <w:rPr>
          <w:lang w:val="en-US"/>
        </w:rPr>
        <w:t xml:space="preserve"> </w:t>
      </w:r>
      <w:r w:rsidR="00421488">
        <w:rPr>
          <w:lang w:val="en-US"/>
        </w:rPr>
        <w:t xml:space="preserve">at </w:t>
      </w:r>
      <w:hyperlink r:id="rId5" w:history="1">
        <w:r w:rsidR="00421488" w:rsidRPr="00AB020A">
          <w:rPr>
            <w:rStyle w:val="Hyperlink"/>
            <w:lang w:val="en-US"/>
          </w:rPr>
          <w:t>https://www.aph.gov.au/DocumentStore.ashx?id=dccdea26-8e64-433f-8cdd-51430e028cf3&amp;subId=695306</w:t>
        </w:r>
      </w:hyperlink>
      <w:r w:rsidR="00421488">
        <w:rPr>
          <w:lang w:val="en-US"/>
        </w:rPr>
        <w:t xml:space="preserve">. </w:t>
      </w:r>
    </w:p>
  </w:endnote>
  <w:endnote w:id="7">
    <w:p w14:paraId="7E9A788D" w14:textId="3FE115A9" w:rsidR="003E195F" w:rsidRDefault="003E195F" w:rsidP="003E195F">
      <w:pPr>
        <w:pStyle w:val="EndnoteText"/>
        <w:ind w:left="284" w:hanging="284"/>
      </w:pPr>
      <w:r>
        <w:rPr>
          <w:rStyle w:val="EndnoteReference"/>
        </w:rPr>
        <w:endnoteRef/>
      </w:r>
      <w:r>
        <w:t xml:space="preserve"> </w:t>
      </w:r>
      <w:r>
        <w:tab/>
      </w:r>
      <w:r>
        <w:rPr>
          <w:lang w:val="en-US"/>
        </w:rPr>
        <w:t xml:space="preserve">Australian Human Rights Commission, </w:t>
      </w:r>
      <w:r w:rsidRPr="00974954">
        <w:rPr>
          <w:i/>
          <w:iCs/>
          <w:lang w:val="en-US"/>
        </w:rPr>
        <w:t>Criminal Code Amendment (High Risk Terrorist Offenders) Bill 2016 (</w:t>
      </w:r>
      <w:r w:rsidRPr="00974954">
        <w:rPr>
          <w:i/>
          <w:iCs/>
          <w:lang w:val="en-US"/>
        </w:rPr>
        <w:t>Cth)</w:t>
      </w:r>
      <w:r>
        <w:rPr>
          <w:lang w:val="en-US"/>
        </w:rPr>
        <w:t xml:space="preserve">, submission to the PJCIS, </w:t>
      </w:r>
      <w:r w:rsidRPr="0006741A">
        <w:t>12 October 2016</w:t>
      </w:r>
      <w:r>
        <w:t xml:space="preserve"> at [61].</w:t>
      </w:r>
    </w:p>
  </w:endnote>
  <w:endnote w:id="8">
    <w:p w14:paraId="3AA72E65" w14:textId="32753D8A" w:rsidR="005C353C" w:rsidRDefault="005C353C" w:rsidP="007F7C88">
      <w:pPr>
        <w:pStyle w:val="EndnoteText"/>
        <w:ind w:left="284" w:hanging="284"/>
      </w:pPr>
      <w:r>
        <w:rPr>
          <w:rStyle w:val="EndnoteReference"/>
        </w:rPr>
        <w:endnoteRef/>
      </w:r>
      <w:r>
        <w:t xml:space="preserve"> </w:t>
      </w:r>
      <w:r>
        <w:tab/>
      </w:r>
      <w:r w:rsidR="006709F7">
        <w:t xml:space="preserve">PJCIS, </w:t>
      </w:r>
      <w:r w:rsidR="006709F7" w:rsidRPr="00D34EF2">
        <w:rPr>
          <w:i/>
          <w:iCs/>
        </w:rPr>
        <w:t>Advisory Report on the Criminal Code Amendment (High Risk Terrorist Offenders) Bill 2016</w:t>
      </w:r>
      <w:r w:rsidR="006709F7">
        <w:t xml:space="preserve">, November </w:t>
      </w:r>
      <w:r w:rsidR="00D34EF2">
        <w:t xml:space="preserve">2016, </w:t>
      </w:r>
      <w:r w:rsidR="00D268A0">
        <w:t>[3.95] and see generally [3.70]–[3.</w:t>
      </w:r>
      <w:r w:rsidR="00EB666B">
        <w:t>109]</w:t>
      </w:r>
      <w:r w:rsidR="00F6550C">
        <w:t xml:space="preserve">, at </w:t>
      </w:r>
      <w:hyperlink r:id="rId6" w:history="1">
        <w:r w:rsidR="00F6550C" w:rsidRPr="00F46897">
          <w:rPr>
            <w:rStyle w:val="Hyperlink"/>
          </w:rPr>
          <w:t>https://www.aph.gov.au/Parliamentary_Business/Committees/Joint/Intelligence_and_Security/HRTOBill/Report-PDF</w:t>
        </w:r>
      </w:hyperlink>
      <w:r w:rsidR="00F6550C">
        <w:t xml:space="preserve">. </w:t>
      </w:r>
    </w:p>
  </w:endnote>
  <w:endnote w:id="9">
    <w:p w14:paraId="32449910" w14:textId="7BC3CCAD" w:rsidR="00F6550C" w:rsidRDefault="00F6550C" w:rsidP="00F6550C">
      <w:pPr>
        <w:pStyle w:val="EndnoteText"/>
        <w:ind w:left="284" w:hanging="284"/>
      </w:pPr>
      <w:r>
        <w:rPr>
          <w:rStyle w:val="EndnoteReference"/>
        </w:rPr>
        <w:endnoteRef/>
      </w:r>
      <w:r>
        <w:t xml:space="preserve"> </w:t>
      </w:r>
      <w:r>
        <w:tab/>
        <w:t xml:space="preserve">PJCIS, </w:t>
      </w:r>
      <w:r w:rsidRPr="00D34EF2">
        <w:rPr>
          <w:i/>
          <w:iCs/>
        </w:rPr>
        <w:t>Advisory Report on the Criminal Code Amendment (High Risk Terrorist Offenders) Bill 2016</w:t>
      </w:r>
      <w:r>
        <w:t>, November 2016, [3.91]</w:t>
      </w:r>
      <w:r w:rsidR="00591489">
        <w:t>–[3.93</w:t>
      </w:r>
      <w:r w:rsidR="00947C5D">
        <w:t>]</w:t>
      </w:r>
      <w:r>
        <w:t xml:space="preserve">. </w:t>
      </w:r>
    </w:p>
  </w:endnote>
  <w:endnote w:id="10">
    <w:p w14:paraId="0F737047" w14:textId="11B89E47" w:rsidR="00947C5D" w:rsidRDefault="00947C5D" w:rsidP="00947C5D">
      <w:pPr>
        <w:pStyle w:val="EndnoteText"/>
        <w:ind w:left="284" w:hanging="284"/>
      </w:pPr>
      <w:r>
        <w:rPr>
          <w:rStyle w:val="EndnoteReference"/>
        </w:rPr>
        <w:endnoteRef/>
      </w:r>
      <w:r>
        <w:t xml:space="preserve"> </w:t>
      </w:r>
      <w:r>
        <w:tab/>
        <w:t xml:space="preserve">PJCIS, </w:t>
      </w:r>
      <w:r w:rsidRPr="00D34EF2">
        <w:rPr>
          <w:i/>
          <w:iCs/>
        </w:rPr>
        <w:t>Advisory Report on the Criminal Code Amendment (High Risk Terrorist Offenders) Bill 2016</w:t>
      </w:r>
      <w:r>
        <w:t>, November 2016, [4.83].</w:t>
      </w:r>
    </w:p>
  </w:endnote>
  <w:endnote w:id="11">
    <w:p w14:paraId="7ACF974F" w14:textId="77777777" w:rsidR="003F4E7A" w:rsidRPr="003B38ED" w:rsidRDefault="003F4E7A" w:rsidP="003F4E7A">
      <w:pPr>
        <w:pStyle w:val="EndnoteText"/>
        <w:ind w:left="270" w:hanging="288"/>
        <w:rPr>
          <w:lang w:val="en-US"/>
        </w:rPr>
      </w:pPr>
      <w:r>
        <w:rPr>
          <w:rStyle w:val="EndnoteReference"/>
        </w:rPr>
        <w:endnoteRef/>
      </w:r>
      <w:r>
        <w:t xml:space="preserve"> </w:t>
      </w:r>
      <w:r>
        <w:rPr>
          <w:lang w:val="en-US"/>
        </w:rPr>
        <w:tab/>
        <w:t xml:space="preserve">Parliamentary Joint Committee on Intelligence and Security, </w:t>
      </w:r>
      <w:r w:rsidRPr="00660C1F">
        <w:rPr>
          <w:i/>
          <w:iCs/>
          <w:lang w:val="en-US"/>
        </w:rPr>
        <w:t>Advisory Report on the Criminal Code Amendment (High Risk Terrorist Offenders) Bill 2016</w:t>
      </w:r>
      <w:r>
        <w:rPr>
          <w:lang w:val="en-US"/>
        </w:rPr>
        <w:t xml:space="preserve"> (November 2016) at [4.87] and [4.90].  At </w:t>
      </w:r>
      <w:hyperlink r:id="rId7" w:history="1">
        <w:r>
          <w:rPr>
            <w:rStyle w:val="Hyperlink"/>
          </w:rPr>
          <w:t>https://www.aph.gov.au/Parliamentary_Business/Committees/Joint/Intelligence_and_Security/HRTOBill/Report-PDF</w:t>
        </w:r>
      </w:hyperlink>
      <w:r>
        <w:t>.</w:t>
      </w:r>
    </w:p>
  </w:endnote>
  <w:endnote w:id="12">
    <w:p w14:paraId="383AA9F8" w14:textId="407E9A90" w:rsidR="00A51876" w:rsidRDefault="00A51876" w:rsidP="00682AF9">
      <w:pPr>
        <w:pStyle w:val="EndnoteText"/>
        <w:ind w:left="284" w:hanging="284"/>
      </w:pPr>
      <w:r>
        <w:rPr>
          <w:rStyle w:val="EndnoteReference"/>
        </w:rPr>
        <w:endnoteRef/>
      </w:r>
      <w:r>
        <w:t xml:space="preserve"> </w:t>
      </w:r>
      <w:r>
        <w:tab/>
        <w:t xml:space="preserve">Attorney-General’s Department, </w:t>
      </w:r>
      <w:r w:rsidRPr="00601273">
        <w:rPr>
          <w:i/>
          <w:iCs/>
        </w:rPr>
        <w:t>Post-Sentence Preventative Detention of High Risk Terrorist Offenders: Implementation Plan</w:t>
      </w:r>
      <w:r w:rsidR="00BB71EE">
        <w:t>, November 2016, pp </w:t>
      </w:r>
      <w:r w:rsidR="00682AF9">
        <w:t xml:space="preserve">4 and 7, </w:t>
      </w:r>
      <w:r w:rsidR="00BB71EE">
        <w:t xml:space="preserve">at </w:t>
      </w:r>
      <w:hyperlink r:id="rId8" w:history="1">
        <w:r w:rsidR="00BB71EE" w:rsidRPr="00F46897">
          <w:rPr>
            <w:rStyle w:val="Hyperlink"/>
          </w:rPr>
          <w:t>https://www.aph.gov.au/Parliamentary_Business/Committees/Joint/Intelligence_and_Security/HRTOBill/Implementation_Plan</w:t>
        </w:r>
      </w:hyperlink>
      <w:r w:rsidR="00BB71EE">
        <w:t xml:space="preserve">. </w:t>
      </w:r>
    </w:p>
  </w:endnote>
  <w:endnote w:id="13">
    <w:p w14:paraId="37B56987" w14:textId="548CAC8F" w:rsidR="00501486" w:rsidRDefault="00501486" w:rsidP="00601273">
      <w:pPr>
        <w:pStyle w:val="EndnoteText"/>
        <w:ind w:left="284" w:hanging="284"/>
      </w:pPr>
      <w:r>
        <w:rPr>
          <w:rStyle w:val="EndnoteReference"/>
        </w:rPr>
        <w:endnoteRef/>
      </w:r>
      <w:r>
        <w:t xml:space="preserve"> </w:t>
      </w:r>
      <w:r>
        <w:tab/>
        <w:t xml:space="preserve">Attorney-General’s Department, </w:t>
      </w:r>
      <w:r w:rsidRPr="00601273">
        <w:rPr>
          <w:i/>
          <w:iCs/>
        </w:rPr>
        <w:t>Post-Sentence Preventative Detention of High Risk Terrorist Offenders: Report to Parliamentary Joint Committee on Intelligence and Security</w:t>
      </w:r>
      <w:r w:rsidR="00601273">
        <w:t xml:space="preserve">, June 2017, p 4, at </w:t>
      </w:r>
      <w:hyperlink r:id="rId9" w:history="1">
        <w:r w:rsidR="00601273" w:rsidRPr="00F46897">
          <w:rPr>
            <w:rStyle w:val="Hyperlink"/>
          </w:rPr>
          <w:t>https://www.aph.gov.au/-/media/02_Parliamentary_Business/24_Committees/244_Joint_Committees/PJCIS/45th_Parl_HRTO_Bill/HRTO_Report_June_2017.pdf?la=en&amp;hash=788CFDF0020D3F05C8017A36AF0A64F64558A16A</w:t>
        </w:r>
      </w:hyperlink>
      <w:r w:rsidR="00601273">
        <w:t xml:space="preserve">. </w:t>
      </w:r>
    </w:p>
  </w:endnote>
  <w:endnote w:id="14">
    <w:p w14:paraId="2019E0EA" w14:textId="77777777" w:rsidR="003D5A66" w:rsidRDefault="003D5A66" w:rsidP="003D5A66">
      <w:pPr>
        <w:pStyle w:val="EndnoteText"/>
        <w:ind w:left="284" w:hanging="284"/>
      </w:pPr>
      <w:r>
        <w:rPr>
          <w:rStyle w:val="EndnoteReference"/>
        </w:rPr>
        <w:endnoteRef/>
      </w:r>
      <w:r>
        <w:t xml:space="preserve"> </w:t>
      </w:r>
      <w:r>
        <w:tab/>
      </w:r>
      <w:r>
        <w:rPr>
          <w:lang w:val="en-US"/>
        </w:rPr>
        <w:t xml:space="preserve">Department of Home Affairs, Attorney-General’s Department and Australian Federal Police, </w:t>
      </w:r>
      <w:r w:rsidRPr="00292515">
        <w:rPr>
          <w:i/>
          <w:iCs/>
          <w:lang w:val="en-US"/>
        </w:rPr>
        <w:t xml:space="preserve">Joint-agency </w:t>
      </w:r>
      <w:r>
        <w:rPr>
          <w:i/>
          <w:iCs/>
          <w:lang w:val="en-US"/>
        </w:rPr>
        <w:t xml:space="preserve">supplementary </w:t>
      </w:r>
      <w:r w:rsidRPr="00292515">
        <w:rPr>
          <w:i/>
          <w:iCs/>
          <w:lang w:val="en-US"/>
        </w:rPr>
        <w:t xml:space="preserve">submission </w:t>
      </w:r>
      <w:r>
        <w:rPr>
          <w:i/>
          <w:iCs/>
          <w:lang w:val="en-US"/>
        </w:rPr>
        <w:t>–</w:t>
      </w:r>
      <w:r w:rsidRPr="00292515">
        <w:rPr>
          <w:i/>
          <w:iCs/>
          <w:lang w:val="en-US"/>
        </w:rPr>
        <w:t xml:space="preserve"> Review of AFP Powers</w:t>
      </w:r>
      <w:r>
        <w:rPr>
          <w:i/>
          <w:iCs/>
          <w:lang w:val="en-US"/>
        </w:rPr>
        <w:t xml:space="preserve"> – Division 105A</w:t>
      </w:r>
      <w:r>
        <w:rPr>
          <w:lang w:val="en-US"/>
        </w:rPr>
        <w:t>, submission to the PJCIS, 4 September 2020, pp 6 and 13–14.</w:t>
      </w:r>
    </w:p>
  </w:endnote>
  <w:endnote w:id="15">
    <w:p w14:paraId="49978F95" w14:textId="14799B84" w:rsidR="00EE6F17" w:rsidRDefault="00EE6F17" w:rsidP="00EE6F17">
      <w:pPr>
        <w:pStyle w:val="EndnoteText"/>
        <w:ind w:left="284" w:hanging="284"/>
      </w:pPr>
      <w:r>
        <w:rPr>
          <w:rStyle w:val="EndnoteReference"/>
        </w:rPr>
        <w:endnoteRef/>
      </w:r>
      <w:r>
        <w:t xml:space="preserve"> </w:t>
      </w:r>
      <w:r>
        <w:tab/>
      </w:r>
      <w:r w:rsidRPr="005F3871">
        <w:rPr>
          <w:i/>
          <w:iCs/>
          <w:lang w:val="en-US"/>
        </w:rPr>
        <w:t xml:space="preserve">Minister for Home Affairs v </w:t>
      </w:r>
      <w:r w:rsidRPr="005F3871">
        <w:rPr>
          <w:i/>
          <w:iCs/>
          <w:lang w:val="en-US"/>
        </w:rPr>
        <w:t>Benbrika</w:t>
      </w:r>
      <w:r>
        <w:rPr>
          <w:lang w:val="en-US"/>
        </w:rPr>
        <w:t xml:space="preserve"> [2020] VSC 888</w:t>
      </w:r>
      <w:r w:rsidR="00576C37">
        <w:rPr>
          <w:lang w:val="en-US"/>
        </w:rPr>
        <w:t xml:space="preserve"> at [109]</w:t>
      </w:r>
      <w:r w:rsidR="0004157A">
        <w:rPr>
          <w:lang w:val="en-US"/>
        </w:rPr>
        <w:t xml:space="preserve"> and</w:t>
      </w:r>
      <w:r w:rsidR="003F58E5">
        <w:rPr>
          <w:lang w:val="en-US"/>
        </w:rPr>
        <w:t xml:space="preserve"> [176]</w:t>
      </w:r>
      <w:r>
        <w:rPr>
          <w:lang w:val="en-US"/>
        </w:rPr>
        <w:t>.</w:t>
      </w:r>
    </w:p>
  </w:endnote>
  <w:endnote w:id="16">
    <w:p w14:paraId="566C1906" w14:textId="77777777" w:rsidR="00EE6F17" w:rsidRDefault="00EE6F17" w:rsidP="00EE6F17">
      <w:pPr>
        <w:pStyle w:val="EndnoteText"/>
        <w:ind w:left="284" w:hanging="284"/>
      </w:pPr>
      <w:r>
        <w:rPr>
          <w:rStyle w:val="EndnoteReference"/>
        </w:rPr>
        <w:endnoteRef/>
      </w:r>
      <w:r>
        <w:t xml:space="preserve"> </w:t>
      </w:r>
      <w:r>
        <w:tab/>
      </w:r>
      <w:r w:rsidRPr="002D3562">
        <w:rPr>
          <w:i/>
          <w:iCs/>
          <w:lang w:val="en-US"/>
        </w:rPr>
        <w:t>Minister for Home Affairs v Pender</w:t>
      </w:r>
      <w:r>
        <w:rPr>
          <w:lang w:val="en-US"/>
        </w:rPr>
        <w:t xml:space="preserve"> </w:t>
      </w:r>
      <w:r w:rsidRPr="002D3562">
        <w:rPr>
          <w:lang w:val="en-US"/>
        </w:rPr>
        <w:t>[2021] NSWSC 1644</w:t>
      </w:r>
      <w:r>
        <w:rPr>
          <w:lang w:val="en-US"/>
        </w:rPr>
        <w:t>.</w:t>
      </w:r>
    </w:p>
  </w:endnote>
  <w:endnote w:id="17">
    <w:p w14:paraId="2A207267" w14:textId="77A33F4A" w:rsidR="000163D4" w:rsidRDefault="000163D4" w:rsidP="00D0718E">
      <w:pPr>
        <w:pStyle w:val="EndnoteText"/>
        <w:ind w:left="284" w:hanging="284"/>
      </w:pPr>
      <w:r>
        <w:rPr>
          <w:rStyle w:val="EndnoteReference"/>
        </w:rPr>
        <w:endnoteRef/>
      </w:r>
      <w:r>
        <w:t xml:space="preserve"> </w:t>
      </w:r>
      <w:r>
        <w:tab/>
        <w:t>Dr Emily Corner and Dr Helen Taylor</w:t>
      </w:r>
      <w:r w:rsidR="00134210">
        <w:t xml:space="preserve">, Centre for Social Research and Methods, The Australian National University, </w:t>
      </w:r>
      <w:r w:rsidR="00134210" w:rsidRPr="004003C7">
        <w:rPr>
          <w:i/>
          <w:iCs/>
        </w:rPr>
        <w:t>Testing the Reliability, Validity, and Equity of Terrorism Risk Assessment Instruments</w:t>
      </w:r>
      <w:r w:rsidR="004003C7">
        <w:t xml:space="preserve">, at </w:t>
      </w:r>
      <w:hyperlink r:id="rId10" w:history="1">
        <w:r w:rsidR="004862B2" w:rsidRPr="00F46897">
          <w:rPr>
            <w:rStyle w:val="Hyperlink"/>
          </w:rPr>
          <w:t>https://www.homeaffairs.gov.au/foi/files/2023/fa-230400097-document-released-part-1.PDF</w:t>
        </w:r>
      </w:hyperlink>
      <w:r w:rsidR="004862B2">
        <w:t xml:space="preserve"> and </w:t>
      </w:r>
      <w:hyperlink r:id="rId11" w:history="1">
        <w:r w:rsidR="00D0718E" w:rsidRPr="00F46897">
          <w:rPr>
            <w:rStyle w:val="Hyperlink"/>
          </w:rPr>
          <w:t>https://www.homeaffairs.gov.au/foi/files/2023/fa-230400097-document-released-part-2.PDF</w:t>
        </w:r>
      </w:hyperlink>
      <w:r w:rsidR="00D0718E">
        <w:t xml:space="preserve">. </w:t>
      </w:r>
    </w:p>
  </w:endnote>
  <w:endnote w:id="18">
    <w:p w14:paraId="0D51A735" w14:textId="77777777" w:rsidR="00C3399F" w:rsidRDefault="00C3399F" w:rsidP="00C3399F">
      <w:pPr>
        <w:pStyle w:val="EndnoteText"/>
        <w:ind w:left="284" w:hanging="284"/>
      </w:pPr>
      <w:r>
        <w:rPr>
          <w:rStyle w:val="EndnoteReference"/>
        </w:rPr>
        <w:endnoteRef/>
      </w:r>
      <w:r>
        <w:t xml:space="preserve"> </w:t>
      </w:r>
      <w:r>
        <w:tab/>
        <w:t>INSLM Report at [273].</w:t>
      </w:r>
    </w:p>
  </w:endnote>
  <w:endnote w:id="19">
    <w:p w14:paraId="3DEFA948" w14:textId="64A362B2" w:rsidR="006C7CEB" w:rsidRDefault="006C7CEB" w:rsidP="006C7CEB">
      <w:pPr>
        <w:pStyle w:val="EndnoteText"/>
        <w:ind w:left="284" w:hanging="284"/>
      </w:pPr>
      <w:r>
        <w:rPr>
          <w:rStyle w:val="EndnoteReference"/>
        </w:rPr>
        <w:endnoteRef/>
      </w:r>
      <w:r>
        <w:t xml:space="preserve"> </w:t>
      </w:r>
      <w:r>
        <w:tab/>
        <w:t>INSLM Report at [290].</w:t>
      </w:r>
    </w:p>
  </w:endnote>
  <w:endnote w:id="20">
    <w:p w14:paraId="7F688DAD" w14:textId="5B2D4454" w:rsidR="000508C0" w:rsidRDefault="000508C0" w:rsidP="00057C4D">
      <w:pPr>
        <w:pStyle w:val="EndnoteText"/>
        <w:ind w:left="284" w:hanging="284"/>
      </w:pPr>
      <w:r>
        <w:rPr>
          <w:rStyle w:val="EndnoteReference"/>
        </w:rPr>
        <w:endnoteRef/>
      </w:r>
      <w:r>
        <w:t xml:space="preserve"> </w:t>
      </w:r>
      <w:r>
        <w:tab/>
      </w:r>
      <w:r w:rsidR="00057C4D">
        <w:t>Corner Report, pp 2–3.</w:t>
      </w:r>
    </w:p>
  </w:endnote>
  <w:endnote w:id="21">
    <w:p w14:paraId="7FA11863" w14:textId="4A9B20D6" w:rsidR="00F15246" w:rsidRDefault="00F15246" w:rsidP="00F15246">
      <w:pPr>
        <w:pStyle w:val="EndnoteText"/>
        <w:ind w:left="284" w:hanging="284"/>
      </w:pPr>
      <w:r>
        <w:rPr>
          <w:rStyle w:val="EndnoteReference"/>
        </w:rPr>
        <w:endnoteRef/>
      </w:r>
      <w:r>
        <w:t xml:space="preserve"> </w:t>
      </w:r>
      <w:r>
        <w:tab/>
        <w:t>Corner Report, p 2.</w:t>
      </w:r>
    </w:p>
  </w:endnote>
  <w:endnote w:id="22">
    <w:p w14:paraId="08E05A48" w14:textId="1B150C1C" w:rsidR="002735E2" w:rsidRDefault="002735E2" w:rsidP="002735E2">
      <w:pPr>
        <w:pStyle w:val="EndnoteText"/>
        <w:ind w:left="284" w:hanging="284"/>
      </w:pPr>
      <w:r>
        <w:rPr>
          <w:rStyle w:val="EndnoteReference"/>
        </w:rPr>
        <w:endnoteRef/>
      </w:r>
      <w:r>
        <w:t xml:space="preserve"> </w:t>
      </w:r>
      <w:r>
        <w:tab/>
        <w:t>Corner Report, pp </w:t>
      </w:r>
      <w:r w:rsidR="00E73264">
        <w:t xml:space="preserve">33, </w:t>
      </w:r>
      <w:r>
        <w:t>43–44 and 58.</w:t>
      </w:r>
      <w:r w:rsidR="002D64F9">
        <w:t xml:space="preserve">  See also INSLM Report at [283]</w:t>
      </w:r>
      <w:r w:rsidR="007C6B3C">
        <w:t>.</w:t>
      </w:r>
    </w:p>
  </w:endnote>
  <w:endnote w:id="23">
    <w:p w14:paraId="6DAE285A" w14:textId="589C73F0" w:rsidR="006B390A" w:rsidRDefault="006B390A" w:rsidP="006B390A">
      <w:pPr>
        <w:pStyle w:val="EndnoteText"/>
        <w:ind w:left="284" w:hanging="284"/>
      </w:pPr>
      <w:r>
        <w:rPr>
          <w:rStyle w:val="EndnoteReference"/>
        </w:rPr>
        <w:endnoteRef/>
      </w:r>
      <w:r>
        <w:t xml:space="preserve"> </w:t>
      </w:r>
      <w:r>
        <w:tab/>
        <w:t>Corner Report, p 3.</w:t>
      </w:r>
    </w:p>
  </w:endnote>
  <w:endnote w:id="24">
    <w:p w14:paraId="68D8A5CC" w14:textId="01305440" w:rsidR="008E1ECC" w:rsidRDefault="008E1ECC" w:rsidP="008E1ECC">
      <w:pPr>
        <w:pStyle w:val="EndnoteText"/>
        <w:ind w:left="284" w:hanging="284"/>
      </w:pPr>
      <w:r>
        <w:rPr>
          <w:rStyle w:val="EndnoteReference"/>
        </w:rPr>
        <w:endnoteRef/>
      </w:r>
      <w:r>
        <w:t xml:space="preserve"> </w:t>
      </w:r>
      <w:r>
        <w:tab/>
        <w:t>Corner Report, p 51.</w:t>
      </w:r>
    </w:p>
  </w:endnote>
  <w:endnote w:id="25">
    <w:p w14:paraId="142478D7" w14:textId="59FB7561" w:rsidR="00C84655" w:rsidRDefault="00C84655" w:rsidP="00C84655">
      <w:pPr>
        <w:pStyle w:val="EndnoteText"/>
        <w:ind w:left="284" w:hanging="284"/>
      </w:pPr>
      <w:r>
        <w:rPr>
          <w:rStyle w:val="EndnoteReference"/>
        </w:rPr>
        <w:endnoteRef/>
      </w:r>
      <w:r>
        <w:t xml:space="preserve"> </w:t>
      </w:r>
      <w:r>
        <w:tab/>
        <w:t>Corner Report, p 82.</w:t>
      </w:r>
    </w:p>
  </w:endnote>
  <w:endnote w:id="26">
    <w:p w14:paraId="0F8A168F" w14:textId="717D707D" w:rsidR="00173DBA" w:rsidRDefault="00173DBA" w:rsidP="00A44310">
      <w:pPr>
        <w:pStyle w:val="EndnoteText"/>
        <w:ind w:left="284" w:hanging="284"/>
      </w:pPr>
      <w:r>
        <w:rPr>
          <w:rStyle w:val="EndnoteReference"/>
        </w:rPr>
        <w:endnoteRef/>
      </w:r>
      <w:r>
        <w:t xml:space="preserve"> </w:t>
      </w:r>
      <w:r>
        <w:tab/>
        <w:t>Corner Report, p </w:t>
      </w:r>
      <w:r w:rsidR="00A44310">
        <w:t>157.</w:t>
      </w:r>
    </w:p>
  </w:endnote>
  <w:endnote w:id="27">
    <w:p w14:paraId="0940339A" w14:textId="07505AA1" w:rsidR="00D23578" w:rsidRDefault="00D23578" w:rsidP="00D23578">
      <w:pPr>
        <w:pStyle w:val="EndnoteText"/>
        <w:ind w:left="284" w:hanging="284"/>
      </w:pPr>
      <w:r>
        <w:rPr>
          <w:rStyle w:val="EndnoteReference"/>
        </w:rPr>
        <w:endnoteRef/>
      </w:r>
      <w:r>
        <w:t xml:space="preserve"> </w:t>
      </w:r>
      <w:r>
        <w:tab/>
        <w:t xml:space="preserve">Corner Report, </w:t>
      </w:r>
      <w:r w:rsidR="00022B67">
        <w:t>p</w:t>
      </w:r>
      <w:r>
        <w:t>p 82</w:t>
      </w:r>
      <w:r w:rsidR="00022B67">
        <w:t xml:space="preserve"> and 158</w:t>
      </w:r>
      <w:r>
        <w:t>.</w:t>
      </w:r>
    </w:p>
  </w:endnote>
  <w:endnote w:id="28">
    <w:p w14:paraId="5F151A7C" w14:textId="323FD5A0" w:rsidR="004A2957" w:rsidRDefault="004A2957" w:rsidP="004A2957">
      <w:pPr>
        <w:pStyle w:val="EndnoteText"/>
        <w:ind w:left="284" w:hanging="284"/>
      </w:pPr>
      <w:r>
        <w:rPr>
          <w:rStyle w:val="EndnoteReference"/>
        </w:rPr>
        <w:endnoteRef/>
      </w:r>
      <w:r>
        <w:t xml:space="preserve"> </w:t>
      </w:r>
      <w:r>
        <w:tab/>
        <w:t>Corner Report, p 112.</w:t>
      </w:r>
    </w:p>
  </w:endnote>
  <w:endnote w:id="29">
    <w:p w14:paraId="11C5D754" w14:textId="48DA599F" w:rsidR="004A2957" w:rsidRDefault="004A2957" w:rsidP="004A2957">
      <w:pPr>
        <w:pStyle w:val="EndnoteText"/>
        <w:ind w:left="284" w:hanging="284"/>
      </w:pPr>
      <w:r>
        <w:rPr>
          <w:rStyle w:val="EndnoteReference"/>
        </w:rPr>
        <w:endnoteRef/>
      </w:r>
      <w:r>
        <w:t xml:space="preserve"> </w:t>
      </w:r>
      <w:r>
        <w:tab/>
        <w:t>Corner Report, p</w:t>
      </w:r>
      <w:r w:rsidR="009218F8">
        <w:t>p</w:t>
      </w:r>
      <w:r>
        <w:t> 11</w:t>
      </w:r>
      <w:r w:rsidR="009218F8">
        <w:t>3–114</w:t>
      </w:r>
      <w:r>
        <w:t>.</w:t>
      </w:r>
    </w:p>
  </w:endnote>
  <w:endnote w:id="30">
    <w:p w14:paraId="7BA6D36B" w14:textId="4F400BE6" w:rsidR="007E593B" w:rsidRDefault="007E593B" w:rsidP="007E593B">
      <w:pPr>
        <w:pStyle w:val="EndnoteText"/>
        <w:ind w:left="284" w:hanging="284"/>
      </w:pPr>
      <w:r>
        <w:rPr>
          <w:rStyle w:val="EndnoteReference"/>
        </w:rPr>
        <w:endnoteRef/>
      </w:r>
      <w:r>
        <w:t xml:space="preserve"> </w:t>
      </w:r>
      <w:r>
        <w:tab/>
        <w:t>Corner Report, p 109</w:t>
      </w:r>
      <w:r w:rsidR="005433C5">
        <w:t>–111</w:t>
      </w:r>
      <w:r>
        <w:t>.</w:t>
      </w:r>
    </w:p>
  </w:endnote>
  <w:endnote w:id="31">
    <w:p w14:paraId="5B4DC9E8" w14:textId="3C66F9E6" w:rsidR="00216785" w:rsidRDefault="00216785" w:rsidP="00216785">
      <w:pPr>
        <w:pStyle w:val="EndnoteText"/>
        <w:ind w:left="284" w:hanging="284"/>
      </w:pPr>
      <w:r>
        <w:rPr>
          <w:rStyle w:val="EndnoteReference"/>
        </w:rPr>
        <w:endnoteRef/>
      </w:r>
      <w:r>
        <w:t xml:space="preserve"> </w:t>
      </w:r>
      <w:r>
        <w:tab/>
        <w:t>Corner Report, p 130.</w:t>
      </w:r>
    </w:p>
  </w:endnote>
  <w:endnote w:id="32">
    <w:p w14:paraId="0036011A" w14:textId="1EC32BD3" w:rsidR="00015553" w:rsidRDefault="00015553" w:rsidP="00015553">
      <w:pPr>
        <w:pStyle w:val="EndnoteText"/>
        <w:ind w:left="284" w:hanging="284"/>
      </w:pPr>
      <w:r>
        <w:rPr>
          <w:rStyle w:val="EndnoteReference"/>
        </w:rPr>
        <w:endnoteRef/>
      </w:r>
      <w:r>
        <w:t xml:space="preserve"> </w:t>
      </w:r>
      <w:r>
        <w:tab/>
        <w:t>Corner Report, p 119.</w:t>
      </w:r>
    </w:p>
  </w:endnote>
  <w:endnote w:id="33">
    <w:p w14:paraId="62C56ECF" w14:textId="1785E798" w:rsidR="00BE35FC" w:rsidRDefault="00BE35FC" w:rsidP="006D63F8">
      <w:pPr>
        <w:pStyle w:val="EndnoteText"/>
        <w:ind w:left="284" w:hanging="284"/>
      </w:pPr>
      <w:r>
        <w:rPr>
          <w:rStyle w:val="EndnoteReference"/>
        </w:rPr>
        <w:endnoteRef/>
      </w:r>
      <w:r>
        <w:t xml:space="preserve"> </w:t>
      </w:r>
      <w:r>
        <w:tab/>
        <w:t>Corner Report, pp </w:t>
      </w:r>
      <w:r w:rsidR="006D63F8">
        <w:t xml:space="preserve">135 </w:t>
      </w:r>
      <w:r>
        <w:t>and 184.</w:t>
      </w:r>
    </w:p>
  </w:endnote>
  <w:endnote w:id="34">
    <w:p w14:paraId="10CF16C2" w14:textId="0697EF28" w:rsidR="00FE3190" w:rsidRDefault="00FE3190" w:rsidP="00FE3190">
      <w:pPr>
        <w:pStyle w:val="EndnoteText"/>
        <w:ind w:left="284" w:hanging="284"/>
      </w:pPr>
      <w:r>
        <w:rPr>
          <w:rStyle w:val="EndnoteReference"/>
        </w:rPr>
        <w:endnoteRef/>
      </w:r>
      <w:r>
        <w:t xml:space="preserve"> </w:t>
      </w:r>
      <w:r>
        <w:tab/>
        <w:t>Corner Report, p</w:t>
      </w:r>
      <w:r w:rsidR="00492505">
        <w:t>p</w:t>
      </w:r>
      <w:r>
        <w:t> 137</w:t>
      </w:r>
      <w:r w:rsidR="00492505">
        <w:t xml:space="preserve"> an</w:t>
      </w:r>
      <w:r w:rsidR="000A64E5">
        <w:t>d</w:t>
      </w:r>
      <w:r w:rsidR="00492505">
        <w:t xml:space="preserve"> 154</w:t>
      </w:r>
      <w:r>
        <w:t>.</w:t>
      </w:r>
    </w:p>
  </w:endnote>
  <w:endnote w:id="35">
    <w:p w14:paraId="3B0D872F" w14:textId="42385815" w:rsidR="000A64E5" w:rsidRDefault="000A64E5" w:rsidP="000A64E5">
      <w:pPr>
        <w:pStyle w:val="EndnoteText"/>
        <w:ind w:left="284" w:hanging="284"/>
      </w:pPr>
      <w:r>
        <w:rPr>
          <w:rStyle w:val="EndnoteReference"/>
        </w:rPr>
        <w:endnoteRef/>
      </w:r>
      <w:r>
        <w:t xml:space="preserve"> </w:t>
      </w:r>
      <w:r>
        <w:tab/>
        <w:t>Corner Report, p 137.</w:t>
      </w:r>
    </w:p>
  </w:endnote>
  <w:endnote w:id="36">
    <w:p w14:paraId="1D78FE8F" w14:textId="7AA09D64" w:rsidR="00B51762" w:rsidRDefault="00B51762" w:rsidP="00B51762">
      <w:pPr>
        <w:pStyle w:val="EndnoteText"/>
        <w:ind w:left="284" w:hanging="284"/>
      </w:pPr>
      <w:r>
        <w:rPr>
          <w:rStyle w:val="EndnoteReference"/>
        </w:rPr>
        <w:endnoteRef/>
      </w:r>
      <w:r>
        <w:t xml:space="preserve"> </w:t>
      </w:r>
      <w:r>
        <w:tab/>
        <w:t>Corner Report, p 139.</w:t>
      </w:r>
    </w:p>
  </w:endnote>
  <w:endnote w:id="37">
    <w:p w14:paraId="09C97ABF" w14:textId="575AC052" w:rsidR="00080437" w:rsidRDefault="00080437" w:rsidP="00080437">
      <w:pPr>
        <w:pStyle w:val="EndnoteText"/>
        <w:ind w:left="284" w:hanging="284"/>
      </w:pPr>
      <w:r>
        <w:rPr>
          <w:rStyle w:val="EndnoteReference"/>
        </w:rPr>
        <w:endnoteRef/>
      </w:r>
      <w:r>
        <w:t xml:space="preserve"> </w:t>
      </w:r>
      <w:r>
        <w:tab/>
        <w:t>Corner Report, p 123.</w:t>
      </w:r>
    </w:p>
  </w:endnote>
  <w:endnote w:id="38">
    <w:p w14:paraId="77BB4284" w14:textId="21119C8B" w:rsidR="007F5922" w:rsidRDefault="007F5922" w:rsidP="007F5922">
      <w:pPr>
        <w:pStyle w:val="EndnoteText"/>
        <w:ind w:left="284" w:hanging="284"/>
      </w:pPr>
      <w:r>
        <w:rPr>
          <w:rStyle w:val="EndnoteReference"/>
        </w:rPr>
        <w:endnoteRef/>
      </w:r>
      <w:r>
        <w:t xml:space="preserve"> </w:t>
      </w:r>
      <w:r>
        <w:tab/>
        <w:t>Corner Report, p 153.</w:t>
      </w:r>
    </w:p>
  </w:endnote>
  <w:endnote w:id="39">
    <w:p w14:paraId="2A7F1F07" w14:textId="6FDB29A4" w:rsidR="00A646FD" w:rsidRDefault="00A646FD" w:rsidP="00A646FD">
      <w:pPr>
        <w:pStyle w:val="EndnoteText"/>
        <w:ind w:left="284" w:hanging="284"/>
      </w:pPr>
      <w:r>
        <w:rPr>
          <w:rStyle w:val="EndnoteReference"/>
        </w:rPr>
        <w:endnoteRef/>
      </w:r>
      <w:r>
        <w:t xml:space="preserve"> </w:t>
      </w:r>
      <w:r>
        <w:tab/>
        <w:t>Corner Report, p 139.</w:t>
      </w:r>
    </w:p>
  </w:endnote>
  <w:endnote w:id="40">
    <w:p w14:paraId="15DE02E2" w14:textId="325D3AEE" w:rsidR="00B05053" w:rsidRDefault="00B05053" w:rsidP="00B05053">
      <w:pPr>
        <w:pStyle w:val="EndnoteText"/>
        <w:ind w:left="284" w:hanging="284"/>
      </w:pPr>
      <w:r>
        <w:rPr>
          <w:rStyle w:val="EndnoteReference"/>
        </w:rPr>
        <w:endnoteRef/>
      </w:r>
      <w:r>
        <w:t xml:space="preserve"> </w:t>
      </w:r>
      <w:r>
        <w:tab/>
        <w:t>Corner Report, p 3.</w:t>
      </w:r>
    </w:p>
  </w:endnote>
  <w:endnote w:id="41">
    <w:p w14:paraId="659F46C0" w14:textId="733E411D" w:rsidR="00415DCA" w:rsidRDefault="00415DCA" w:rsidP="00E34CD7">
      <w:pPr>
        <w:pStyle w:val="EndnoteText"/>
        <w:ind w:left="284" w:hanging="284"/>
      </w:pPr>
      <w:r>
        <w:rPr>
          <w:rStyle w:val="EndnoteReference"/>
        </w:rPr>
        <w:endnoteRef/>
      </w:r>
      <w:r>
        <w:t xml:space="preserve"> </w:t>
      </w:r>
      <w:r>
        <w:tab/>
        <w:t xml:space="preserve">Australian Institute of Criminology, </w:t>
      </w:r>
      <w:r w:rsidR="00E34CD7" w:rsidRPr="00E34CD7">
        <w:rPr>
          <w:i/>
          <w:iCs/>
        </w:rPr>
        <w:t>Review of violent extremism risk assessment tools in Division 104 control orders and Division 105A post-sentence orders</w:t>
      </w:r>
      <w:r w:rsidR="00E34CD7">
        <w:t xml:space="preserve">, May 2023, at </w:t>
      </w:r>
      <w:hyperlink r:id="rId12" w:history="1">
        <w:r w:rsidR="00E34CD7" w:rsidRPr="00057FBC">
          <w:rPr>
            <w:rStyle w:val="Hyperlink"/>
          </w:rPr>
          <w:t>https://www.aic.gov.au/publications/special/special-14</w:t>
        </w:r>
      </w:hyperlink>
      <w:r w:rsidR="005340CB">
        <w:t xml:space="preserve"> (AIC Report)</w:t>
      </w:r>
      <w:r w:rsidR="00E34CD7">
        <w:t xml:space="preserve">. </w:t>
      </w:r>
    </w:p>
  </w:endnote>
  <w:endnote w:id="42">
    <w:p w14:paraId="7FFEFC06" w14:textId="5DEB3B75" w:rsidR="00AB2F5E" w:rsidRDefault="00AB2F5E" w:rsidP="00E537A8">
      <w:pPr>
        <w:pStyle w:val="EndnoteText"/>
        <w:ind w:left="284" w:hanging="284"/>
      </w:pPr>
      <w:r>
        <w:rPr>
          <w:rStyle w:val="EndnoteReference"/>
        </w:rPr>
        <w:endnoteRef/>
      </w:r>
      <w:r>
        <w:t xml:space="preserve"> </w:t>
      </w:r>
      <w:r>
        <w:tab/>
        <w:t xml:space="preserve">INSLM Report at </w:t>
      </w:r>
      <w:r w:rsidR="00E537A8">
        <w:t>[284]</w:t>
      </w:r>
      <w:r w:rsidR="00E537A8">
        <w:t>–[28</w:t>
      </w:r>
      <w:r w:rsidR="00415DCA">
        <w:t>7</w:t>
      </w:r>
      <w:r w:rsidR="00E537A8">
        <w:t>].</w:t>
      </w:r>
    </w:p>
  </w:endnote>
  <w:endnote w:id="43">
    <w:p w14:paraId="6E35B0D2" w14:textId="6FEDC430" w:rsidR="00C500EA" w:rsidRDefault="00C500EA" w:rsidP="005340CB">
      <w:pPr>
        <w:pStyle w:val="EndnoteText"/>
        <w:ind w:left="284" w:hanging="284"/>
      </w:pPr>
      <w:r>
        <w:rPr>
          <w:rStyle w:val="EndnoteReference"/>
        </w:rPr>
        <w:endnoteRef/>
      </w:r>
      <w:r>
        <w:t xml:space="preserve"> </w:t>
      </w:r>
      <w:r>
        <w:tab/>
        <w:t>AIC Report, Recommendation 1, p </w:t>
      </w:r>
      <w:r w:rsidR="005340CB">
        <w:t>ix.</w:t>
      </w:r>
    </w:p>
  </w:endnote>
  <w:endnote w:id="44">
    <w:p w14:paraId="69842B04" w14:textId="77777777" w:rsidR="00396C6A" w:rsidRDefault="00396C6A" w:rsidP="00396C6A">
      <w:pPr>
        <w:pStyle w:val="EndnoteText"/>
        <w:ind w:left="284" w:hanging="284"/>
      </w:pPr>
      <w:r>
        <w:rPr>
          <w:rStyle w:val="EndnoteReference"/>
        </w:rPr>
        <w:endnoteRef/>
      </w:r>
      <w:r>
        <w:t xml:space="preserve"> </w:t>
      </w:r>
      <w:r>
        <w:tab/>
        <w:t>AIC Report, Recommendation 1, p ix.</w:t>
      </w:r>
    </w:p>
  </w:endnote>
  <w:endnote w:id="45">
    <w:p w14:paraId="369A824C" w14:textId="6053804D" w:rsidR="00C518B4" w:rsidRDefault="00C518B4" w:rsidP="00C518B4">
      <w:pPr>
        <w:pStyle w:val="EndnoteText"/>
        <w:ind w:left="284" w:hanging="284"/>
      </w:pPr>
      <w:r>
        <w:rPr>
          <w:rStyle w:val="EndnoteReference"/>
        </w:rPr>
        <w:endnoteRef/>
      </w:r>
      <w:r>
        <w:t xml:space="preserve"> </w:t>
      </w:r>
      <w:r>
        <w:tab/>
        <w:t>AIC Report, References, pp 51–</w:t>
      </w:r>
      <w:r w:rsidR="00FD0595">
        <w:t>58.</w:t>
      </w:r>
    </w:p>
  </w:endnote>
  <w:endnote w:id="46">
    <w:p w14:paraId="40577F17" w14:textId="77777777" w:rsidR="006F36A0" w:rsidRDefault="006F36A0" w:rsidP="006F36A0">
      <w:pPr>
        <w:pStyle w:val="EndnoteText"/>
        <w:ind w:left="284" w:hanging="284"/>
      </w:pPr>
      <w:r>
        <w:rPr>
          <w:rStyle w:val="EndnoteReference"/>
        </w:rPr>
        <w:endnoteRef/>
      </w:r>
      <w:r>
        <w:t xml:space="preserve"> </w:t>
      </w:r>
      <w:r>
        <w:tab/>
        <w:t>AIC Report, p 45.</w:t>
      </w:r>
    </w:p>
  </w:endnote>
  <w:endnote w:id="47">
    <w:p w14:paraId="388252A4" w14:textId="684046C1" w:rsidR="00CB0625" w:rsidRDefault="00CB0625" w:rsidP="00CB0625">
      <w:pPr>
        <w:pStyle w:val="EndnoteText"/>
        <w:ind w:left="284" w:hanging="284"/>
      </w:pPr>
      <w:r>
        <w:rPr>
          <w:rStyle w:val="EndnoteReference"/>
        </w:rPr>
        <w:endnoteRef/>
      </w:r>
      <w:r>
        <w:t xml:space="preserve"> </w:t>
      </w:r>
      <w:r>
        <w:tab/>
        <w:t>AIC Report, p 45.</w:t>
      </w:r>
    </w:p>
  </w:endnote>
  <w:endnote w:id="48">
    <w:p w14:paraId="4D76DD45" w14:textId="4F745D54" w:rsidR="00A140BD" w:rsidRDefault="00A140BD" w:rsidP="00A140BD">
      <w:pPr>
        <w:pStyle w:val="EndnoteText"/>
        <w:ind w:left="284" w:hanging="284"/>
      </w:pPr>
      <w:r>
        <w:rPr>
          <w:rStyle w:val="EndnoteReference"/>
        </w:rPr>
        <w:endnoteRef/>
      </w:r>
      <w:r>
        <w:t xml:space="preserve"> </w:t>
      </w:r>
      <w:r>
        <w:tab/>
        <w:t>AIC Report, pp 26–27.</w:t>
      </w:r>
    </w:p>
  </w:endnote>
  <w:endnote w:id="49">
    <w:p w14:paraId="24D6D928" w14:textId="29E46AE3" w:rsidR="00A722E2" w:rsidRDefault="00A722E2" w:rsidP="00A722E2">
      <w:pPr>
        <w:pStyle w:val="EndnoteText"/>
        <w:ind w:left="284" w:hanging="284"/>
      </w:pPr>
      <w:r>
        <w:rPr>
          <w:rStyle w:val="EndnoteReference"/>
        </w:rPr>
        <w:endnoteRef/>
      </w:r>
      <w:r>
        <w:t xml:space="preserve"> </w:t>
      </w:r>
      <w:r>
        <w:tab/>
        <w:t>AIC Report, p 28.</w:t>
      </w:r>
    </w:p>
  </w:endnote>
  <w:endnote w:id="50">
    <w:p w14:paraId="02474100" w14:textId="59869B19" w:rsidR="00C867B5" w:rsidRDefault="00C867B5" w:rsidP="00C867B5">
      <w:pPr>
        <w:pStyle w:val="EndnoteText"/>
        <w:ind w:left="284" w:hanging="284"/>
      </w:pPr>
      <w:r>
        <w:rPr>
          <w:rStyle w:val="EndnoteReference"/>
        </w:rPr>
        <w:endnoteRef/>
      </w:r>
      <w:r>
        <w:t xml:space="preserve"> </w:t>
      </w:r>
      <w:r>
        <w:tab/>
        <w:t>INSLM Report at [267].</w:t>
      </w:r>
    </w:p>
  </w:endnote>
  <w:endnote w:id="51">
    <w:p w14:paraId="5D6D3916" w14:textId="6DA10246" w:rsidR="00175BA5" w:rsidRDefault="00175BA5" w:rsidP="00175BA5">
      <w:pPr>
        <w:pStyle w:val="EndnoteText"/>
        <w:ind w:left="284" w:hanging="284"/>
      </w:pPr>
      <w:r>
        <w:rPr>
          <w:rStyle w:val="EndnoteReference"/>
        </w:rPr>
        <w:endnoteRef/>
      </w:r>
      <w:r>
        <w:t xml:space="preserve"> </w:t>
      </w:r>
      <w:r>
        <w:tab/>
        <w:t>Corner Report p 21.</w:t>
      </w:r>
      <w:r w:rsidR="00BB45DB">
        <w:t xml:space="preserve">  See also </w:t>
      </w:r>
      <w:r w:rsidR="00BB45DB" w:rsidRPr="00BB26C5">
        <w:rPr>
          <w:i/>
          <w:iCs/>
        </w:rPr>
        <w:t>Fardon v Attorney-General (Qld)</w:t>
      </w:r>
      <w:r w:rsidR="00BB45DB" w:rsidRPr="00BB45DB">
        <w:t xml:space="preserve"> (2004) 223 CLR 575 at 623 [124]</w:t>
      </w:r>
      <w:r w:rsidR="00BB26C5">
        <w:t>–</w:t>
      </w:r>
      <w:r w:rsidR="00BB45DB" w:rsidRPr="00BB45DB">
        <w:t>[125]</w:t>
      </w:r>
      <w:r w:rsidR="00BB26C5">
        <w:t xml:space="preserve"> (Kirby J).</w:t>
      </w:r>
    </w:p>
  </w:endnote>
  <w:endnote w:id="52">
    <w:p w14:paraId="75FB7B5A" w14:textId="0708C40F" w:rsidR="001C4DBB" w:rsidRDefault="001C4DBB" w:rsidP="00B754AC">
      <w:pPr>
        <w:pStyle w:val="EndnoteText"/>
        <w:ind w:left="284" w:hanging="284"/>
      </w:pPr>
      <w:r>
        <w:rPr>
          <w:rStyle w:val="EndnoteReference"/>
        </w:rPr>
        <w:endnoteRef/>
      </w:r>
      <w:r>
        <w:t xml:space="preserve"> </w:t>
      </w:r>
      <w:r>
        <w:tab/>
        <w:t xml:space="preserve">Sentencing Advisory Council (Victoria), </w:t>
      </w:r>
      <w:r w:rsidRPr="00B754AC">
        <w:rPr>
          <w:i/>
          <w:iCs/>
        </w:rPr>
        <w:t>High Risk Offenders: Post-Sentence Supervision and Detention</w:t>
      </w:r>
      <w:r>
        <w:t xml:space="preserve"> (2007), [2.2.11]–[2.2.12], at </w:t>
      </w:r>
      <w:hyperlink r:id="rId13" w:history="1">
        <w:r w:rsidR="00B754AC" w:rsidRPr="00057FBC">
          <w:rPr>
            <w:rStyle w:val="Hyperlink"/>
          </w:rPr>
          <w:t>https://www.sentencingcouncil.vic.gov.au/sites/default/files/2019-08/High_Risk_Offenders_Final_Report.pdf</w:t>
        </w:r>
      </w:hyperlink>
      <w:r>
        <w:t xml:space="preserve">; NSW Sentencing Council, </w:t>
      </w:r>
      <w:r w:rsidRPr="00B754AC">
        <w:rPr>
          <w:i/>
          <w:iCs/>
        </w:rPr>
        <w:t>High-Risk Violent Offenders: Sentencing and Post-Custody Management Options</w:t>
      </w:r>
      <w:r>
        <w:t xml:space="preserve"> (2012), [2.72]–[2.73], at </w:t>
      </w:r>
      <w:hyperlink r:id="rId14" w:history="1">
        <w:r w:rsidR="00B754AC" w:rsidRPr="00057FBC">
          <w:rPr>
            <w:rStyle w:val="Hyperlink"/>
          </w:rPr>
          <w:t>http://www.sentencingcouncil.justice.nsw.gov.au/Documents/Sentencing_Serious_Violent_Offenders/online%20final%20report%20hrvo.pdf</w:t>
        </w:r>
      </w:hyperlink>
      <w:r w:rsidR="00B754AC">
        <w:t xml:space="preserve">. </w:t>
      </w:r>
    </w:p>
  </w:endnote>
  <w:endnote w:id="53">
    <w:p w14:paraId="4F021182" w14:textId="74898CC0" w:rsidR="0061084B" w:rsidRPr="0061084B" w:rsidRDefault="0061084B" w:rsidP="0061084B">
      <w:pPr>
        <w:pStyle w:val="EndnoteText"/>
        <w:ind w:left="284" w:hanging="284"/>
      </w:pPr>
      <w:r>
        <w:rPr>
          <w:rStyle w:val="EndnoteReference"/>
        </w:rPr>
        <w:endnoteRef/>
      </w:r>
      <w:r>
        <w:t xml:space="preserve"> </w:t>
      </w:r>
      <w:r>
        <w:tab/>
        <w:t>AIC Report, p 37.</w:t>
      </w:r>
    </w:p>
  </w:endnote>
  <w:endnote w:id="54">
    <w:p w14:paraId="7A4EF848" w14:textId="4A8E54F0" w:rsidR="00D717C8" w:rsidRDefault="00D717C8" w:rsidP="00D717C8">
      <w:pPr>
        <w:pStyle w:val="EndnoteText"/>
        <w:ind w:left="284" w:hanging="284"/>
      </w:pPr>
      <w:r>
        <w:rPr>
          <w:rStyle w:val="EndnoteReference"/>
        </w:rPr>
        <w:endnoteRef/>
      </w:r>
      <w:r>
        <w:t xml:space="preserve"> </w:t>
      </w:r>
      <w:r>
        <w:tab/>
        <w:t>INSLM Report at [263].</w:t>
      </w:r>
    </w:p>
  </w:endnote>
  <w:endnote w:id="55">
    <w:p w14:paraId="001DE3B6" w14:textId="4645955F" w:rsidR="00836748" w:rsidRDefault="00836748" w:rsidP="00ED6C69">
      <w:pPr>
        <w:pStyle w:val="EndnoteText"/>
        <w:ind w:left="284" w:hanging="284"/>
      </w:pPr>
      <w:r>
        <w:rPr>
          <w:rStyle w:val="EndnoteReference"/>
        </w:rPr>
        <w:endnoteRef/>
      </w:r>
      <w:r>
        <w:t xml:space="preserve"> </w:t>
      </w:r>
      <w:r>
        <w:tab/>
        <w:t>INSLM Report at [327]</w:t>
      </w:r>
      <w:r>
        <w:t>–</w:t>
      </w:r>
      <w:r w:rsidR="00ED6C69">
        <w:t>[332].</w:t>
      </w:r>
    </w:p>
  </w:endnote>
  <w:endnote w:id="56">
    <w:p w14:paraId="1BBA915D" w14:textId="443B2AEE" w:rsidR="008A2E8D" w:rsidRDefault="008A2E8D" w:rsidP="00D372CB">
      <w:pPr>
        <w:pStyle w:val="EndnoteText"/>
        <w:ind w:left="284" w:hanging="284"/>
      </w:pPr>
      <w:r>
        <w:rPr>
          <w:rStyle w:val="EndnoteReference"/>
        </w:rPr>
        <w:endnoteRef/>
      </w:r>
      <w:r>
        <w:t xml:space="preserve"> </w:t>
      </w:r>
      <w:r>
        <w:tab/>
        <w:t xml:space="preserve">INSLM Report </w:t>
      </w:r>
      <w:r w:rsidR="00D372CB">
        <w:t>at [303]</w:t>
      </w:r>
      <w:r w:rsidR="00D372CB">
        <w:t>–[304].</w:t>
      </w:r>
    </w:p>
  </w:endnote>
  <w:endnote w:id="57">
    <w:p w14:paraId="7532DDF2" w14:textId="47DBB0FE" w:rsidR="00D027C5" w:rsidRDefault="00D027C5" w:rsidP="00F47283">
      <w:pPr>
        <w:pStyle w:val="EndnoteText"/>
        <w:ind w:left="284" w:hanging="284"/>
      </w:pPr>
      <w:r>
        <w:rPr>
          <w:rStyle w:val="EndnoteReference"/>
        </w:rPr>
        <w:endnoteRef/>
      </w:r>
      <w:r>
        <w:t xml:space="preserve"> </w:t>
      </w:r>
      <w:r>
        <w:tab/>
        <w:t>INSLM Report at [</w:t>
      </w:r>
      <w:r w:rsidR="00076170">
        <w:t>312]</w:t>
      </w:r>
      <w:r w:rsidR="00076170">
        <w:t>–[317].</w:t>
      </w:r>
    </w:p>
  </w:endnote>
  <w:endnote w:id="58">
    <w:p w14:paraId="6EC3D414" w14:textId="496A8E66" w:rsidR="00C26093" w:rsidRDefault="00C26093" w:rsidP="00C26093">
      <w:pPr>
        <w:pStyle w:val="EndnoteText"/>
        <w:ind w:left="284" w:hanging="284"/>
      </w:pPr>
      <w:r>
        <w:rPr>
          <w:rStyle w:val="EndnoteReference"/>
        </w:rPr>
        <w:endnoteRef/>
      </w:r>
      <w:r>
        <w:t xml:space="preserve"> </w:t>
      </w:r>
      <w:r>
        <w:tab/>
        <w:t>INSLM Report at [307]</w:t>
      </w:r>
      <w:r>
        <w:t>–</w:t>
      </w:r>
      <w:r w:rsidR="00740CCE">
        <w:t>[311].</w:t>
      </w:r>
    </w:p>
  </w:endnote>
  <w:endnote w:id="59">
    <w:p w14:paraId="66D26628" w14:textId="0B1A17AB" w:rsidR="000F22F8" w:rsidRDefault="000F22F8" w:rsidP="00EE010E">
      <w:pPr>
        <w:pStyle w:val="EndnoteText"/>
        <w:ind w:left="284" w:hanging="284"/>
      </w:pPr>
      <w:r>
        <w:rPr>
          <w:rStyle w:val="EndnoteReference"/>
        </w:rPr>
        <w:endnoteRef/>
      </w:r>
      <w:r>
        <w:t xml:space="preserve"> </w:t>
      </w:r>
      <w:r>
        <w:tab/>
        <w:t xml:space="preserve">INSLM Report at </w:t>
      </w:r>
      <w:r w:rsidR="001F52BB">
        <w:t>[337]</w:t>
      </w:r>
      <w:r w:rsidR="001F52BB">
        <w:t>–[</w:t>
      </w:r>
      <w:r w:rsidR="00EE010E">
        <w:t>339].</w:t>
      </w:r>
    </w:p>
  </w:endnote>
  <w:endnote w:id="60">
    <w:p w14:paraId="5D993936" w14:textId="343A9E72" w:rsidR="002731C3" w:rsidRDefault="002731C3" w:rsidP="002731C3">
      <w:pPr>
        <w:pStyle w:val="EndnoteText"/>
        <w:ind w:left="284" w:hanging="284"/>
      </w:pPr>
      <w:r>
        <w:rPr>
          <w:rStyle w:val="EndnoteReference"/>
        </w:rPr>
        <w:endnoteRef/>
      </w:r>
      <w:r>
        <w:t xml:space="preserve"> </w:t>
      </w:r>
      <w:r>
        <w:tab/>
        <w:t>INSLM Report at [244]</w:t>
      </w:r>
      <w:r>
        <w:t>–[245].</w:t>
      </w:r>
    </w:p>
  </w:endnote>
  <w:endnote w:id="61">
    <w:p w14:paraId="5EA8548C" w14:textId="1CCEB7E8" w:rsidR="005C1C23" w:rsidRDefault="005C1C23" w:rsidP="005C1C23">
      <w:pPr>
        <w:pStyle w:val="EndnoteText"/>
        <w:ind w:left="284" w:hanging="284"/>
      </w:pPr>
      <w:r>
        <w:rPr>
          <w:rStyle w:val="EndnoteReference"/>
        </w:rPr>
        <w:endnoteRef/>
      </w:r>
      <w:r>
        <w:t xml:space="preserve"> </w:t>
      </w:r>
      <w:r>
        <w:tab/>
      </w:r>
      <w:r w:rsidRPr="005C1C23">
        <w:rPr>
          <w:i/>
          <w:iCs/>
        </w:rPr>
        <w:t xml:space="preserve">Minister for Home Affairs v </w:t>
      </w:r>
      <w:r w:rsidRPr="005C1C23">
        <w:rPr>
          <w:i/>
          <w:iCs/>
        </w:rPr>
        <w:t>Benbrika</w:t>
      </w:r>
      <w:r w:rsidRPr="005C1C23">
        <w:t xml:space="preserve"> [2020] VSC 888 at </w:t>
      </w:r>
      <w:r>
        <w:t xml:space="preserve">[440] and </w:t>
      </w:r>
      <w:r w:rsidRPr="005C1C23">
        <w:t>[445].</w:t>
      </w:r>
    </w:p>
  </w:endnote>
  <w:endnote w:id="62">
    <w:p w14:paraId="1F63E474" w14:textId="2C446CBE" w:rsidR="00AC36E4" w:rsidRDefault="00AC36E4" w:rsidP="00AC36E4">
      <w:pPr>
        <w:pStyle w:val="EndnoteText"/>
        <w:ind w:left="284" w:hanging="284"/>
      </w:pPr>
      <w:r>
        <w:rPr>
          <w:rStyle w:val="EndnoteReference"/>
        </w:rPr>
        <w:endnoteRef/>
      </w:r>
      <w:r>
        <w:t xml:space="preserve"> </w:t>
      </w:r>
      <w:r>
        <w:tab/>
      </w:r>
      <w:r w:rsidRPr="005C1C23">
        <w:rPr>
          <w:i/>
          <w:iCs/>
        </w:rPr>
        <w:t xml:space="preserve">Minister for Home Affairs v </w:t>
      </w:r>
      <w:r w:rsidRPr="005C1C23">
        <w:rPr>
          <w:i/>
          <w:iCs/>
        </w:rPr>
        <w:t>Benbrika</w:t>
      </w:r>
      <w:r w:rsidRPr="005C1C23">
        <w:t xml:space="preserve"> [2020] VSC 888 at [445].</w:t>
      </w:r>
    </w:p>
  </w:endnote>
  <w:endnote w:id="63">
    <w:p w14:paraId="0B97EB6A" w14:textId="77777777" w:rsidR="008170F4" w:rsidRDefault="008170F4" w:rsidP="008170F4">
      <w:pPr>
        <w:pStyle w:val="EndnoteText"/>
        <w:ind w:left="284" w:hanging="284"/>
      </w:pPr>
      <w:r>
        <w:rPr>
          <w:rStyle w:val="EndnoteReference"/>
        </w:rPr>
        <w:endnoteRef/>
      </w:r>
      <w:r>
        <w:t xml:space="preserve"> </w:t>
      </w:r>
      <w:r>
        <w:tab/>
        <w:t>Criminal Code, s 105A.3.</w:t>
      </w:r>
    </w:p>
  </w:endnote>
  <w:endnote w:id="64">
    <w:p w14:paraId="3BEC55D2" w14:textId="77777777" w:rsidR="008170F4" w:rsidRDefault="008170F4" w:rsidP="008170F4">
      <w:pPr>
        <w:pStyle w:val="EndnoteText"/>
        <w:ind w:left="284" w:hanging="284"/>
      </w:pPr>
      <w:r>
        <w:rPr>
          <w:rStyle w:val="EndnoteReference"/>
        </w:rPr>
        <w:endnoteRef/>
      </w:r>
      <w:r>
        <w:t xml:space="preserve"> </w:t>
      </w:r>
      <w:r>
        <w:tab/>
        <w:t xml:space="preserve">See </w:t>
      </w:r>
      <w:r>
        <w:rPr>
          <w:lang w:val="en-US"/>
        </w:rPr>
        <w:t xml:space="preserve">Australian Human Rights Commission, </w:t>
      </w:r>
      <w:r w:rsidRPr="00215EE4">
        <w:rPr>
          <w:i/>
          <w:iCs/>
          <w:lang w:val="en-US"/>
        </w:rPr>
        <w:t>Review into Division 105A of the Criminal Code (post sentence orders)</w:t>
      </w:r>
      <w:r>
        <w:rPr>
          <w:lang w:val="en-US"/>
        </w:rPr>
        <w:t>, s</w:t>
      </w:r>
      <w:r w:rsidRPr="000B6820">
        <w:rPr>
          <w:lang w:val="en-US"/>
        </w:rPr>
        <w:t xml:space="preserve">ubmission to the </w:t>
      </w:r>
      <w:r>
        <w:rPr>
          <w:lang w:val="en-US"/>
        </w:rPr>
        <w:t xml:space="preserve">INSLM, </w:t>
      </w:r>
      <w:r w:rsidRPr="000B6820">
        <w:rPr>
          <w:lang w:val="en-US"/>
        </w:rPr>
        <w:t>4 February 2022</w:t>
      </w:r>
      <w:r>
        <w:rPr>
          <w:lang w:val="en-US"/>
        </w:rPr>
        <w:t xml:space="preserve">, Appendix A (rows 7, 9, 10, 12–16, 18, 20, 22 and 23) at </w:t>
      </w:r>
      <w:hyperlink r:id="rId15" w:history="1">
        <w:r w:rsidRPr="00F46897">
          <w:rPr>
            <w:rStyle w:val="Hyperlink"/>
            <w:lang w:val="en-US"/>
          </w:rPr>
          <w:t>https://www.inslm.gov.au/sites/default/files/2022-03/11-australian-human-rights-commission.pdf</w:t>
        </w:r>
      </w:hyperlink>
      <w:r>
        <w:rPr>
          <w:lang w:val="en-US"/>
        </w:rPr>
        <w:t>.</w:t>
      </w:r>
    </w:p>
  </w:endnote>
  <w:endnote w:id="65">
    <w:p w14:paraId="0E00ECD9" w14:textId="7B91087C" w:rsidR="00612AD9" w:rsidRDefault="00612AD9" w:rsidP="00064C6C">
      <w:pPr>
        <w:pStyle w:val="EndnoteText"/>
        <w:ind w:left="284" w:hanging="284"/>
      </w:pPr>
      <w:r>
        <w:rPr>
          <w:rStyle w:val="EndnoteReference"/>
        </w:rPr>
        <w:endnoteRef/>
      </w:r>
      <w:r>
        <w:t xml:space="preserve"> </w:t>
      </w:r>
      <w:r>
        <w:tab/>
      </w:r>
      <w:r>
        <w:rPr>
          <w:lang w:val="en-US"/>
        </w:rPr>
        <w:t xml:space="preserve">Australian Human Rights Commission, </w:t>
      </w:r>
      <w:r w:rsidRPr="00215EE4">
        <w:rPr>
          <w:i/>
          <w:iCs/>
          <w:lang w:val="en-US"/>
        </w:rPr>
        <w:t>Review into Division 105A of the Criminal Code (post sentence orders)</w:t>
      </w:r>
      <w:r>
        <w:rPr>
          <w:lang w:val="en-US"/>
        </w:rPr>
        <w:t>, s</w:t>
      </w:r>
      <w:r w:rsidRPr="000B6820">
        <w:rPr>
          <w:lang w:val="en-US"/>
        </w:rPr>
        <w:t xml:space="preserve">ubmission to the </w:t>
      </w:r>
      <w:r>
        <w:rPr>
          <w:lang w:val="en-US"/>
        </w:rPr>
        <w:t xml:space="preserve">INSLM, </w:t>
      </w:r>
      <w:r w:rsidRPr="000B6820">
        <w:rPr>
          <w:lang w:val="en-US"/>
        </w:rPr>
        <w:t>4 February 2022</w:t>
      </w:r>
      <w:r>
        <w:rPr>
          <w:lang w:val="en-US"/>
        </w:rPr>
        <w:t xml:space="preserve"> at </w:t>
      </w:r>
      <w:r w:rsidR="004B2F0A">
        <w:rPr>
          <w:lang w:val="en-US"/>
        </w:rPr>
        <w:t xml:space="preserve">[249] in relation to </w:t>
      </w:r>
      <w:r w:rsidR="004B2F0A">
        <w:rPr>
          <w:lang w:val="en-US"/>
        </w:rPr>
        <w:t xml:space="preserve">Ms Alo-Bridget Namoa.  INSLM </w:t>
      </w:r>
      <w:r w:rsidR="004B2F0A" w:rsidRPr="000A4A6D">
        <w:rPr>
          <w:i/>
          <w:iCs/>
          <w:lang w:val="en-US"/>
        </w:rPr>
        <w:t xml:space="preserve">Annual Report </w:t>
      </w:r>
      <w:r w:rsidR="000A4A6D" w:rsidRPr="000A4A6D">
        <w:rPr>
          <w:i/>
          <w:iCs/>
          <w:lang w:val="en-US"/>
        </w:rPr>
        <w:t>2021-22</w:t>
      </w:r>
      <w:r w:rsidR="000A4A6D">
        <w:rPr>
          <w:lang w:val="en-US"/>
        </w:rPr>
        <w:t>, pp </w:t>
      </w:r>
      <w:r w:rsidR="00064C6C">
        <w:rPr>
          <w:lang w:val="en-US"/>
        </w:rPr>
        <w:t>34–35 in relation to Ms Alo-Bridget Namoa and Mr Radwan Dakkak.</w:t>
      </w:r>
    </w:p>
  </w:endnote>
  <w:endnote w:id="66">
    <w:p w14:paraId="2F4AA95A" w14:textId="75769AA2" w:rsidR="003C0115" w:rsidRPr="003C0115" w:rsidRDefault="003C0115" w:rsidP="003C0115">
      <w:pPr>
        <w:pStyle w:val="EndnoteText"/>
        <w:ind w:left="284" w:hanging="284"/>
      </w:pPr>
      <w:r>
        <w:rPr>
          <w:rStyle w:val="EndnoteReference"/>
        </w:rPr>
        <w:endnoteRef/>
      </w:r>
      <w:r>
        <w:t xml:space="preserve"> </w:t>
      </w:r>
      <w:r>
        <w:tab/>
      </w:r>
      <w:r w:rsidRPr="003C0115">
        <w:rPr>
          <w:i/>
          <w:iCs/>
        </w:rPr>
        <w:t xml:space="preserve">State of New South Wales v </w:t>
      </w:r>
      <w:r w:rsidRPr="003C0115">
        <w:rPr>
          <w:i/>
          <w:iCs/>
        </w:rPr>
        <w:t>Elmir (Final)</w:t>
      </w:r>
      <w:r w:rsidRPr="003C0115">
        <w:t xml:space="preserve"> [2019] NSWSC 1867</w:t>
      </w:r>
      <w:r w:rsidR="001571D5">
        <w:t xml:space="preserve"> at [200]</w:t>
      </w:r>
      <w:r w:rsidRPr="003C0115">
        <w:t>.</w:t>
      </w:r>
    </w:p>
  </w:endnote>
  <w:endnote w:id="67">
    <w:p w14:paraId="00F70767" w14:textId="7EBECE3F" w:rsidR="00701C2B" w:rsidRDefault="00701C2B" w:rsidP="00635D75">
      <w:pPr>
        <w:pStyle w:val="EndnoteText"/>
        <w:ind w:left="284" w:hanging="284"/>
      </w:pPr>
      <w:r>
        <w:rPr>
          <w:rStyle w:val="EndnoteReference"/>
        </w:rPr>
        <w:endnoteRef/>
      </w:r>
      <w:r>
        <w:t xml:space="preserve"> </w:t>
      </w:r>
      <w:r>
        <w:tab/>
      </w:r>
      <w:r w:rsidR="00635D75" w:rsidRPr="00635D75">
        <w:rPr>
          <w:i/>
          <w:iCs/>
        </w:rPr>
        <w:t xml:space="preserve">Attorney-General v </w:t>
      </w:r>
      <w:r w:rsidR="00635D75" w:rsidRPr="00635D75">
        <w:rPr>
          <w:i/>
          <w:iCs/>
        </w:rPr>
        <w:t>Hadashah Sa’adat Khan (No 2)</w:t>
      </w:r>
      <w:r w:rsidR="00635D75">
        <w:t xml:space="preserve"> [2022] VSC 687</w:t>
      </w:r>
      <w:r w:rsidR="0055194C">
        <w:t xml:space="preserve"> at [51]</w:t>
      </w:r>
      <w:r w:rsidR="00635D75">
        <w:t>.</w:t>
      </w:r>
    </w:p>
  </w:endnote>
  <w:endnote w:id="68">
    <w:p w14:paraId="26356D96" w14:textId="77777777" w:rsidR="000F5256" w:rsidRPr="009707DA" w:rsidRDefault="000F5256" w:rsidP="000F5256">
      <w:pPr>
        <w:pStyle w:val="EndnoteText"/>
        <w:ind w:left="284" w:hanging="284"/>
        <w:rPr>
          <w:lang w:val="en-US"/>
        </w:rPr>
      </w:pPr>
      <w:r>
        <w:rPr>
          <w:rStyle w:val="EndnoteReference"/>
        </w:rPr>
        <w:endnoteRef/>
      </w:r>
      <w:r>
        <w:t xml:space="preserve"> </w:t>
      </w:r>
      <w:r>
        <w:rPr>
          <w:lang w:val="en-US"/>
        </w:rPr>
        <w:tab/>
      </w:r>
      <w:r w:rsidRPr="005F3871">
        <w:rPr>
          <w:i/>
          <w:iCs/>
          <w:lang w:val="en-US"/>
        </w:rPr>
        <w:t xml:space="preserve">Minister for Home Affairs v </w:t>
      </w:r>
      <w:r w:rsidRPr="005F3871">
        <w:rPr>
          <w:i/>
          <w:iCs/>
          <w:lang w:val="en-US"/>
        </w:rPr>
        <w:t>Benbrika</w:t>
      </w:r>
      <w:r>
        <w:rPr>
          <w:lang w:val="en-US"/>
        </w:rPr>
        <w:t xml:space="preserve"> [2020] VSC 888.</w:t>
      </w:r>
    </w:p>
  </w:endnote>
  <w:endnote w:id="69">
    <w:p w14:paraId="2A94BABE" w14:textId="77777777" w:rsidR="003C748C" w:rsidRPr="0058149B" w:rsidRDefault="003C748C" w:rsidP="003C748C">
      <w:pPr>
        <w:pStyle w:val="EndnoteText"/>
        <w:ind w:left="284" w:hanging="284"/>
        <w:rPr>
          <w:lang w:val="en-US"/>
        </w:rPr>
      </w:pPr>
      <w:r>
        <w:rPr>
          <w:rStyle w:val="EndnoteReference"/>
        </w:rPr>
        <w:endnoteRef/>
      </w:r>
      <w:r>
        <w:t xml:space="preserve"> </w:t>
      </w:r>
      <w:r>
        <w:rPr>
          <w:lang w:val="en-US"/>
        </w:rPr>
        <w:tab/>
      </w:r>
      <w:r w:rsidRPr="002D3562">
        <w:rPr>
          <w:i/>
          <w:iCs/>
          <w:lang w:val="en-US"/>
        </w:rPr>
        <w:t>Minister for Home Affairs v Pender</w:t>
      </w:r>
      <w:r>
        <w:rPr>
          <w:lang w:val="en-US"/>
        </w:rPr>
        <w:t xml:space="preserve"> </w:t>
      </w:r>
      <w:r w:rsidRPr="002D3562">
        <w:rPr>
          <w:lang w:val="en-US"/>
        </w:rPr>
        <w:t>[2021] NSWSC 1644</w:t>
      </w:r>
      <w:r>
        <w:rPr>
          <w:lang w:val="en-US"/>
        </w:rPr>
        <w:t>.</w:t>
      </w:r>
    </w:p>
  </w:endnote>
  <w:endnote w:id="70">
    <w:p w14:paraId="03C4A259" w14:textId="2D41C352" w:rsidR="00E266BB" w:rsidRDefault="00E266BB" w:rsidP="00E266BB">
      <w:pPr>
        <w:pStyle w:val="EndnoteText"/>
        <w:ind w:left="284" w:hanging="284"/>
      </w:pPr>
      <w:r>
        <w:rPr>
          <w:rStyle w:val="EndnoteReference"/>
        </w:rPr>
        <w:endnoteRef/>
      </w:r>
      <w:r>
        <w:t xml:space="preserve"> </w:t>
      </w:r>
      <w:r>
        <w:tab/>
      </w:r>
      <w:r w:rsidRPr="00A87ACA">
        <w:rPr>
          <w:i/>
          <w:iCs/>
        </w:rPr>
        <w:t>Attorney General of the Commonwealth of Australia v Pender (Final)</w:t>
      </w:r>
      <w:r w:rsidRPr="00A87ACA">
        <w:t xml:space="preserve"> [2022] NSWSC 1773</w:t>
      </w:r>
      <w:r>
        <w:t xml:space="preserve"> at [</w:t>
      </w:r>
      <w:r w:rsidR="00FC27C4">
        <w:t>116</w:t>
      </w:r>
      <w:r>
        <w:t>].</w:t>
      </w:r>
    </w:p>
  </w:endnote>
  <w:endnote w:id="71">
    <w:p w14:paraId="2ADADF8A" w14:textId="6BC20025" w:rsidR="009B2A89" w:rsidRDefault="009B2A89" w:rsidP="0002761D">
      <w:pPr>
        <w:pStyle w:val="EndnoteText"/>
        <w:ind w:left="284" w:hanging="284"/>
      </w:pPr>
      <w:r>
        <w:rPr>
          <w:rStyle w:val="EndnoteReference"/>
        </w:rPr>
        <w:endnoteRef/>
      </w:r>
      <w:r>
        <w:t xml:space="preserve"> </w:t>
      </w:r>
      <w:r>
        <w:tab/>
      </w:r>
      <w:r w:rsidRPr="00A87ACA">
        <w:rPr>
          <w:i/>
          <w:iCs/>
        </w:rPr>
        <w:t>Attorney General of the Commonwealth of Australia v Pender (Final)</w:t>
      </w:r>
      <w:r w:rsidRPr="00A87ACA">
        <w:t xml:space="preserve"> [2022] NSWSC 1773</w:t>
      </w:r>
      <w:r>
        <w:t xml:space="preserve"> at [</w:t>
      </w:r>
      <w:r w:rsidR="0071593D">
        <w:t>123</w:t>
      </w:r>
      <w:r w:rsidR="0002761D">
        <w:t>].</w:t>
      </w:r>
    </w:p>
  </w:endnote>
  <w:endnote w:id="72">
    <w:p w14:paraId="036DEBD0" w14:textId="5A6AAAB5" w:rsidR="00753D88" w:rsidRDefault="00753D88" w:rsidP="00753D88">
      <w:pPr>
        <w:pStyle w:val="EndnoteText"/>
        <w:ind w:left="284" w:hanging="284"/>
      </w:pPr>
      <w:r>
        <w:rPr>
          <w:rStyle w:val="EndnoteReference"/>
        </w:rPr>
        <w:endnoteRef/>
      </w:r>
      <w:r>
        <w:t xml:space="preserve"> </w:t>
      </w:r>
      <w:r>
        <w:tab/>
      </w:r>
      <w:r w:rsidRPr="00A87ACA">
        <w:rPr>
          <w:i/>
          <w:iCs/>
        </w:rPr>
        <w:t>Attorney General of the Commonwealth of Australia v Pender (Final)</w:t>
      </w:r>
      <w:r w:rsidRPr="00A87ACA">
        <w:t xml:space="preserve"> [2022] NSWSC 1773</w:t>
      </w:r>
      <w:r>
        <w:t xml:space="preserve"> at [126].</w:t>
      </w:r>
    </w:p>
  </w:endnote>
  <w:endnote w:id="73">
    <w:p w14:paraId="2C49FF52" w14:textId="5FD4E6D6" w:rsidR="003C6762" w:rsidRDefault="003C6762" w:rsidP="003C6762">
      <w:pPr>
        <w:pStyle w:val="EndnoteText"/>
        <w:ind w:left="284" w:hanging="284"/>
      </w:pPr>
      <w:r>
        <w:rPr>
          <w:rStyle w:val="EndnoteReference"/>
        </w:rPr>
        <w:endnoteRef/>
      </w:r>
      <w:r>
        <w:t xml:space="preserve"> </w:t>
      </w:r>
      <w:r>
        <w:tab/>
      </w:r>
      <w:r w:rsidRPr="00A87ACA">
        <w:rPr>
          <w:i/>
          <w:iCs/>
        </w:rPr>
        <w:t>Attorney General of the Commonwealth of Australia v Pender (Final)</w:t>
      </w:r>
      <w:r w:rsidRPr="00A87ACA">
        <w:t xml:space="preserve"> [2022] NSWSC 1773</w:t>
      </w:r>
      <w:r w:rsidR="00042C22">
        <w:t xml:space="preserve"> at [210]</w:t>
      </w:r>
      <w:r>
        <w:t>.</w:t>
      </w:r>
    </w:p>
  </w:endnote>
  <w:endnote w:id="74">
    <w:p w14:paraId="7D387962" w14:textId="6DEA6CB5" w:rsidR="00F86021" w:rsidRDefault="00F86021" w:rsidP="003B7E88">
      <w:pPr>
        <w:pStyle w:val="EndnoteText"/>
        <w:ind w:left="284" w:hanging="284"/>
      </w:pPr>
      <w:r>
        <w:rPr>
          <w:rStyle w:val="EndnoteReference"/>
        </w:rPr>
        <w:endnoteRef/>
      </w:r>
      <w:r>
        <w:t xml:space="preserve"> </w:t>
      </w:r>
      <w:r>
        <w:tab/>
        <w:t xml:space="preserve">Ellen </w:t>
      </w:r>
      <w:r>
        <w:t xml:space="preserve">Whinnett, </w:t>
      </w:r>
      <w:r>
        <w:t>‘</w:t>
      </w:r>
      <w:r w:rsidR="003B7E88">
        <w:t>”</w:t>
      </w:r>
      <w:r>
        <w:t>T</w:t>
      </w:r>
      <w:r w:rsidR="003B7E88">
        <w:t xml:space="preserve">innie terrorist” chief to walk free from jail’ </w:t>
      </w:r>
      <w:r w:rsidRPr="003B7E88">
        <w:rPr>
          <w:i/>
          <w:iCs/>
        </w:rPr>
        <w:t>The Australian</w:t>
      </w:r>
      <w:r>
        <w:t xml:space="preserve">, </w:t>
      </w:r>
      <w:r w:rsidR="003B7E88">
        <w:t>14 April 2023.</w:t>
      </w:r>
    </w:p>
  </w:endnote>
  <w:endnote w:id="75">
    <w:p w14:paraId="034DAEDD" w14:textId="30EFA6D6" w:rsidR="00535D29" w:rsidRDefault="00535D29" w:rsidP="006F5634">
      <w:pPr>
        <w:pStyle w:val="EndnoteText"/>
        <w:ind w:left="284" w:hanging="284"/>
      </w:pPr>
      <w:r>
        <w:rPr>
          <w:rStyle w:val="EndnoteReference"/>
        </w:rPr>
        <w:endnoteRef/>
      </w:r>
      <w:r>
        <w:t xml:space="preserve"> </w:t>
      </w:r>
      <w:r>
        <w:tab/>
        <w:t>INSLM</w:t>
      </w:r>
      <w:r w:rsidR="006F5634">
        <w:t xml:space="preserve"> Report at [312]</w:t>
      </w:r>
      <w:r w:rsidR="006F5634">
        <w:t>–[314].</w:t>
      </w:r>
    </w:p>
  </w:endnote>
  <w:endnote w:id="76">
    <w:p w14:paraId="7C2F8442" w14:textId="5C104AA8" w:rsidR="002626D6" w:rsidRDefault="002626D6" w:rsidP="002626D6">
      <w:pPr>
        <w:pStyle w:val="EndnoteText"/>
        <w:ind w:left="284" w:hanging="284"/>
      </w:pPr>
      <w:r>
        <w:rPr>
          <w:rStyle w:val="EndnoteReference"/>
        </w:rPr>
        <w:endnoteRef/>
      </w:r>
      <w:r>
        <w:t xml:space="preserve"> </w:t>
      </w:r>
      <w:r>
        <w:tab/>
        <w:t>INSLM Report at [335]</w:t>
      </w:r>
      <w:r w:rsidR="00FF7E5A">
        <w:t xml:space="preserve"> and [345]</w:t>
      </w:r>
      <w:r>
        <w:t>.</w:t>
      </w:r>
    </w:p>
  </w:endnote>
  <w:endnote w:id="77">
    <w:p w14:paraId="1B5AF488" w14:textId="779DC598" w:rsidR="00293E7A" w:rsidRDefault="00293E7A" w:rsidP="00293E7A">
      <w:pPr>
        <w:pStyle w:val="EndnoteText"/>
        <w:ind w:left="284" w:hanging="284"/>
      </w:pPr>
      <w:r>
        <w:rPr>
          <w:rStyle w:val="EndnoteReference"/>
        </w:rPr>
        <w:endnoteRef/>
      </w:r>
      <w:r>
        <w:t xml:space="preserve"> </w:t>
      </w:r>
      <w:r>
        <w:tab/>
        <w:t>AIC Report, p 20.</w:t>
      </w:r>
    </w:p>
  </w:endnote>
  <w:endnote w:id="78">
    <w:p w14:paraId="5C7709BC" w14:textId="378A4A47" w:rsidR="002D45A7" w:rsidRDefault="002D45A7" w:rsidP="001C32EA">
      <w:pPr>
        <w:pStyle w:val="EndnoteText"/>
        <w:ind w:left="284" w:hanging="284"/>
      </w:pPr>
      <w:r>
        <w:rPr>
          <w:rStyle w:val="EndnoteReference"/>
        </w:rPr>
        <w:endnoteRef/>
      </w:r>
      <w:r>
        <w:t xml:space="preserve"> </w:t>
      </w:r>
      <w:r>
        <w:tab/>
        <w:t xml:space="preserve">INSLM Report at </w:t>
      </w:r>
      <w:r w:rsidR="001C32EA">
        <w:t>[246]</w:t>
      </w:r>
      <w:r w:rsidR="001C32EA">
        <w:t>–[</w:t>
      </w:r>
      <w:r w:rsidR="00F375E4">
        <w:t>259</w:t>
      </w:r>
      <w:r w:rsidR="001C32EA">
        <w:t>].</w:t>
      </w:r>
    </w:p>
  </w:endnote>
  <w:endnote w:id="79">
    <w:p w14:paraId="52308733" w14:textId="3E12D4AD" w:rsidR="00DF2247" w:rsidRDefault="00DF2247" w:rsidP="00240C79">
      <w:pPr>
        <w:pStyle w:val="EndnoteText"/>
        <w:ind w:left="284" w:hanging="284"/>
      </w:pPr>
      <w:r>
        <w:rPr>
          <w:rStyle w:val="EndnoteReference"/>
        </w:rPr>
        <w:endnoteRef/>
      </w:r>
      <w:r>
        <w:t xml:space="preserve"> </w:t>
      </w:r>
      <w:r>
        <w:tab/>
        <w:t>INSLM Report at [</w:t>
      </w:r>
      <w:r w:rsidR="00651ED4">
        <w:t>140]</w:t>
      </w:r>
      <w:r w:rsidR="00651ED4">
        <w:t>–</w:t>
      </w:r>
      <w:r w:rsidR="00240C79">
        <w:t>[144]</w:t>
      </w:r>
      <w:r w:rsidR="00B42257">
        <w:t xml:space="preserve">, </w:t>
      </w:r>
      <w:r w:rsidR="007A4E5A">
        <w:t xml:space="preserve">referring to </w:t>
      </w:r>
      <w:r w:rsidR="007A4E5A" w:rsidRPr="007A4E5A">
        <w:t>s</w:t>
      </w:r>
      <w:r w:rsidR="007A4E5A">
        <w:t>s </w:t>
      </w:r>
      <w:r w:rsidR="007A4E5A" w:rsidRPr="007A4E5A">
        <w:t>105A.6B(1)(b) and (c)</w:t>
      </w:r>
      <w:r w:rsidR="007A4E5A">
        <w:t xml:space="preserve"> of the Criminal Code.</w:t>
      </w:r>
    </w:p>
  </w:endnote>
  <w:endnote w:id="80">
    <w:p w14:paraId="19258E58" w14:textId="7685A244" w:rsidR="00CD4421" w:rsidRDefault="00CD4421" w:rsidP="000B6F1B">
      <w:pPr>
        <w:pStyle w:val="EndnoteText"/>
        <w:ind w:left="284" w:hanging="284"/>
      </w:pPr>
      <w:r>
        <w:rPr>
          <w:rStyle w:val="EndnoteReference"/>
        </w:rPr>
        <w:endnoteRef/>
      </w:r>
      <w:r>
        <w:t xml:space="preserve"> </w:t>
      </w:r>
      <w:r>
        <w:tab/>
      </w:r>
      <w:r w:rsidR="004E2534">
        <w:t>Attorney-General’s Department</w:t>
      </w:r>
      <w:r w:rsidR="000B6F1B">
        <w:t>,</w:t>
      </w:r>
      <w:r w:rsidR="004E2534">
        <w:t xml:space="preserve"> </w:t>
      </w:r>
      <w:r w:rsidR="004E2534" w:rsidRPr="000B6F1B">
        <w:rPr>
          <w:i/>
          <w:iCs/>
        </w:rPr>
        <w:t>Supplementary Submission</w:t>
      </w:r>
      <w:r w:rsidR="000B6F1B" w:rsidRPr="000B6F1B">
        <w:rPr>
          <w:i/>
          <w:iCs/>
        </w:rPr>
        <w:t xml:space="preserve"> to the Independent National Security Legislation Monitor’s Review into Division 105A of the Criminal Code</w:t>
      </w:r>
      <w:r w:rsidR="000B6F1B">
        <w:t>, October 2022,</w:t>
      </w:r>
      <w:r w:rsidR="004E2534">
        <w:t xml:space="preserve"> </w:t>
      </w:r>
      <w:r w:rsidR="000B6F1B">
        <w:t>a</w:t>
      </w:r>
      <w:r>
        <w:t>t [107], referring to Criminal Code, s </w:t>
      </w:r>
      <w:r w:rsidR="004E2534">
        <w:t>105A.6B(3) and s 105A.13.</w:t>
      </w:r>
    </w:p>
  </w:endnote>
  <w:endnote w:id="81">
    <w:p w14:paraId="3D8578A0" w14:textId="533A0775" w:rsidR="00550023" w:rsidRDefault="00550023" w:rsidP="00550023">
      <w:pPr>
        <w:pStyle w:val="EndnoteText"/>
        <w:ind w:left="284" w:hanging="284"/>
      </w:pPr>
      <w:r>
        <w:rPr>
          <w:rStyle w:val="EndnoteReference"/>
        </w:rPr>
        <w:endnoteRef/>
      </w:r>
      <w:r>
        <w:t xml:space="preserve"> </w:t>
      </w:r>
      <w:r>
        <w:tab/>
      </w:r>
      <w:r>
        <w:rPr>
          <w:lang w:val="en-US"/>
        </w:rPr>
        <w:t xml:space="preserve">Australian Human Rights Commission, </w:t>
      </w:r>
      <w:r w:rsidRPr="00215EE4">
        <w:rPr>
          <w:i/>
          <w:iCs/>
          <w:lang w:val="en-US"/>
        </w:rPr>
        <w:t>Review into Division 105A of the Criminal Code (post sentence orders)</w:t>
      </w:r>
      <w:r>
        <w:rPr>
          <w:lang w:val="en-US"/>
        </w:rPr>
        <w:t>, s</w:t>
      </w:r>
      <w:r w:rsidRPr="000B6820">
        <w:rPr>
          <w:lang w:val="en-US"/>
        </w:rPr>
        <w:t xml:space="preserve">ubmission to the </w:t>
      </w:r>
      <w:r>
        <w:rPr>
          <w:lang w:val="en-US"/>
        </w:rPr>
        <w:t xml:space="preserve">INSLM, </w:t>
      </w:r>
      <w:r w:rsidRPr="000B6820">
        <w:rPr>
          <w:lang w:val="en-US"/>
        </w:rPr>
        <w:t>4 February 2022</w:t>
      </w:r>
      <w:r>
        <w:rPr>
          <w:lang w:val="en-US"/>
        </w:rPr>
        <w:t xml:space="preserve"> at [186]</w:t>
      </w:r>
      <w:r>
        <w:rPr>
          <w:lang w:val="en-US"/>
        </w:rPr>
        <w:t>–[</w:t>
      </w:r>
      <w:r w:rsidR="00095FF5">
        <w:rPr>
          <w:lang w:val="en-US"/>
        </w:rPr>
        <w:t>196</w:t>
      </w:r>
      <w:r>
        <w:rPr>
          <w:lang w:val="en-US"/>
        </w:rPr>
        <w:t>].</w:t>
      </w:r>
    </w:p>
  </w:endnote>
  <w:endnote w:id="82">
    <w:p w14:paraId="1A3CD868" w14:textId="348D4C6D" w:rsidR="00000E64" w:rsidRDefault="00000E64" w:rsidP="00000E64">
      <w:pPr>
        <w:pStyle w:val="EndnoteText"/>
        <w:ind w:left="284" w:hanging="284"/>
      </w:pPr>
      <w:r>
        <w:rPr>
          <w:rStyle w:val="EndnoteReference"/>
        </w:rPr>
        <w:endnoteRef/>
      </w:r>
      <w:r>
        <w:t xml:space="preserve"> </w:t>
      </w:r>
      <w:r>
        <w:tab/>
      </w:r>
      <w:r>
        <w:rPr>
          <w:lang w:val="en-US"/>
        </w:rPr>
        <w:t xml:space="preserve">Australian Human Rights Commission, </w:t>
      </w:r>
      <w:r w:rsidRPr="00215EE4">
        <w:rPr>
          <w:i/>
          <w:iCs/>
          <w:lang w:val="en-US"/>
        </w:rPr>
        <w:t>Review into Division 105A of the Criminal Code (post sentence orders)</w:t>
      </w:r>
      <w:r>
        <w:rPr>
          <w:lang w:val="en-US"/>
        </w:rPr>
        <w:t>, s</w:t>
      </w:r>
      <w:r w:rsidRPr="000B6820">
        <w:rPr>
          <w:lang w:val="en-US"/>
        </w:rPr>
        <w:t xml:space="preserve">ubmission to the </w:t>
      </w:r>
      <w:r>
        <w:rPr>
          <w:lang w:val="en-US"/>
        </w:rPr>
        <w:t xml:space="preserve">INSLM, </w:t>
      </w:r>
      <w:r w:rsidRPr="000B6820">
        <w:rPr>
          <w:lang w:val="en-US"/>
        </w:rPr>
        <w:t>4 February 2022</w:t>
      </w:r>
      <w:r>
        <w:rPr>
          <w:lang w:val="en-US"/>
        </w:rPr>
        <w:t xml:space="preserve"> at [211]</w:t>
      </w:r>
      <w:r>
        <w:rPr>
          <w:lang w:val="en-US"/>
        </w:rPr>
        <w:t>–[</w:t>
      </w:r>
      <w:r w:rsidR="00E9258B">
        <w:rPr>
          <w:lang w:val="en-US"/>
        </w:rPr>
        <w:t>219</w:t>
      </w:r>
      <w:r>
        <w:rPr>
          <w:lang w:val="en-US"/>
        </w:rPr>
        <w:t>].</w:t>
      </w:r>
    </w:p>
  </w:endnote>
  <w:endnote w:id="83">
    <w:p w14:paraId="68862227" w14:textId="209E836F" w:rsidR="003F5D4F" w:rsidRDefault="003F5D4F" w:rsidP="003F5D4F">
      <w:pPr>
        <w:pStyle w:val="EndnoteText"/>
        <w:ind w:left="284" w:hanging="284"/>
      </w:pPr>
      <w:r>
        <w:rPr>
          <w:rStyle w:val="EndnoteReference"/>
        </w:rPr>
        <w:endnoteRef/>
      </w:r>
      <w:r>
        <w:t xml:space="preserve"> </w:t>
      </w:r>
      <w:r>
        <w:tab/>
        <w:t xml:space="preserve">Kristen Bell, ‘Looking Outward: Enhancing Australia’s Deradicalisation and Disengagement Programs’ (2015) 11(2) Security Challenges 1 at 17, citing </w:t>
      </w:r>
      <w:r>
        <w:t xml:space="preserve">Tinka Veldhuis, </w:t>
      </w:r>
      <w:r w:rsidRPr="004B51C8">
        <w:rPr>
          <w:i/>
          <w:iCs/>
        </w:rPr>
        <w:t>Designing Rehabilitation and Reintegration Programmes for Violent Extremist Offenders: A Realist Approach</w:t>
      </w:r>
      <w:r>
        <w:t>, ICCT Research Paper (The Hague: International Centre for Counter Terrorism, 2012).</w:t>
      </w:r>
    </w:p>
  </w:endnote>
  <w:endnote w:id="84">
    <w:p w14:paraId="0AD3144E" w14:textId="276EC9E2" w:rsidR="00623DE8" w:rsidRDefault="00623DE8" w:rsidP="00623DE8">
      <w:pPr>
        <w:pStyle w:val="EndnoteText"/>
        <w:ind w:left="284" w:hanging="284"/>
      </w:pPr>
      <w:r>
        <w:rPr>
          <w:rStyle w:val="EndnoteReference"/>
        </w:rPr>
        <w:endnoteRef/>
      </w:r>
      <w:r>
        <w:t xml:space="preserve"> </w:t>
      </w:r>
      <w:r>
        <w:tab/>
      </w:r>
      <w:r>
        <w:rPr>
          <w:lang w:val="en-US"/>
        </w:rPr>
        <w:t xml:space="preserve">Australian Human Rights Commission, </w:t>
      </w:r>
      <w:r w:rsidRPr="00215EE4">
        <w:rPr>
          <w:i/>
          <w:iCs/>
          <w:lang w:val="en-US"/>
        </w:rPr>
        <w:t>Review into Division 105A of the Criminal Code (post sentence orders)</w:t>
      </w:r>
      <w:r>
        <w:rPr>
          <w:lang w:val="en-US"/>
        </w:rPr>
        <w:t>, s</w:t>
      </w:r>
      <w:r w:rsidRPr="000B6820">
        <w:rPr>
          <w:lang w:val="en-US"/>
        </w:rPr>
        <w:t xml:space="preserve">ubmission to the </w:t>
      </w:r>
      <w:r>
        <w:rPr>
          <w:lang w:val="en-US"/>
        </w:rPr>
        <w:t xml:space="preserve">INSLM, </w:t>
      </w:r>
      <w:r w:rsidRPr="000B6820">
        <w:rPr>
          <w:lang w:val="en-US"/>
        </w:rPr>
        <w:t>4 February 2022</w:t>
      </w:r>
      <w:r>
        <w:rPr>
          <w:lang w:val="en-US"/>
        </w:rPr>
        <w:t xml:space="preserve"> at [2</w:t>
      </w:r>
      <w:r w:rsidR="00C631F5">
        <w:rPr>
          <w:lang w:val="en-US"/>
        </w:rPr>
        <w:t>20</w:t>
      </w:r>
      <w:r>
        <w:rPr>
          <w:lang w:val="en-US"/>
        </w:rPr>
        <w:t>]</w:t>
      </w:r>
      <w:r>
        <w:rPr>
          <w:lang w:val="en-US"/>
        </w:rPr>
        <w:t>–[</w:t>
      </w:r>
      <w:r w:rsidR="00EE684A">
        <w:rPr>
          <w:lang w:val="en-US"/>
        </w:rPr>
        <w:t>228</w:t>
      </w:r>
      <w:r>
        <w:rPr>
          <w:lang w:val="en-US"/>
        </w:rPr>
        <w:t>].</w:t>
      </w:r>
    </w:p>
  </w:endnote>
  <w:endnote w:id="85">
    <w:p w14:paraId="0365FD51" w14:textId="674A0915" w:rsidR="00761968" w:rsidRDefault="00761968" w:rsidP="00A1413A">
      <w:pPr>
        <w:pStyle w:val="EndnoteText"/>
        <w:ind w:left="284" w:hanging="284"/>
      </w:pPr>
      <w:r>
        <w:rPr>
          <w:rStyle w:val="EndnoteReference"/>
        </w:rPr>
        <w:endnoteRef/>
      </w:r>
      <w:r>
        <w:t xml:space="preserve"> </w:t>
      </w:r>
      <w:r>
        <w:tab/>
      </w:r>
      <w:r>
        <w:rPr>
          <w:lang w:val="en-US"/>
        </w:rPr>
        <w:t xml:space="preserve">Australian Human Rights Commission, Review of Australian Federal Police Powers, submission to the PJCIS, 10 September 2020 at </w:t>
      </w:r>
      <w:r w:rsidR="00A1413A">
        <w:rPr>
          <w:lang w:val="en-US"/>
        </w:rPr>
        <w:t>[91] and Case study 1.</w:t>
      </w:r>
    </w:p>
  </w:endnote>
  <w:endnote w:id="86">
    <w:p w14:paraId="6AD64C71" w14:textId="5F34E316" w:rsidR="000245EC" w:rsidRDefault="000245EC" w:rsidP="000245EC">
      <w:pPr>
        <w:pStyle w:val="EndnoteText"/>
        <w:ind w:left="284" w:hanging="284"/>
      </w:pPr>
      <w:r>
        <w:rPr>
          <w:rStyle w:val="EndnoteReference"/>
        </w:rPr>
        <w:endnoteRef/>
      </w:r>
      <w:r>
        <w:t xml:space="preserve"> </w:t>
      </w:r>
      <w:r>
        <w:tab/>
        <w:t>INSLM Report at [455].</w:t>
      </w:r>
    </w:p>
  </w:endnote>
  <w:endnote w:id="87">
    <w:p w14:paraId="2FDE2920" w14:textId="3B972C79" w:rsidR="00423224" w:rsidRDefault="00423224" w:rsidP="00423224">
      <w:pPr>
        <w:pStyle w:val="EndnoteText"/>
        <w:ind w:left="284" w:hanging="284"/>
      </w:pPr>
      <w:r>
        <w:rPr>
          <w:rStyle w:val="EndnoteReference"/>
        </w:rPr>
        <w:endnoteRef/>
      </w:r>
      <w:r>
        <w:t xml:space="preserve"> </w:t>
      </w:r>
      <w:r>
        <w:tab/>
      </w:r>
      <w:r>
        <w:rPr>
          <w:lang w:val="en-US"/>
        </w:rPr>
        <w:t xml:space="preserve">Australian Human Rights Commission, </w:t>
      </w:r>
      <w:r w:rsidRPr="00215EE4">
        <w:rPr>
          <w:i/>
          <w:iCs/>
          <w:lang w:val="en-US"/>
        </w:rPr>
        <w:t>Review into Division 105A of the Criminal Code (post sentence orders)</w:t>
      </w:r>
      <w:r>
        <w:rPr>
          <w:lang w:val="en-US"/>
        </w:rPr>
        <w:t>, s</w:t>
      </w:r>
      <w:r w:rsidRPr="000B6820">
        <w:rPr>
          <w:lang w:val="en-US"/>
        </w:rPr>
        <w:t xml:space="preserve">ubmission to the </w:t>
      </w:r>
      <w:r>
        <w:rPr>
          <w:lang w:val="en-US"/>
        </w:rPr>
        <w:t xml:space="preserve">INSLM, </w:t>
      </w:r>
      <w:r w:rsidRPr="000B6820">
        <w:rPr>
          <w:lang w:val="en-US"/>
        </w:rPr>
        <w:t>4 February 2022</w:t>
      </w:r>
      <w:r>
        <w:rPr>
          <w:lang w:val="en-US"/>
        </w:rPr>
        <w:t xml:space="preserve"> at [246]</w:t>
      </w:r>
      <w:r>
        <w:rPr>
          <w:lang w:val="en-US"/>
        </w:rPr>
        <w:t>–[262].</w:t>
      </w:r>
    </w:p>
  </w:endnote>
  <w:endnote w:id="88">
    <w:p w14:paraId="75D02D51" w14:textId="69473399" w:rsidR="00D4628B" w:rsidRDefault="00D4628B" w:rsidP="00EA5D09">
      <w:pPr>
        <w:pStyle w:val="EndnoteText"/>
        <w:ind w:left="284" w:hanging="284"/>
      </w:pPr>
      <w:r>
        <w:rPr>
          <w:rStyle w:val="EndnoteReference"/>
        </w:rPr>
        <w:endnoteRef/>
      </w:r>
      <w:r>
        <w:t xml:space="preserve"> </w:t>
      </w:r>
      <w:r>
        <w:tab/>
        <w:t>INSLM Report at [453].</w:t>
      </w:r>
    </w:p>
  </w:endnote>
  <w:endnote w:id="89">
    <w:p w14:paraId="20B09942" w14:textId="708458AF" w:rsidR="00DC3243" w:rsidRDefault="00DC3243" w:rsidP="00DC3243">
      <w:pPr>
        <w:pStyle w:val="EndnoteText"/>
        <w:ind w:left="284" w:hanging="284"/>
      </w:pPr>
      <w:r>
        <w:rPr>
          <w:rStyle w:val="EndnoteReference"/>
        </w:rPr>
        <w:endnoteRef/>
      </w:r>
      <w:r>
        <w:t xml:space="preserve"> </w:t>
      </w:r>
      <w:r>
        <w:tab/>
        <w:t xml:space="preserve">Risk Management Authority, </w:t>
      </w:r>
      <w:r w:rsidRPr="00DC3243">
        <w:rPr>
          <w:i/>
          <w:iCs/>
        </w:rPr>
        <w:t>Risk Assessment Tools Evaluation Directory</w:t>
      </w:r>
      <w:r>
        <w:t xml:space="preserve">, at </w:t>
      </w:r>
      <w:hyperlink r:id="rId16" w:history="1">
        <w:r w:rsidRPr="009A0D94">
          <w:rPr>
            <w:rStyle w:val="Hyperlink"/>
          </w:rPr>
          <w:t>https://www.rma.scot/research/rated/</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89B1" w14:textId="77777777" w:rsidR="00F52828" w:rsidRPr="000465F1" w:rsidRDefault="00F52828" w:rsidP="000465F1">
    <w:pPr>
      <w:pStyle w:val="Footer"/>
    </w:pPr>
    <w:r w:rsidRPr="000465F1">
      <w:t>ABN 47 996 232 602</w:t>
    </w:r>
  </w:p>
  <w:p w14:paraId="0737FBC8" w14:textId="77777777" w:rsidR="00F52828" w:rsidRPr="000465F1" w:rsidRDefault="00F52828" w:rsidP="000465F1">
    <w:pPr>
      <w:pStyle w:val="Footer"/>
    </w:pPr>
    <w:r w:rsidRPr="000465F1">
      <w:t>Level 3, 175 Pitt Street, Sydney NSW 2000</w:t>
    </w:r>
  </w:p>
  <w:p w14:paraId="09C2EF24" w14:textId="77777777" w:rsidR="00F52828" w:rsidRPr="000465F1" w:rsidRDefault="00F52828" w:rsidP="000465F1">
    <w:pPr>
      <w:pStyle w:val="Footer"/>
    </w:pPr>
    <w:r w:rsidRPr="000465F1">
      <w:t>GPO Box 5218, Sydney NSW 2001</w:t>
    </w:r>
  </w:p>
  <w:p w14:paraId="165CF67F" w14:textId="77777777" w:rsidR="00F52828" w:rsidRPr="000465F1" w:rsidRDefault="00F52828" w:rsidP="000465F1">
    <w:pPr>
      <w:pStyle w:val="Footer"/>
    </w:pPr>
    <w:r w:rsidRPr="000465F1">
      <w:t>General enquiries 1300 369 711</w:t>
    </w:r>
  </w:p>
  <w:p w14:paraId="07692561" w14:textId="77777777" w:rsidR="00F52828" w:rsidRPr="000465F1" w:rsidRDefault="00F52828" w:rsidP="000465F1">
    <w:pPr>
      <w:pStyle w:val="Footer"/>
    </w:pPr>
    <w:r>
      <w:t xml:space="preserve">National Information Service </w:t>
    </w:r>
    <w:r w:rsidRPr="000465F1">
      <w:t>1300 656 419</w:t>
    </w:r>
  </w:p>
  <w:p w14:paraId="67CBB967" w14:textId="77777777" w:rsidR="00F52828" w:rsidRPr="000465F1" w:rsidRDefault="00F52828" w:rsidP="000465F1">
    <w:pPr>
      <w:pStyle w:val="Footer"/>
    </w:pPr>
    <w:r w:rsidRPr="000465F1">
      <w:t>TTY 1800 620 241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8343" w14:textId="77777777" w:rsidR="000E69B0" w:rsidRDefault="000E69B0" w:rsidP="00F14C6D">
      <w:r>
        <w:separator/>
      </w:r>
    </w:p>
  </w:footnote>
  <w:footnote w:type="continuationSeparator" w:id="0">
    <w:p w14:paraId="5F6B9508" w14:textId="77777777" w:rsidR="000E69B0" w:rsidRDefault="000E69B0" w:rsidP="00F14C6D">
      <w:r>
        <w:continuationSeparator/>
      </w:r>
    </w:p>
  </w:footnote>
  <w:footnote w:type="continuationNotice" w:id="1">
    <w:p w14:paraId="0870AAF8" w14:textId="77777777" w:rsidR="000E69B0" w:rsidRDefault="000E69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8C1" w14:textId="2AC372EA" w:rsidR="00F52828" w:rsidRPr="000465F1" w:rsidRDefault="00000000" w:rsidP="000465F1">
    <w:pPr>
      <w:pStyle w:val="Header"/>
    </w:pPr>
    <w:r>
      <w:pict w14:anchorId="0D9B4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9"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C6B2DA9" w14:textId="77777777" w:rsidR="00F52828" w:rsidRPr="00622508" w:rsidRDefault="00F52828"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E94" w14:textId="271C324F" w:rsidR="00F52828" w:rsidRPr="000465F1" w:rsidRDefault="00000000" w:rsidP="000465F1">
    <w:r>
      <w:pict w14:anchorId="303AE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30"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52828" w:rsidRPr="000465F1">
      <w:t>Australian Human Rights Commission</w:t>
    </w:r>
  </w:p>
  <w:p w14:paraId="2BCD59FA" w14:textId="77777777" w:rsidR="00F52828" w:rsidRPr="000465F1" w:rsidRDefault="00F52828"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AB38" w14:textId="6BD1B0A8" w:rsidR="00F52828" w:rsidRDefault="00000000" w:rsidP="002012F7">
    <w:pPr>
      <w:pStyle w:val="Header"/>
    </w:pPr>
    <w:r>
      <w:pict w14:anchorId="7505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31"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70D14E93">
        <v:shape id="WordPictureWatermark1034832" o:spid="_x0000_s1032"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69786280" w14:textId="77777777" w:rsidR="00F52828" w:rsidRDefault="00F52828" w:rsidP="002012F7">
    <w:pPr>
      <w:pStyle w:val="Header"/>
    </w:pPr>
  </w:p>
  <w:p w14:paraId="4A67CA6D" w14:textId="77777777" w:rsidR="00F52828" w:rsidRDefault="00F52828"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5BDE" w14:textId="77777777" w:rsidR="00F52828" w:rsidRPr="000465F1" w:rsidRDefault="00F52828" w:rsidP="00CA5D90">
    <w:pPr>
      <w:pStyle w:val="Header"/>
    </w:pPr>
    <w:r w:rsidRPr="000465F1">
      <w:t>Australian Human Rights Commission</w:t>
    </w:r>
  </w:p>
  <w:p w14:paraId="0267952A" w14:textId="667EB547" w:rsidR="00F52828" w:rsidRDefault="00032E6F" w:rsidP="00024C33">
    <w:pPr>
      <w:pStyle w:val="HeaderDocumentDate"/>
    </w:pPr>
    <w:r>
      <w:rPr>
        <w:b/>
        <w:bCs/>
        <w:noProof/>
      </w:rPr>
      <w:t>Review into Division 105A of the Criminal Code</w:t>
    </w:r>
    <w:r w:rsidRPr="001F62CC">
      <w:rPr>
        <w:rStyle w:val="HeaderDocumentTitle"/>
      </w:rPr>
      <w:t>,</w:t>
    </w:r>
    <w:r>
      <w:t xml:space="preserve"> </w:t>
    </w:r>
    <w:r w:rsidR="008D119A">
      <w:t>23 June 2023</w:t>
    </w:r>
  </w:p>
  <w:p w14:paraId="1E60EFF4" w14:textId="77777777" w:rsidR="006B7E9D" w:rsidRDefault="006B7E9D" w:rsidP="00024C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3B0F" w14:textId="77777777" w:rsidR="00F52828" w:rsidRPr="000465F1" w:rsidRDefault="00F52828" w:rsidP="0063009F">
    <w:pPr>
      <w:pStyle w:val="Header"/>
    </w:pPr>
    <w:r w:rsidRPr="000465F1">
      <w:t>Australian Human Rights Commission</w:t>
    </w:r>
  </w:p>
  <w:p w14:paraId="32CD6F43" w14:textId="22EEDA10" w:rsidR="00F52828" w:rsidRPr="000465F1" w:rsidRDefault="00032E6F" w:rsidP="00525EFA">
    <w:pPr>
      <w:pStyle w:val="HeaderDocumentDate"/>
      <w:ind w:left="851"/>
    </w:pPr>
    <w:r>
      <w:rPr>
        <w:b/>
        <w:bCs/>
        <w:noProof/>
      </w:rPr>
      <w:t>Review into Division 105A of the Criminal Code</w:t>
    </w:r>
    <w:r w:rsidRPr="001F62CC">
      <w:rPr>
        <w:rStyle w:val="HeaderDocumentTitle"/>
      </w:rPr>
      <w:t>,</w:t>
    </w:r>
    <w:r>
      <w:t xml:space="preserve"> </w:t>
    </w:r>
    <w:r w:rsidR="008D119A">
      <w:t>23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B0C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18333D2"/>
    <w:multiLevelType w:val="hybridMultilevel"/>
    <w:tmpl w:val="9E9A1856"/>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1" w15:restartNumberingAfterBreak="0">
    <w:nsid w:val="05926BD7"/>
    <w:multiLevelType w:val="hybridMultilevel"/>
    <w:tmpl w:val="D18C9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3113F7"/>
    <w:multiLevelType w:val="hybridMultilevel"/>
    <w:tmpl w:val="71C29A04"/>
    <w:lvl w:ilvl="0" w:tplc="FFFFFFFF">
      <w:start w:val="1"/>
      <w:numFmt w:val="lowerLetter"/>
      <w:lvlText w:val="(%1)"/>
      <w:lvlJc w:val="left"/>
      <w:pPr>
        <w:ind w:left="1800" w:hanging="72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79594D"/>
    <w:multiLevelType w:val="hybridMultilevel"/>
    <w:tmpl w:val="4F781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865B45"/>
    <w:multiLevelType w:val="hybridMultilevel"/>
    <w:tmpl w:val="42BA4A74"/>
    <w:lvl w:ilvl="0" w:tplc="04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629" w:hanging="360"/>
      </w:pPr>
      <w:rPr>
        <w:rFonts w:ascii="Courier New" w:hAnsi="Courier New" w:cs="Courier New" w:hint="default"/>
      </w:rPr>
    </w:lvl>
    <w:lvl w:ilvl="2" w:tplc="0C090005" w:tentative="1">
      <w:start w:val="1"/>
      <w:numFmt w:val="bullet"/>
      <w:lvlText w:val=""/>
      <w:lvlJc w:val="left"/>
      <w:pPr>
        <w:ind w:left="1349" w:hanging="360"/>
      </w:pPr>
      <w:rPr>
        <w:rFonts w:ascii="Wingdings" w:hAnsi="Wingdings" w:hint="default"/>
      </w:rPr>
    </w:lvl>
    <w:lvl w:ilvl="3" w:tplc="0C090001" w:tentative="1">
      <w:start w:val="1"/>
      <w:numFmt w:val="bullet"/>
      <w:lvlText w:val=""/>
      <w:lvlJc w:val="left"/>
      <w:pPr>
        <w:ind w:left="2069" w:hanging="360"/>
      </w:pPr>
      <w:rPr>
        <w:rFonts w:ascii="Symbol" w:hAnsi="Symbol" w:hint="default"/>
      </w:rPr>
    </w:lvl>
    <w:lvl w:ilvl="4" w:tplc="0C090003" w:tentative="1">
      <w:start w:val="1"/>
      <w:numFmt w:val="bullet"/>
      <w:lvlText w:val="o"/>
      <w:lvlJc w:val="left"/>
      <w:pPr>
        <w:ind w:left="2789" w:hanging="360"/>
      </w:pPr>
      <w:rPr>
        <w:rFonts w:ascii="Courier New" w:hAnsi="Courier New" w:cs="Courier New" w:hint="default"/>
      </w:rPr>
    </w:lvl>
    <w:lvl w:ilvl="5" w:tplc="0C090005" w:tentative="1">
      <w:start w:val="1"/>
      <w:numFmt w:val="bullet"/>
      <w:lvlText w:val=""/>
      <w:lvlJc w:val="left"/>
      <w:pPr>
        <w:ind w:left="3509" w:hanging="360"/>
      </w:pPr>
      <w:rPr>
        <w:rFonts w:ascii="Wingdings" w:hAnsi="Wingdings" w:hint="default"/>
      </w:rPr>
    </w:lvl>
    <w:lvl w:ilvl="6" w:tplc="0C090001" w:tentative="1">
      <w:start w:val="1"/>
      <w:numFmt w:val="bullet"/>
      <w:lvlText w:val=""/>
      <w:lvlJc w:val="left"/>
      <w:pPr>
        <w:ind w:left="4229" w:hanging="360"/>
      </w:pPr>
      <w:rPr>
        <w:rFonts w:ascii="Symbol" w:hAnsi="Symbol" w:hint="default"/>
      </w:rPr>
    </w:lvl>
    <w:lvl w:ilvl="7" w:tplc="0C090003" w:tentative="1">
      <w:start w:val="1"/>
      <w:numFmt w:val="bullet"/>
      <w:lvlText w:val="o"/>
      <w:lvlJc w:val="left"/>
      <w:pPr>
        <w:ind w:left="4949" w:hanging="360"/>
      </w:pPr>
      <w:rPr>
        <w:rFonts w:ascii="Courier New" w:hAnsi="Courier New" w:cs="Courier New" w:hint="default"/>
      </w:rPr>
    </w:lvl>
    <w:lvl w:ilvl="8" w:tplc="0C090005" w:tentative="1">
      <w:start w:val="1"/>
      <w:numFmt w:val="bullet"/>
      <w:lvlText w:val=""/>
      <w:lvlJc w:val="left"/>
      <w:pPr>
        <w:ind w:left="5669" w:hanging="360"/>
      </w:pPr>
      <w:rPr>
        <w:rFonts w:ascii="Wingdings" w:hAnsi="Wingdings" w:hint="default"/>
      </w:rPr>
    </w:lvl>
  </w:abstractNum>
  <w:abstractNum w:abstractNumId="15" w15:restartNumberingAfterBreak="0">
    <w:nsid w:val="14263BBC"/>
    <w:multiLevelType w:val="hybridMultilevel"/>
    <w:tmpl w:val="C498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F2C06B3"/>
    <w:multiLevelType w:val="hybridMultilevel"/>
    <w:tmpl w:val="504E401E"/>
    <w:lvl w:ilvl="0" w:tplc="0D7254BE">
      <w:numFmt w:val="bullet"/>
      <w:lvlText w:val=""/>
      <w:lvlJc w:val="left"/>
      <w:pPr>
        <w:ind w:left="1454" w:hanging="360"/>
      </w:pPr>
      <w:rPr>
        <w:rFonts w:ascii="Symbol" w:eastAsia="MS Mincho" w:hAnsi="Symbol" w:cs="Times New Roman" w:hint="default"/>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BF7DB4"/>
    <w:multiLevelType w:val="hybridMultilevel"/>
    <w:tmpl w:val="7B5CE302"/>
    <w:lvl w:ilvl="0" w:tplc="04090001">
      <w:start w:val="1"/>
      <w:numFmt w:val="bullet"/>
      <w:lvlText w:val=""/>
      <w:lvlJc w:val="left"/>
      <w:pPr>
        <w:ind w:left="1454" w:hanging="360"/>
      </w:pPr>
      <w:rPr>
        <w:rFonts w:ascii="Symbol" w:hAnsi="Symbol" w:hint="default"/>
      </w:rPr>
    </w:lvl>
    <w:lvl w:ilvl="1" w:tplc="04090003">
      <w:start w:val="1"/>
      <w:numFmt w:val="bullet"/>
      <w:lvlText w:val="o"/>
      <w:lvlJc w:val="left"/>
      <w:pPr>
        <w:ind w:left="2174" w:hanging="360"/>
      </w:pPr>
      <w:rPr>
        <w:rFonts w:ascii="Courier New" w:hAnsi="Courier New" w:cs="Courier New" w:hint="default"/>
      </w:rPr>
    </w:lvl>
    <w:lvl w:ilvl="2" w:tplc="04090005">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1" w15:restartNumberingAfterBreak="0">
    <w:nsid w:val="4894232A"/>
    <w:multiLevelType w:val="hybridMultilevel"/>
    <w:tmpl w:val="8346A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B330FF4"/>
    <w:multiLevelType w:val="hybridMultilevel"/>
    <w:tmpl w:val="71C29A04"/>
    <w:lvl w:ilvl="0" w:tplc="AA90FFB6">
      <w:start w:val="1"/>
      <w:numFmt w:val="lowerLetter"/>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8654555"/>
    <w:multiLevelType w:val="hybridMultilevel"/>
    <w:tmpl w:val="02445B1C"/>
    <w:lvl w:ilvl="0" w:tplc="F004733A">
      <w:start w:val="4"/>
      <w:numFmt w:val="bullet"/>
      <w:lvlText w:val=""/>
      <w:lvlJc w:val="left"/>
      <w:pPr>
        <w:ind w:left="1454" w:hanging="360"/>
      </w:pPr>
      <w:rPr>
        <w:rFonts w:ascii="Symbol" w:eastAsia="MS Mincho" w:hAnsi="Symbol" w:cs="Times New Roman"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6" w15:restartNumberingAfterBreak="0">
    <w:nsid w:val="74884DC7"/>
    <w:multiLevelType w:val="hybridMultilevel"/>
    <w:tmpl w:val="41D4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F20D1"/>
    <w:multiLevelType w:val="hybridMultilevel"/>
    <w:tmpl w:val="0B287286"/>
    <w:lvl w:ilvl="0" w:tplc="F042A158">
      <w:start w:val="1"/>
      <w:numFmt w:val="lowerLetter"/>
      <w:lvlText w:val="(%1)"/>
      <w:lvlJc w:val="left"/>
      <w:pPr>
        <w:ind w:left="1454" w:hanging="360"/>
      </w:pPr>
      <w:rPr>
        <w:rFonts w:ascii="Open Sans" w:eastAsia="MS Mincho" w:hAnsi="Open Sans" w:cs="Times New Roman"/>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8" w15:restartNumberingAfterBreak="0">
    <w:nsid w:val="798B13DB"/>
    <w:multiLevelType w:val="hybridMultilevel"/>
    <w:tmpl w:val="C660F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94283035">
    <w:abstractNumId w:val="22"/>
  </w:num>
  <w:num w:numId="2" w16cid:durableId="135100806">
    <w:abstractNumId w:val="9"/>
  </w:num>
  <w:num w:numId="3" w16cid:durableId="1211527996">
    <w:abstractNumId w:val="7"/>
  </w:num>
  <w:num w:numId="4" w16cid:durableId="817500487">
    <w:abstractNumId w:val="6"/>
  </w:num>
  <w:num w:numId="5" w16cid:durableId="368647463">
    <w:abstractNumId w:val="5"/>
  </w:num>
  <w:num w:numId="6" w16cid:durableId="889731906">
    <w:abstractNumId w:val="4"/>
  </w:num>
  <w:num w:numId="7" w16cid:durableId="646210033">
    <w:abstractNumId w:val="8"/>
  </w:num>
  <w:num w:numId="8" w16cid:durableId="410549088">
    <w:abstractNumId w:val="1"/>
  </w:num>
  <w:num w:numId="9" w16cid:durableId="1621304279">
    <w:abstractNumId w:val="0"/>
  </w:num>
  <w:num w:numId="10" w16cid:durableId="671875289">
    <w:abstractNumId w:val="3"/>
  </w:num>
  <w:num w:numId="11" w16cid:durableId="1114833030">
    <w:abstractNumId w:val="2"/>
  </w:num>
  <w:num w:numId="12" w16cid:durableId="384371554">
    <w:abstractNumId w:val="23"/>
  </w:num>
  <w:num w:numId="13" w16cid:durableId="654796269">
    <w:abstractNumId w:val="19"/>
  </w:num>
  <w:num w:numId="14" w16cid:durableId="800419653">
    <w:abstractNumId w:val="18"/>
  </w:num>
  <w:num w:numId="15" w16cid:durableId="1965891469">
    <w:abstractNumId w:val="16"/>
  </w:num>
  <w:num w:numId="16" w16cid:durableId="46801601">
    <w:abstractNumId w:val="17"/>
  </w:num>
  <w:num w:numId="17" w16cid:durableId="1015303878">
    <w:abstractNumId w:val="13"/>
  </w:num>
  <w:num w:numId="18" w16cid:durableId="485974617">
    <w:abstractNumId w:val="27"/>
  </w:num>
  <w:num w:numId="19" w16cid:durableId="115686560">
    <w:abstractNumId w:val="25"/>
  </w:num>
  <w:num w:numId="20" w16cid:durableId="1161313566">
    <w:abstractNumId w:val="20"/>
  </w:num>
  <w:num w:numId="21" w16cid:durableId="1501315835">
    <w:abstractNumId w:val="14"/>
  </w:num>
  <w:num w:numId="22" w16cid:durableId="9571908">
    <w:abstractNumId w:val="10"/>
  </w:num>
  <w:num w:numId="23" w16cid:durableId="328338673">
    <w:abstractNumId w:val="3"/>
  </w:num>
  <w:num w:numId="24" w16cid:durableId="1563517151">
    <w:abstractNumId w:val="24"/>
  </w:num>
  <w:num w:numId="25" w16cid:durableId="504831047">
    <w:abstractNumId w:val="12"/>
  </w:num>
  <w:num w:numId="26" w16cid:durableId="1119184113">
    <w:abstractNumId w:val="15"/>
  </w:num>
  <w:num w:numId="27" w16cid:durableId="948203869">
    <w:abstractNumId w:val="22"/>
  </w:num>
  <w:num w:numId="28" w16cid:durableId="13776926">
    <w:abstractNumId w:val="21"/>
  </w:num>
  <w:num w:numId="29" w16cid:durableId="914969058">
    <w:abstractNumId w:val="11"/>
  </w:num>
  <w:num w:numId="30" w16cid:durableId="1126585498">
    <w:abstractNumId w:val="26"/>
  </w:num>
  <w:num w:numId="31" w16cid:durableId="1543667386">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A"/>
    <w:rsid w:val="00000602"/>
    <w:rsid w:val="00000E64"/>
    <w:rsid w:val="000015EC"/>
    <w:rsid w:val="000031D3"/>
    <w:rsid w:val="00003380"/>
    <w:rsid w:val="00003AE8"/>
    <w:rsid w:val="00003EA5"/>
    <w:rsid w:val="0000452F"/>
    <w:rsid w:val="00004614"/>
    <w:rsid w:val="0000464A"/>
    <w:rsid w:val="00004A16"/>
    <w:rsid w:val="00004F05"/>
    <w:rsid w:val="000053DE"/>
    <w:rsid w:val="0000549B"/>
    <w:rsid w:val="00005D96"/>
    <w:rsid w:val="00005FC2"/>
    <w:rsid w:val="00006CFC"/>
    <w:rsid w:val="000073BA"/>
    <w:rsid w:val="00007AD6"/>
    <w:rsid w:val="00010258"/>
    <w:rsid w:val="0001041F"/>
    <w:rsid w:val="000107EA"/>
    <w:rsid w:val="00010B84"/>
    <w:rsid w:val="00010C5C"/>
    <w:rsid w:val="000110FC"/>
    <w:rsid w:val="00011639"/>
    <w:rsid w:val="00012465"/>
    <w:rsid w:val="0001263D"/>
    <w:rsid w:val="00012685"/>
    <w:rsid w:val="00012708"/>
    <w:rsid w:val="000127B3"/>
    <w:rsid w:val="00012C5B"/>
    <w:rsid w:val="00012EC3"/>
    <w:rsid w:val="00013298"/>
    <w:rsid w:val="0001339D"/>
    <w:rsid w:val="0001364B"/>
    <w:rsid w:val="00013CF7"/>
    <w:rsid w:val="000153F2"/>
    <w:rsid w:val="00015553"/>
    <w:rsid w:val="00015706"/>
    <w:rsid w:val="0001574B"/>
    <w:rsid w:val="000161C2"/>
    <w:rsid w:val="000161FA"/>
    <w:rsid w:val="000163D4"/>
    <w:rsid w:val="000164D3"/>
    <w:rsid w:val="00016614"/>
    <w:rsid w:val="000167C2"/>
    <w:rsid w:val="00016B90"/>
    <w:rsid w:val="0001716E"/>
    <w:rsid w:val="00017C6B"/>
    <w:rsid w:val="00020A17"/>
    <w:rsid w:val="00021A1B"/>
    <w:rsid w:val="000221DF"/>
    <w:rsid w:val="000226D9"/>
    <w:rsid w:val="00022B67"/>
    <w:rsid w:val="00022C07"/>
    <w:rsid w:val="00022EDA"/>
    <w:rsid w:val="000243C0"/>
    <w:rsid w:val="000245EC"/>
    <w:rsid w:val="000246AE"/>
    <w:rsid w:val="0002476A"/>
    <w:rsid w:val="00024B8F"/>
    <w:rsid w:val="00024C33"/>
    <w:rsid w:val="00024C88"/>
    <w:rsid w:val="000253CE"/>
    <w:rsid w:val="00025994"/>
    <w:rsid w:val="00025B66"/>
    <w:rsid w:val="00026C00"/>
    <w:rsid w:val="00027181"/>
    <w:rsid w:val="00027240"/>
    <w:rsid w:val="0002761D"/>
    <w:rsid w:val="00027D9D"/>
    <w:rsid w:val="00027E26"/>
    <w:rsid w:val="00030335"/>
    <w:rsid w:val="00030522"/>
    <w:rsid w:val="00030FFB"/>
    <w:rsid w:val="000317AF"/>
    <w:rsid w:val="000318DB"/>
    <w:rsid w:val="00032107"/>
    <w:rsid w:val="00032373"/>
    <w:rsid w:val="00032380"/>
    <w:rsid w:val="00032C6D"/>
    <w:rsid w:val="00032E6F"/>
    <w:rsid w:val="000331EA"/>
    <w:rsid w:val="000337D0"/>
    <w:rsid w:val="0003419D"/>
    <w:rsid w:val="000360FD"/>
    <w:rsid w:val="00036820"/>
    <w:rsid w:val="00036AA0"/>
    <w:rsid w:val="00036AC4"/>
    <w:rsid w:val="00036BE4"/>
    <w:rsid w:val="00036F42"/>
    <w:rsid w:val="000374DF"/>
    <w:rsid w:val="000402A6"/>
    <w:rsid w:val="00040461"/>
    <w:rsid w:val="00040B1D"/>
    <w:rsid w:val="00040C96"/>
    <w:rsid w:val="00040DA8"/>
    <w:rsid w:val="00040ED4"/>
    <w:rsid w:val="000410D4"/>
    <w:rsid w:val="00041406"/>
    <w:rsid w:val="0004157A"/>
    <w:rsid w:val="00041745"/>
    <w:rsid w:val="00041BF0"/>
    <w:rsid w:val="00042081"/>
    <w:rsid w:val="000421EE"/>
    <w:rsid w:val="0004232B"/>
    <w:rsid w:val="0004276C"/>
    <w:rsid w:val="00042C22"/>
    <w:rsid w:val="000430B8"/>
    <w:rsid w:val="000448DF"/>
    <w:rsid w:val="0004509C"/>
    <w:rsid w:val="000456CF"/>
    <w:rsid w:val="00045712"/>
    <w:rsid w:val="00045C4B"/>
    <w:rsid w:val="000461C1"/>
    <w:rsid w:val="00046291"/>
    <w:rsid w:val="000465F1"/>
    <w:rsid w:val="000508C0"/>
    <w:rsid w:val="00050C5F"/>
    <w:rsid w:val="000520B7"/>
    <w:rsid w:val="00052329"/>
    <w:rsid w:val="00052430"/>
    <w:rsid w:val="000526A8"/>
    <w:rsid w:val="0005271E"/>
    <w:rsid w:val="00052816"/>
    <w:rsid w:val="00052B9E"/>
    <w:rsid w:val="00053DF4"/>
    <w:rsid w:val="000542E7"/>
    <w:rsid w:val="0005507E"/>
    <w:rsid w:val="0005529B"/>
    <w:rsid w:val="000561CC"/>
    <w:rsid w:val="000565B8"/>
    <w:rsid w:val="00056C00"/>
    <w:rsid w:val="00056CF3"/>
    <w:rsid w:val="00057106"/>
    <w:rsid w:val="00057467"/>
    <w:rsid w:val="00057700"/>
    <w:rsid w:val="000579B1"/>
    <w:rsid w:val="00057C4D"/>
    <w:rsid w:val="00057E8E"/>
    <w:rsid w:val="00060FD1"/>
    <w:rsid w:val="00061C6C"/>
    <w:rsid w:val="0006251C"/>
    <w:rsid w:val="00062556"/>
    <w:rsid w:val="00063025"/>
    <w:rsid w:val="00063691"/>
    <w:rsid w:val="00063C1D"/>
    <w:rsid w:val="00063C20"/>
    <w:rsid w:val="0006421B"/>
    <w:rsid w:val="000648AE"/>
    <w:rsid w:val="00064ABC"/>
    <w:rsid w:val="00064C6C"/>
    <w:rsid w:val="000656E1"/>
    <w:rsid w:val="00065C57"/>
    <w:rsid w:val="00065C69"/>
    <w:rsid w:val="00065E5A"/>
    <w:rsid w:val="00065FDA"/>
    <w:rsid w:val="000662EF"/>
    <w:rsid w:val="00066E9F"/>
    <w:rsid w:val="0006744B"/>
    <w:rsid w:val="000675D1"/>
    <w:rsid w:val="000675FA"/>
    <w:rsid w:val="00070335"/>
    <w:rsid w:val="000705F2"/>
    <w:rsid w:val="00071164"/>
    <w:rsid w:val="0007154C"/>
    <w:rsid w:val="000715E2"/>
    <w:rsid w:val="000715FC"/>
    <w:rsid w:val="000716CD"/>
    <w:rsid w:val="000724C7"/>
    <w:rsid w:val="00072629"/>
    <w:rsid w:val="00072BD4"/>
    <w:rsid w:val="00072EDA"/>
    <w:rsid w:val="000730A1"/>
    <w:rsid w:val="000738C9"/>
    <w:rsid w:val="00073FE7"/>
    <w:rsid w:val="00074B0E"/>
    <w:rsid w:val="00074F06"/>
    <w:rsid w:val="00075141"/>
    <w:rsid w:val="0007525A"/>
    <w:rsid w:val="00075369"/>
    <w:rsid w:val="000753CB"/>
    <w:rsid w:val="0007549B"/>
    <w:rsid w:val="000757E6"/>
    <w:rsid w:val="000757E8"/>
    <w:rsid w:val="00076170"/>
    <w:rsid w:val="00076496"/>
    <w:rsid w:val="000764A3"/>
    <w:rsid w:val="000769B9"/>
    <w:rsid w:val="00076B27"/>
    <w:rsid w:val="00077985"/>
    <w:rsid w:val="00077CBE"/>
    <w:rsid w:val="00077D87"/>
    <w:rsid w:val="000802FF"/>
    <w:rsid w:val="00080437"/>
    <w:rsid w:val="000808BC"/>
    <w:rsid w:val="00080DF7"/>
    <w:rsid w:val="0008114C"/>
    <w:rsid w:val="00081C35"/>
    <w:rsid w:val="00081E07"/>
    <w:rsid w:val="0008297B"/>
    <w:rsid w:val="00082AED"/>
    <w:rsid w:val="00083086"/>
    <w:rsid w:val="00083FE7"/>
    <w:rsid w:val="00084056"/>
    <w:rsid w:val="000847AE"/>
    <w:rsid w:val="00084AD9"/>
    <w:rsid w:val="00084F2D"/>
    <w:rsid w:val="00084FE1"/>
    <w:rsid w:val="00085009"/>
    <w:rsid w:val="00085FDC"/>
    <w:rsid w:val="00086087"/>
    <w:rsid w:val="00086326"/>
    <w:rsid w:val="000865A4"/>
    <w:rsid w:val="00086AAE"/>
    <w:rsid w:val="00086C91"/>
    <w:rsid w:val="00087596"/>
    <w:rsid w:val="000904E7"/>
    <w:rsid w:val="000904EE"/>
    <w:rsid w:val="00090A2C"/>
    <w:rsid w:val="00090B38"/>
    <w:rsid w:val="00090DD5"/>
    <w:rsid w:val="00090F83"/>
    <w:rsid w:val="0009138C"/>
    <w:rsid w:val="00092190"/>
    <w:rsid w:val="0009245F"/>
    <w:rsid w:val="00092B3E"/>
    <w:rsid w:val="0009302D"/>
    <w:rsid w:val="000930BE"/>
    <w:rsid w:val="000932A5"/>
    <w:rsid w:val="000935C9"/>
    <w:rsid w:val="00093AB6"/>
    <w:rsid w:val="00093B19"/>
    <w:rsid w:val="0009512B"/>
    <w:rsid w:val="000958CA"/>
    <w:rsid w:val="00095D62"/>
    <w:rsid w:val="00095FF5"/>
    <w:rsid w:val="00097846"/>
    <w:rsid w:val="00097C5B"/>
    <w:rsid w:val="000A0757"/>
    <w:rsid w:val="000A0A04"/>
    <w:rsid w:val="000A0E12"/>
    <w:rsid w:val="000A0FE4"/>
    <w:rsid w:val="000A10FA"/>
    <w:rsid w:val="000A1118"/>
    <w:rsid w:val="000A1B7A"/>
    <w:rsid w:val="000A1DB8"/>
    <w:rsid w:val="000A243C"/>
    <w:rsid w:val="000A25FA"/>
    <w:rsid w:val="000A260E"/>
    <w:rsid w:val="000A3249"/>
    <w:rsid w:val="000A32C1"/>
    <w:rsid w:val="000A3786"/>
    <w:rsid w:val="000A45B8"/>
    <w:rsid w:val="000A45EB"/>
    <w:rsid w:val="000A48AC"/>
    <w:rsid w:val="000A48B3"/>
    <w:rsid w:val="000A4A6D"/>
    <w:rsid w:val="000A4E21"/>
    <w:rsid w:val="000A4F45"/>
    <w:rsid w:val="000A516D"/>
    <w:rsid w:val="000A520E"/>
    <w:rsid w:val="000A5403"/>
    <w:rsid w:val="000A5859"/>
    <w:rsid w:val="000A5CC1"/>
    <w:rsid w:val="000A5E64"/>
    <w:rsid w:val="000A64E5"/>
    <w:rsid w:val="000A672B"/>
    <w:rsid w:val="000A77C5"/>
    <w:rsid w:val="000B029F"/>
    <w:rsid w:val="000B030B"/>
    <w:rsid w:val="000B0603"/>
    <w:rsid w:val="000B0913"/>
    <w:rsid w:val="000B0925"/>
    <w:rsid w:val="000B0A5D"/>
    <w:rsid w:val="000B0A70"/>
    <w:rsid w:val="000B0BCA"/>
    <w:rsid w:val="000B1102"/>
    <w:rsid w:val="000B1BE9"/>
    <w:rsid w:val="000B2217"/>
    <w:rsid w:val="000B2307"/>
    <w:rsid w:val="000B3009"/>
    <w:rsid w:val="000B3196"/>
    <w:rsid w:val="000B3286"/>
    <w:rsid w:val="000B489B"/>
    <w:rsid w:val="000B4DC6"/>
    <w:rsid w:val="000B5B68"/>
    <w:rsid w:val="000B5E2C"/>
    <w:rsid w:val="000B6820"/>
    <w:rsid w:val="000B6968"/>
    <w:rsid w:val="000B6B06"/>
    <w:rsid w:val="000B6DB9"/>
    <w:rsid w:val="000B6F1B"/>
    <w:rsid w:val="000B709C"/>
    <w:rsid w:val="000B7317"/>
    <w:rsid w:val="000B7609"/>
    <w:rsid w:val="000B76FB"/>
    <w:rsid w:val="000B7C90"/>
    <w:rsid w:val="000B7F62"/>
    <w:rsid w:val="000C042C"/>
    <w:rsid w:val="000C07C3"/>
    <w:rsid w:val="000C0849"/>
    <w:rsid w:val="000C08EC"/>
    <w:rsid w:val="000C0A89"/>
    <w:rsid w:val="000C0C53"/>
    <w:rsid w:val="000C1180"/>
    <w:rsid w:val="000C18DD"/>
    <w:rsid w:val="000C1A8B"/>
    <w:rsid w:val="000C1B22"/>
    <w:rsid w:val="000C23F1"/>
    <w:rsid w:val="000C2821"/>
    <w:rsid w:val="000C2B28"/>
    <w:rsid w:val="000C2D9B"/>
    <w:rsid w:val="000C2FFC"/>
    <w:rsid w:val="000C3753"/>
    <w:rsid w:val="000C398D"/>
    <w:rsid w:val="000C4EDA"/>
    <w:rsid w:val="000C5608"/>
    <w:rsid w:val="000C5B41"/>
    <w:rsid w:val="000C5DA6"/>
    <w:rsid w:val="000C6455"/>
    <w:rsid w:val="000C66D5"/>
    <w:rsid w:val="000C6A1C"/>
    <w:rsid w:val="000C7D99"/>
    <w:rsid w:val="000C7DD7"/>
    <w:rsid w:val="000D008E"/>
    <w:rsid w:val="000D0091"/>
    <w:rsid w:val="000D1089"/>
    <w:rsid w:val="000D1122"/>
    <w:rsid w:val="000D1427"/>
    <w:rsid w:val="000D1625"/>
    <w:rsid w:val="000D1AF4"/>
    <w:rsid w:val="000D1C41"/>
    <w:rsid w:val="000D2268"/>
    <w:rsid w:val="000D2546"/>
    <w:rsid w:val="000D2BC4"/>
    <w:rsid w:val="000D305D"/>
    <w:rsid w:val="000D35B2"/>
    <w:rsid w:val="000D3CEC"/>
    <w:rsid w:val="000D3E31"/>
    <w:rsid w:val="000D3E98"/>
    <w:rsid w:val="000D4174"/>
    <w:rsid w:val="000D5682"/>
    <w:rsid w:val="000D58C2"/>
    <w:rsid w:val="000D5B42"/>
    <w:rsid w:val="000D5D33"/>
    <w:rsid w:val="000D5FAA"/>
    <w:rsid w:val="000D6AE5"/>
    <w:rsid w:val="000D6EB2"/>
    <w:rsid w:val="000D726B"/>
    <w:rsid w:val="000D7296"/>
    <w:rsid w:val="000D7402"/>
    <w:rsid w:val="000D7706"/>
    <w:rsid w:val="000D78C3"/>
    <w:rsid w:val="000D7EB0"/>
    <w:rsid w:val="000E0517"/>
    <w:rsid w:val="000E083A"/>
    <w:rsid w:val="000E0D84"/>
    <w:rsid w:val="000E1096"/>
    <w:rsid w:val="000E130A"/>
    <w:rsid w:val="000E1637"/>
    <w:rsid w:val="000E18A9"/>
    <w:rsid w:val="000E18EF"/>
    <w:rsid w:val="000E2068"/>
    <w:rsid w:val="000E25A9"/>
    <w:rsid w:val="000E28C0"/>
    <w:rsid w:val="000E328F"/>
    <w:rsid w:val="000E3372"/>
    <w:rsid w:val="000E348A"/>
    <w:rsid w:val="000E3514"/>
    <w:rsid w:val="000E35A3"/>
    <w:rsid w:val="000E3766"/>
    <w:rsid w:val="000E37CE"/>
    <w:rsid w:val="000E42C2"/>
    <w:rsid w:val="000E43AA"/>
    <w:rsid w:val="000E4837"/>
    <w:rsid w:val="000E4D65"/>
    <w:rsid w:val="000E5877"/>
    <w:rsid w:val="000E5A71"/>
    <w:rsid w:val="000E67CA"/>
    <w:rsid w:val="000E69B0"/>
    <w:rsid w:val="000E73DB"/>
    <w:rsid w:val="000E753D"/>
    <w:rsid w:val="000E779D"/>
    <w:rsid w:val="000E7B05"/>
    <w:rsid w:val="000F07D1"/>
    <w:rsid w:val="000F0BB0"/>
    <w:rsid w:val="000F1170"/>
    <w:rsid w:val="000F13DD"/>
    <w:rsid w:val="000F1637"/>
    <w:rsid w:val="000F1A36"/>
    <w:rsid w:val="000F22F8"/>
    <w:rsid w:val="000F29FE"/>
    <w:rsid w:val="000F3541"/>
    <w:rsid w:val="000F354A"/>
    <w:rsid w:val="000F3886"/>
    <w:rsid w:val="000F41A9"/>
    <w:rsid w:val="000F43B4"/>
    <w:rsid w:val="000F4499"/>
    <w:rsid w:val="000F48C6"/>
    <w:rsid w:val="000F48EC"/>
    <w:rsid w:val="000F4AA3"/>
    <w:rsid w:val="000F50A8"/>
    <w:rsid w:val="000F5256"/>
    <w:rsid w:val="000F572F"/>
    <w:rsid w:val="000F58E0"/>
    <w:rsid w:val="000F599E"/>
    <w:rsid w:val="000F5F5F"/>
    <w:rsid w:val="000F663F"/>
    <w:rsid w:val="000F6C03"/>
    <w:rsid w:val="000F714A"/>
    <w:rsid w:val="000F75D8"/>
    <w:rsid w:val="000F7FBC"/>
    <w:rsid w:val="0010039A"/>
    <w:rsid w:val="00100738"/>
    <w:rsid w:val="001008E7"/>
    <w:rsid w:val="00100A30"/>
    <w:rsid w:val="00100CD7"/>
    <w:rsid w:val="001011E2"/>
    <w:rsid w:val="00102073"/>
    <w:rsid w:val="0010208E"/>
    <w:rsid w:val="001022C6"/>
    <w:rsid w:val="00102DD7"/>
    <w:rsid w:val="00102FF8"/>
    <w:rsid w:val="00103E2F"/>
    <w:rsid w:val="00104F8C"/>
    <w:rsid w:val="001054B4"/>
    <w:rsid w:val="001054BB"/>
    <w:rsid w:val="00105D3C"/>
    <w:rsid w:val="00105DC6"/>
    <w:rsid w:val="00105E2C"/>
    <w:rsid w:val="00105F28"/>
    <w:rsid w:val="00105FC4"/>
    <w:rsid w:val="001066FD"/>
    <w:rsid w:val="001067B6"/>
    <w:rsid w:val="001067FA"/>
    <w:rsid w:val="00107334"/>
    <w:rsid w:val="00107886"/>
    <w:rsid w:val="00110225"/>
    <w:rsid w:val="00110709"/>
    <w:rsid w:val="001109E8"/>
    <w:rsid w:val="00110DF1"/>
    <w:rsid w:val="00111036"/>
    <w:rsid w:val="00111159"/>
    <w:rsid w:val="00111F73"/>
    <w:rsid w:val="00111FE1"/>
    <w:rsid w:val="00112A65"/>
    <w:rsid w:val="00113716"/>
    <w:rsid w:val="001143D1"/>
    <w:rsid w:val="001144FA"/>
    <w:rsid w:val="00115175"/>
    <w:rsid w:val="001166B0"/>
    <w:rsid w:val="00116A87"/>
    <w:rsid w:val="00116EDF"/>
    <w:rsid w:val="0011772B"/>
    <w:rsid w:val="00117929"/>
    <w:rsid w:val="00117B0E"/>
    <w:rsid w:val="00117D8A"/>
    <w:rsid w:val="00117E08"/>
    <w:rsid w:val="00117EA3"/>
    <w:rsid w:val="00120A2D"/>
    <w:rsid w:val="00121772"/>
    <w:rsid w:val="0012289C"/>
    <w:rsid w:val="00122CEC"/>
    <w:rsid w:val="00122E6C"/>
    <w:rsid w:val="00122F67"/>
    <w:rsid w:val="001232FE"/>
    <w:rsid w:val="0012332C"/>
    <w:rsid w:val="00123897"/>
    <w:rsid w:val="0012412E"/>
    <w:rsid w:val="0012465E"/>
    <w:rsid w:val="0012481D"/>
    <w:rsid w:val="00124A2F"/>
    <w:rsid w:val="001251BC"/>
    <w:rsid w:val="0012562C"/>
    <w:rsid w:val="00125CCE"/>
    <w:rsid w:val="00126999"/>
    <w:rsid w:val="00126BC0"/>
    <w:rsid w:val="00127398"/>
    <w:rsid w:val="0012742F"/>
    <w:rsid w:val="00127BA8"/>
    <w:rsid w:val="00130520"/>
    <w:rsid w:val="00130B0D"/>
    <w:rsid w:val="00130B7A"/>
    <w:rsid w:val="001318DA"/>
    <w:rsid w:val="00133703"/>
    <w:rsid w:val="0013374D"/>
    <w:rsid w:val="00133CCF"/>
    <w:rsid w:val="00133FA7"/>
    <w:rsid w:val="00134210"/>
    <w:rsid w:val="00134774"/>
    <w:rsid w:val="001351EB"/>
    <w:rsid w:val="00135342"/>
    <w:rsid w:val="001356C9"/>
    <w:rsid w:val="001357B9"/>
    <w:rsid w:val="00135909"/>
    <w:rsid w:val="001369D8"/>
    <w:rsid w:val="00136BBA"/>
    <w:rsid w:val="00136E5D"/>
    <w:rsid w:val="00137B00"/>
    <w:rsid w:val="00137D71"/>
    <w:rsid w:val="00137EBC"/>
    <w:rsid w:val="00137F43"/>
    <w:rsid w:val="00140274"/>
    <w:rsid w:val="001403A2"/>
    <w:rsid w:val="0014041F"/>
    <w:rsid w:val="00140DA3"/>
    <w:rsid w:val="00140DBC"/>
    <w:rsid w:val="00141050"/>
    <w:rsid w:val="00142A55"/>
    <w:rsid w:val="00142C5D"/>
    <w:rsid w:val="00143F1B"/>
    <w:rsid w:val="001458F6"/>
    <w:rsid w:val="00145FD4"/>
    <w:rsid w:val="00146529"/>
    <w:rsid w:val="00146CF3"/>
    <w:rsid w:val="00146F74"/>
    <w:rsid w:val="001500E2"/>
    <w:rsid w:val="001502AC"/>
    <w:rsid w:val="001504A9"/>
    <w:rsid w:val="00150707"/>
    <w:rsid w:val="0015085D"/>
    <w:rsid w:val="00150C46"/>
    <w:rsid w:val="00151263"/>
    <w:rsid w:val="00151BCE"/>
    <w:rsid w:val="00151D0E"/>
    <w:rsid w:val="00151DBF"/>
    <w:rsid w:val="00151E9D"/>
    <w:rsid w:val="0015239E"/>
    <w:rsid w:val="00152C33"/>
    <w:rsid w:val="00152D5A"/>
    <w:rsid w:val="001530FC"/>
    <w:rsid w:val="00153684"/>
    <w:rsid w:val="00154265"/>
    <w:rsid w:val="0015450E"/>
    <w:rsid w:val="00154A29"/>
    <w:rsid w:val="00154AC3"/>
    <w:rsid w:val="00154FCB"/>
    <w:rsid w:val="00155814"/>
    <w:rsid w:val="001561E0"/>
    <w:rsid w:val="00156655"/>
    <w:rsid w:val="00156786"/>
    <w:rsid w:val="00156C58"/>
    <w:rsid w:val="00156F26"/>
    <w:rsid w:val="001571D5"/>
    <w:rsid w:val="0015720D"/>
    <w:rsid w:val="001572E8"/>
    <w:rsid w:val="00157EE1"/>
    <w:rsid w:val="00160182"/>
    <w:rsid w:val="00160482"/>
    <w:rsid w:val="00160499"/>
    <w:rsid w:val="00160F22"/>
    <w:rsid w:val="00161B4A"/>
    <w:rsid w:val="001620C3"/>
    <w:rsid w:val="001625B4"/>
    <w:rsid w:val="0016266F"/>
    <w:rsid w:val="00162A8D"/>
    <w:rsid w:val="00162CC4"/>
    <w:rsid w:val="0016384D"/>
    <w:rsid w:val="00163C94"/>
    <w:rsid w:val="00163F96"/>
    <w:rsid w:val="00164441"/>
    <w:rsid w:val="0016464A"/>
    <w:rsid w:val="00164981"/>
    <w:rsid w:val="00164AA7"/>
    <w:rsid w:val="00164FF8"/>
    <w:rsid w:val="001650EA"/>
    <w:rsid w:val="001652BA"/>
    <w:rsid w:val="001659BD"/>
    <w:rsid w:val="00165E3C"/>
    <w:rsid w:val="001663E7"/>
    <w:rsid w:val="00166408"/>
    <w:rsid w:val="00166A3E"/>
    <w:rsid w:val="00167076"/>
    <w:rsid w:val="00167601"/>
    <w:rsid w:val="00167C9C"/>
    <w:rsid w:val="00167D6F"/>
    <w:rsid w:val="00167FF2"/>
    <w:rsid w:val="00170ABF"/>
    <w:rsid w:val="00171729"/>
    <w:rsid w:val="00171F5D"/>
    <w:rsid w:val="00172617"/>
    <w:rsid w:val="00172BC3"/>
    <w:rsid w:val="00172DF4"/>
    <w:rsid w:val="0017322A"/>
    <w:rsid w:val="001734A0"/>
    <w:rsid w:val="00173722"/>
    <w:rsid w:val="00173C73"/>
    <w:rsid w:val="00173DBA"/>
    <w:rsid w:val="00173F6A"/>
    <w:rsid w:val="00173FB5"/>
    <w:rsid w:val="001742BB"/>
    <w:rsid w:val="00174428"/>
    <w:rsid w:val="00174825"/>
    <w:rsid w:val="00174C99"/>
    <w:rsid w:val="00174D9A"/>
    <w:rsid w:val="0017552F"/>
    <w:rsid w:val="00175BA5"/>
    <w:rsid w:val="001769CA"/>
    <w:rsid w:val="001771B7"/>
    <w:rsid w:val="001771D7"/>
    <w:rsid w:val="001773F2"/>
    <w:rsid w:val="00177508"/>
    <w:rsid w:val="0017778D"/>
    <w:rsid w:val="00177832"/>
    <w:rsid w:val="00177F39"/>
    <w:rsid w:val="00180151"/>
    <w:rsid w:val="001805AA"/>
    <w:rsid w:val="00180FEE"/>
    <w:rsid w:val="00181099"/>
    <w:rsid w:val="0018152F"/>
    <w:rsid w:val="001816F9"/>
    <w:rsid w:val="00181D62"/>
    <w:rsid w:val="00181DF7"/>
    <w:rsid w:val="0018216B"/>
    <w:rsid w:val="00182187"/>
    <w:rsid w:val="00182433"/>
    <w:rsid w:val="0018305D"/>
    <w:rsid w:val="001832E6"/>
    <w:rsid w:val="0018357C"/>
    <w:rsid w:val="0018389D"/>
    <w:rsid w:val="00183CF2"/>
    <w:rsid w:val="00183F61"/>
    <w:rsid w:val="0018527A"/>
    <w:rsid w:val="0018533F"/>
    <w:rsid w:val="00186627"/>
    <w:rsid w:val="0018689B"/>
    <w:rsid w:val="00186963"/>
    <w:rsid w:val="00186C0C"/>
    <w:rsid w:val="00186C35"/>
    <w:rsid w:val="001871F4"/>
    <w:rsid w:val="001873EE"/>
    <w:rsid w:val="001903A7"/>
    <w:rsid w:val="00190D91"/>
    <w:rsid w:val="001914A5"/>
    <w:rsid w:val="00192043"/>
    <w:rsid w:val="0019241B"/>
    <w:rsid w:val="00192820"/>
    <w:rsid w:val="00193AFA"/>
    <w:rsid w:val="001942A0"/>
    <w:rsid w:val="0019431D"/>
    <w:rsid w:val="00194600"/>
    <w:rsid w:val="00194732"/>
    <w:rsid w:val="00194E4A"/>
    <w:rsid w:val="00195A6A"/>
    <w:rsid w:val="00195C1F"/>
    <w:rsid w:val="00195EDE"/>
    <w:rsid w:val="0019654F"/>
    <w:rsid w:val="0019690D"/>
    <w:rsid w:val="0019697D"/>
    <w:rsid w:val="00197004"/>
    <w:rsid w:val="001A0C45"/>
    <w:rsid w:val="001A0FB1"/>
    <w:rsid w:val="001A11BE"/>
    <w:rsid w:val="001A11C2"/>
    <w:rsid w:val="001A13A6"/>
    <w:rsid w:val="001A1548"/>
    <w:rsid w:val="001A175F"/>
    <w:rsid w:val="001A1BD7"/>
    <w:rsid w:val="001A2739"/>
    <w:rsid w:val="001A27F8"/>
    <w:rsid w:val="001A37D0"/>
    <w:rsid w:val="001A3899"/>
    <w:rsid w:val="001A3A32"/>
    <w:rsid w:val="001A44A4"/>
    <w:rsid w:val="001A47D6"/>
    <w:rsid w:val="001A54DC"/>
    <w:rsid w:val="001A55E2"/>
    <w:rsid w:val="001A5C91"/>
    <w:rsid w:val="001A60DB"/>
    <w:rsid w:val="001A6A0E"/>
    <w:rsid w:val="001A6FE0"/>
    <w:rsid w:val="001A71AA"/>
    <w:rsid w:val="001A754D"/>
    <w:rsid w:val="001A76E0"/>
    <w:rsid w:val="001A774C"/>
    <w:rsid w:val="001A7C11"/>
    <w:rsid w:val="001B0353"/>
    <w:rsid w:val="001B0585"/>
    <w:rsid w:val="001B0DCB"/>
    <w:rsid w:val="001B12BE"/>
    <w:rsid w:val="001B2281"/>
    <w:rsid w:val="001B2916"/>
    <w:rsid w:val="001B2B3D"/>
    <w:rsid w:val="001B40D9"/>
    <w:rsid w:val="001B48DA"/>
    <w:rsid w:val="001B526F"/>
    <w:rsid w:val="001B5717"/>
    <w:rsid w:val="001B57FE"/>
    <w:rsid w:val="001B5812"/>
    <w:rsid w:val="001B5C20"/>
    <w:rsid w:val="001B5CBE"/>
    <w:rsid w:val="001B615F"/>
    <w:rsid w:val="001B6284"/>
    <w:rsid w:val="001B6A71"/>
    <w:rsid w:val="001B759C"/>
    <w:rsid w:val="001B763E"/>
    <w:rsid w:val="001C04F6"/>
    <w:rsid w:val="001C069F"/>
    <w:rsid w:val="001C088E"/>
    <w:rsid w:val="001C0899"/>
    <w:rsid w:val="001C0E1D"/>
    <w:rsid w:val="001C1575"/>
    <w:rsid w:val="001C19CB"/>
    <w:rsid w:val="001C1A8D"/>
    <w:rsid w:val="001C1F8B"/>
    <w:rsid w:val="001C24A8"/>
    <w:rsid w:val="001C31F8"/>
    <w:rsid w:val="001C32D8"/>
    <w:rsid w:val="001C32EA"/>
    <w:rsid w:val="001C3A17"/>
    <w:rsid w:val="001C3A7B"/>
    <w:rsid w:val="001C435A"/>
    <w:rsid w:val="001C4CE3"/>
    <w:rsid w:val="001C4DBB"/>
    <w:rsid w:val="001C5387"/>
    <w:rsid w:val="001C54F7"/>
    <w:rsid w:val="001C56F9"/>
    <w:rsid w:val="001C5CF3"/>
    <w:rsid w:val="001C632B"/>
    <w:rsid w:val="001C6622"/>
    <w:rsid w:val="001C7479"/>
    <w:rsid w:val="001C77EF"/>
    <w:rsid w:val="001C7D48"/>
    <w:rsid w:val="001D00DF"/>
    <w:rsid w:val="001D02E0"/>
    <w:rsid w:val="001D02F7"/>
    <w:rsid w:val="001D0D45"/>
    <w:rsid w:val="001D0FFF"/>
    <w:rsid w:val="001D1076"/>
    <w:rsid w:val="001D12F1"/>
    <w:rsid w:val="001D1351"/>
    <w:rsid w:val="001D1BF1"/>
    <w:rsid w:val="001D22A0"/>
    <w:rsid w:val="001D3707"/>
    <w:rsid w:val="001D4974"/>
    <w:rsid w:val="001D4C48"/>
    <w:rsid w:val="001D5923"/>
    <w:rsid w:val="001D5967"/>
    <w:rsid w:val="001D5C48"/>
    <w:rsid w:val="001D61CD"/>
    <w:rsid w:val="001D648B"/>
    <w:rsid w:val="001D6710"/>
    <w:rsid w:val="001D69B6"/>
    <w:rsid w:val="001D7968"/>
    <w:rsid w:val="001D7ABD"/>
    <w:rsid w:val="001D7D08"/>
    <w:rsid w:val="001D7E93"/>
    <w:rsid w:val="001E02BA"/>
    <w:rsid w:val="001E0D65"/>
    <w:rsid w:val="001E1E88"/>
    <w:rsid w:val="001E1F88"/>
    <w:rsid w:val="001E32CB"/>
    <w:rsid w:val="001E3A80"/>
    <w:rsid w:val="001E3F85"/>
    <w:rsid w:val="001E3FD2"/>
    <w:rsid w:val="001E4568"/>
    <w:rsid w:val="001E48B0"/>
    <w:rsid w:val="001E51E6"/>
    <w:rsid w:val="001E5676"/>
    <w:rsid w:val="001E5BF5"/>
    <w:rsid w:val="001E67E4"/>
    <w:rsid w:val="001E7609"/>
    <w:rsid w:val="001E7811"/>
    <w:rsid w:val="001E78F6"/>
    <w:rsid w:val="001E7B33"/>
    <w:rsid w:val="001E7DB0"/>
    <w:rsid w:val="001F009C"/>
    <w:rsid w:val="001F1BC4"/>
    <w:rsid w:val="001F1D94"/>
    <w:rsid w:val="001F23C4"/>
    <w:rsid w:val="001F27CD"/>
    <w:rsid w:val="001F284D"/>
    <w:rsid w:val="001F2BBB"/>
    <w:rsid w:val="001F2CC2"/>
    <w:rsid w:val="001F3367"/>
    <w:rsid w:val="001F402A"/>
    <w:rsid w:val="001F4232"/>
    <w:rsid w:val="001F52BB"/>
    <w:rsid w:val="001F52FD"/>
    <w:rsid w:val="001F5A04"/>
    <w:rsid w:val="001F611C"/>
    <w:rsid w:val="001F62CC"/>
    <w:rsid w:val="001F7082"/>
    <w:rsid w:val="001F7154"/>
    <w:rsid w:val="001F77A8"/>
    <w:rsid w:val="001F7D57"/>
    <w:rsid w:val="00200064"/>
    <w:rsid w:val="0020007A"/>
    <w:rsid w:val="00200264"/>
    <w:rsid w:val="00200677"/>
    <w:rsid w:val="00200EB1"/>
    <w:rsid w:val="002012F7"/>
    <w:rsid w:val="00202698"/>
    <w:rsid w:val="002027F6"/>
    <w:rsid w:val="002036E6"/>
    <w:rsid w:val="00203A6F"/>
    <w:rsid w:val="00203ABA"/>
    <w:rsid w:val="00203C7D"/>
    <w:rsid w:val="0020413A"/>
    <w:rsid w:val="002050AE"/>
    <w:rsid w:val="00205444"/>
    <w:rsid w:val="0020544C"/>
    <w:rsid w:val="00205FC2"/>
    <w:rsid w:val="00206341"/>
    <w:rsid w:val="002068EB"/>
    <w:rsid w:val="00206D8F"/>
    <w:rsid w:val="002070ED"/>
    <w:rsid w:val="002104BE"/>
    <w:rsid w:val="00210A50"/>
    <w:rsid w:val="00210B42"/>
    <w:rsid w:val="00210B91"/>
    <w:rsid w:val="0021110A"/>
    <w:rsid w:val="002117C1"/>
    <w:rsid w:val="00211CF8"/>
    <w:rsid w:val="0021225A"/>
    <w:rsid w:val="00212A04"/>
    <w:rsid w:val="00212CE5"/>
    <w:rsid w:val="0021310A"/>
    <w:rsid w:val="00213694"/>
    <w:rsid w:val="00214337"/>
    <w:rsid w:val="00214398"/>
    <w:rsid w:val="0021484D"/>
    <w:rsid w:val="0021501E"/>
    <w:rsid w:val="00215066"/>
    <w:rsid w:val="002153EA"/>
    <w:rsid w:val="00215477"/>
    <w:rsid w:val="00215556"/>
    <w:rsid w:val="0021570E"/>
    <w:rsid w:val="00215818"/>
    <w:rsid w:val="00215EE4"/>
    <w:rsid w:val="00216046"/>
    <w:rsid w:val="00216686"/>
    <w:rsid w:val="00216785"/>
    <w:rsid w:val="002171B3"/>
    <w:rsid w:val="002171BE"/>
    <w:rsid w:val="002176A5"/>
    <w:rsid w:val="00217748"/>
    <w:rsid w:val="0021794D"/>
    <w:rsid w:val="00217984"/>
    <w:rsid w:val="00217EE6"/>
    <w:rsid w:val="00220E6D"/>
    <w:rsid w:val="0022112E"/>
    <w:rsid w:val="0022147A"/>
    <w:rsid w:val="002215E3"/>
    <w:rsid w:val="00221614"/>
    <w:rsid w:val="00221A80"/>
    <w:rsid w:val="00221BDE"/>
    <w:rsid w:val="0022207B"/>
    <w:rsid w:val="00222C02"/>
    <w:rsid w:val="00223AA8"/>
    <w:rsid w:val="0022458E"/>
    <w:rsid w:val="002246AD"/>
    <w:rsid w:val="00224B80"/>
    <w:rsid w:val="00224E05"/>
    <w:rsid w:val="002250BD"/>
    <w:rsid w:val="0022542A"/>
    <w:rsid w:val="00225672"/>
    <w:rsid w:val="0022638B"/>
    <w:rsid w:val="002267CC"/>
    <w:rsid w:val="00226A65"/>
    <w:rsid w:val="00226A91"/>
    <w:rsid w:val="00227744"/>
    <w:rsid w:val="00227B61"/>
    <w:rsid w:val="00227C97"/>
    <w:rsid w:val="00230006"/>
    <w:rsid w:val="002314CA"/>
    <w:rsid w:val="002315DA"/>
    <w:rsid w:val="0023170B"/>
    <w:rsid w:val="00231ED1"/>
    <w:rsid w:val="0023234C"/>
    <w:rsid w:val="002326F9"/>
    <w:rsid w:val="00232E58"/>
    <w:rsid w:val="002330C1"/>
    <w:rsid w:val="0023326E"/>
    <w:rsid w:val="002338AA"/>
    <w:rsid w:val="002338EB"/>
    <w:rsid w:val="00233BEC"/>
    <w:rsid w:val="00233DDD"/>
    <w:rsid w:val="0023429F"/>
    <w:rsid w:val="0023564F"/>
    <w:rsid w:val="002357BC"/>
    <w:rsid w:val="002358B6"/>
    <w:rsid w:val="002358E2"/>
    <w:rsid w:val="00235C15"/>
    <w:rsid w:val="00236594"/>
    <w:rsid w:val="00236876"/>
    <w:rsid w:val="00236973"/>
    <w:rsid w:val="00236AD8"/>
    <w:rsid w:val="00236BA1"/>
    <w:rsid w:val="00236CFF"/>
    <w:rsid w:val="002370CA"/>
    <w:rsid w:val="002371B1"/>
    <w:rsid w:val="0023745C"/>
    <w:rsid w:val="00237582"/>
    <w:rsid w:val="00240123"/>
    <w:rsid w:val="00240125"/>
    <w:rsid w:val="00240A82"/>
    <w:rsid w:val="00240C79"/>
    <w:rsid w:val="0024136C"/>
    <w:rsid w:val="002414C3"/>
    <w:rsid w:val="00241523"/>
    <w:rsid w:val="00242562"/>
    <w:rsid w:val="00242624"/>
    <w:rsid w:val="0024384B"/>
    <w:rsid w:val="002438D3"/>
    <w:rsid w:val="002439A5"/>
    <w:rsid w:val="0024408E"/>
    <w:rsid w:val="00244635"/>
    <w:rsid w:val="0024476C"/>
    <w:rsid w:val="00245363"/>
    <w:rsid w:val="0024557E"/>
    <w:rsid w:val="00245CB1"/>
    <w:rsid w:val="002468B6"/>
    <w:rsid w:val="002471FD"/>
    <w:rsid w:val="00247692"/>
    <w:rsid w:val="002477AD"/>
    <w:rsid w:val="00247D26"/>
    <w:rsid w:val="00247E09"/>
    <w:rsid w:val="00247F5B"/>
    <w:rsid w:val="00250377"/>
    <w:rsid w:val="0025076B"/>
    <w:rsid w:val="00251343"/>
    <w:rsid w:val="00252007"/>
    <w:rsid w:val="002523CB"/>
    <w:rsid w:val="0025365A"/>
    <w:rsid w:val="00253A9E"/>
    <w:rsid w:val="00253CCD"/>
    <w:rsid w:val="002540E9"/>
    <w:rsid w:val="002551B8"/>
    <w:rsid w:val="002553BF"/>
    <w:rsid w:val="002553E6"/>
    <w:rsid w:val="00255B0F"/>
    <w:rsid w:val="0025607B"/>
    <w:rsid w:val="002566EF"/>
    <w:rsid w:val="00256905"/>
    <w:rsid w:val="00257701"/>
    <w:rsid w:val="00260F32"/>
    <w:rsid w:val="00261070"/>
    <w:rsid w:val="00261909"/>
    <w:rsid w:val="00261D63"/>
    <w:rsid w:val="002620F8"/>
    <w:rsid w:val="002626D6"/>
    <w:rsid w:val="002627FE"/>
    <w:rsid w:val="00262C7E"/>
    <w:rsid w:val="00262CD1"/>
    <w:rsid w:val="00262E10"/>
    <w:rsid w:val="00263076"/>
    <w:rsid w:val="002631A1"/>
    <w:rsid w:val="002632DC"/>
    <w:rsid w:val="002632EA"/>
    <w:rsid w:val="002636EF"/>
    <w:rsid w:val="0026374A"/>
    <w:rsid w:val="0026408C"/>
    <w:rsid w:val="00264508"/>
    <w:rsid w:val="002650AE"/>
    <w:rsid w:val="00265A58"/>
    <w:rsid w:val="002660BF"/>
    <w:rsid w:val="002664D3"/>
    <w:rsid w:val="002664F6"/>
    <w:rsid w:val="00266D91"/>
    <w:rsid w:val="0026721E"/>
    <w:rsid w:val="00267340"/>
    <w:rsid w:val="00267668"/>
    <w:rsid w:val="00267AE4"/>
    <w:rsid w:val="00267C32"/>
    <w:rsid w:val="00267C45"/>
    <w:rsid w:val="00267CAF"/>
    <w:rsid w:val="0027003A"/>
    <w:rsid w:val="002702D9"/>
    <w:rsid w:val="0027105B"/>
    <w:rsid w:val="0027171C"/>
    <w:rsid w:val="00271AF5"/>
    <w:rsid w:val="00271EA9"/>
    <w:rsid w:val="00272A7C"/>
    <w:rsid w:val="00272DA9"/>
    <w:rsid w:val="00272F02"/>
    <w:rsid w:val="00272FBF"/>
    <w:rsid w:val="002731C3"/>
    <w:rsid w:val="002735E2"/>
    <w:rsid w:val="0027380D"/>
    <w:rsid w:val="0027385B"/>
    <w:rsid w:val="00273D28"/>
    <w:rsid w:val="002742C1"/>
    <w:rsid w:val="0027544D"/>
    <w:rsid w:val="00276018"/>
    <w:rsid w:val="0027676D"/>
    <w:rsid w:val="00276851"/>
    <w:rsid w:val="00276878"/>
    <w:rsid w:val="0027690C"/>
    <w:rsid w:val="00276E7C"/>
    <w:rsid w:val="00277354"/>
    <w:rsid w:val="00277453"/>
    <w:rsid w:val="00277540"/>
    <w:rsid w:val="00277B51"/>
    <w:rsid w:val="00280353"/>
    <w:rsid w:val="002808E8"/>
    <w:rsid w:val="00280CA4"/>
    <w:rsid w:val="00281564"/>
    <w:rsid w:val="002821D5"/>
    <w:rsid w:val="00282331"/>
    <w:rsid w:val="00282636"/>
    <w:rsid w:val="00282C01"/>
    <w:rsid w:val="00283FAD"/>
    <w:rsid w:val="0028467A"/>
    <w:rsid w:val="002847F1"/>
    <w:rsid w:val="00284AE9"/>
    <w:rsid w:val="00284BA4"/>
    <w:rsid w:val="0028506A"/>
    <w:rsid w:val="002850B0"/>
    <w:rsid w:val="002859BC"/>
    <w:rsid w:val="00285FC2"/>
    <w:rsid w:val="002861C8"/>
    <w:rsid w:val="002863D7"/>
    <w:rsid w:val="00286D81"/>
    <w:rsid w:val="00286FAD"/>
    <w:rsid w:val="002873B4"/>
    <w:rsid w:val="00287B0A"/>
    <w:rsid w:val="00287C77"/>
    <w:rsid w:val="00287D53"/>
    <w:rsid w:val="0029033D"/>
    <w:rsid w:val="0029044A"/>
    <w:rsid w:val="00290EB6"/>
    <w:rsid w:val="00291562"/>
    <w:rsid w:val="002915EA"/>
    <w:rsid w:val="002922B9"/>
    <w:rsid w:val="002926DE"/>
    <w:rsid w:val="00292AB5"/>
    <w:rsid w:val="00292BA8"/>
    <w:rsid w:val="00292CA0"/>
    <w:rsid w:val="00292FDF"/>
    <w:rsid w:val="002933B8"/>
    <w:rsid w:val="00293509"/>
    <w:rsid w:val="0029357C"/>
    <w:rsid w:val="00293A8B"/>
    <w:rsid w:val="00293E69"/>
    <w:rsid w:val="00293E7A"/>
    <w:rsid w:val="002943EF"/>
    <w:rsid w:val="0029443F"/>
    <w:rsid w:val="00294574"/>
    <w:rsid w:val="002959E9"/>
    <w:rsid w:val="00295E60"/>
    <w:rsid w:val="002967C0"/>
    <w:rsid w:val="0029690B"/>
    <w:rsid w:val="00296ACB"/>
    <w:rsid w:val="00297147"/>
    <w:rsid w:val="002976DD"/>
    <w:rsid w:val="00297E52"/>
    <w:rsid w:val="002A0B5D"/>
    <w:rsid w:val="002A0F81"/>
    <w:rsid w:val="002A16A4"/>
    <w:rsid w:val="002A24C3"/>
    <w:rsid w:val="002A2D2B"/>
    <w:rsid w:val="002A3271"/>
    <w:rsid w:val="002A3B16"/>
    <w:rsid w:val="002A43C2"/>
    <w:rsid w:val="002A4412"/>
    <w:rsid w:val="002A5E3E"/>
    <w:rsid w:val="002A67C2"/>
    <w:rsid w:val="002A69EA"/>
    <w:rsid w:val="002A6BBA"/>
    <w:rsid w:val="002A6D7E"/>
    <w:rsid w:val="002A790D"/>
    <w:rsid w:val="002A7EBE"/>
    <w:rsid w:val="002B11E7"/>
    <w:rsid w:val="002B13F6"/>
    <w:rsid w:val="002B1481"/>
    <w:rsid w:val="002B1B65"/>
    <w:rsid w:val="002B1C0D"/>
    <w:rsid w:val="002B2048"/>
    <w:rsid w:val="002B378C"/>
    <w:rsid w:val="002B398E"/>
    <w:rsid w:val="002B3A17"/>
    <w:rsid w:val="002B3E29"/>
    <w:rsid w:val="002B512D"/>
    <w:rsid w:val="002B58FF"/>
    <w:rsid w:val="002B5D56"/>
    <w:rsid w:val="002B70F4"/>
    <w:rsid w:val="002B7651"/>
    <w:rsid w:val="002C028C"/>
    <w:rsid w:val="002C02DB"/>
    <w:rsid w:val="002C098B"/>
    <w:rsid w:val="002C0BB0"/>
    <w:rsid w:val="002C1866"/>
    <w:rsid w:val="002C1917"/>
    <w:rsid w:val="002C1E31"/>
    <w:rsid w:val="002C2BE6"/>
    <w:rsid w:val="002C37BE"/>
    <w:rsid w:val="002C37E5"/>
    <w:rsid w:val="002C38F7"/>
    <w:rsid w:val="002C48E0"/>
    <w:rsid w:val="002C4A13"/>
    <w:rsid w:val="002C4D1C"/>
    <w:rsid w:val="002C6743"/>
    <w:rsid w:val="002C7DA2"/>
    <w:rsid w:val="002D0B58"/>
    <w:rsid w:val="002D1289"/>
    <w:rsid w:val="002D1F41"/>
    <w:rsid w:val="002D266F"/>
    <w:rsid w:val="002D2FA0"/>
    <w:rsid w:val="002D33A2"/>
    <w:rsid w:val="002D33CA"/>
    <w:rsid w:val="002D3449"/>
    <w:rsid w:val="002D3562"/>
    <w:rsid w:val="002D3789"/>
    <w:rsid w:val="002D45A7"/>
    <w:rsid w:val="002D474E"/>
    <w:rsid w:val="002D4835"/>
    <w:rsid w:val="002D4928"/>
    <w:rsid w:val="002D4B4E"/>
    <w:rsid w:val="002D4C70"/>
    <w:rsid w:val="002D5181"/>
    <w:rsid w:val="002D5497"/>
    <w:rsid w:val="002D60FE"/>
    <w:rsid w:val="002D64F9"/>
    <w:rsid w:val="002D7D60"/>
    <w:rsid w:val="002E0BA6"/>
    <w:rsid w:val="002E0C64"/>
    <w:rsid w:val="002E138F"/>
    <w:rsid w:val="002E2504"/>
    <w:rsid w:val="002E25DE"/>
    <w:rsid w:val="002E3490"/>
    <w:rsid w:val="002E383B"/>
    <w:rsid w:val="002E526D"/>
    <w:rsid w:val="002E5A1B"/>
    <w:rsid w:val="002E628F"/>
    <w:rsid w:val="002E6C44"/>
    <w:rsid w:val="002E739D"/>
    <w:rsid w:val="002E76FF"/>
    <w:rsid w:val="002E7EB7"/>
    <w:rsid w:val="002E7EFF"/>
    <w:rsid w:val="002F0219"/>
    <w:rsid w:val="002F096B"/>
    <w:rsid w:val="002F0D45"/>
    <w:rsid w:val="002F10AD"/>
    <w:rsid w:val="002F121B"/>
    <w:rsid w:val="002F2511"/>
    <w:rsid w:val="002F28E4"/>
    <w:rsid w:val="002F29D7"/>
    <w:rsid w:val="002F2A5B"/>
    <w:rsid w:val="002F2D9A"/>
    <w:rsid w:val="002F30D5"/>
    <w:rsid w:val="002F3372"/>
    <w:rsid w:val="002F4800"/>
    <w:rsid w:val="002F4CE1"/>
    <w:rsid w:val="002F5879"/>
    <w:rsid w:val="002F5D6C"/>
    <w:rsid w:val="002F5E96"/>
    <w:rsid w:val="002F6502"/>
    <w:rsid w:val="002F69EC"/>
    <w:rsid w:val="002F6ABA"/>
    <w:rsid w:val="002F6C5E"/>
    <w:rsid w:val="002F6F12"/>
    <w:rsid w:val="002F6F67"/>
    <w:rsid w:val="002F767E"/>
    <w:rsid w:val="002F7934"/>
    <w:rsid w:val="0030049F"/>
    <w:rsid w:val="0030053D"/>
    <w:rsid w:val="00300A84"/>
    <w:rsid w:val="00300F22"/>
    <w:rsid w:val="00300FE5"/>
    <w:rsid w:val="00301609"/>
    <w:rsid w:val="00301B3B"/>
    <w:rsid w:val="00301CBB"/>
    <w:rsid w:val="00301D8F"/>
    <w:rsid w:val="003026F1"/>
    <w:rsid w:val="00303890"/>
    <w:rsid w:val="00303BC0"/>
    <w:rsid w:val="00304025"/>
    <w:rsid w:val="0030460F"/>
    <w:rsid w:val="00304949"/>
    <w:rsid w:val="0030498B"/>
    <w:rsid w:val="00304A37"/>
    <w:rsid w:val="00305032"/>
    <w:rsid w:val="00305621"/>
    <w:rsid w:val="00305EF2"/>
    <w:rsid w:val="0030643F"/>
    <w:rsid w:val="00306A49"/>
    <w:rsid w:val="00306ACE"/>
    <w:rsid w:val="00306CC2"/>
    <w:rsid w:val="0030706D"/>
    <w:rsid w:val="003072C1"/>
    <w:rsid w:val="003074D6"/>
    <w:rsid w:val="00307944"/>
    <w:rsid w:val="0031007D"/>
    <w:rsid w:val="0031040E"/>
    <w:rsid w:val="00310726"/>
    <w:rsid w:val="00310ED4"/>
    <w:rsid w:val="00311144"/>
    <w:rsid w:val="00311196"/>
    <w:rsid w:val="00311E4F"/>
    <w:rsid w:val="00311E7A"/>
    <w:rsid w:val="00312301"/>
    <w:rsid w:val="003128C5"/>
    <w:rsid w:val="003137E9"/>
    <w:rsid w:val="0031492A"/>
    <w:rsid w:val="00314A28"/>
    <w:rsid w:val="00315CAC"/>
    <w:rsid w:val="00316A81"/>
    <w:rsid w:val="00316C1A"/>
    <w:rsid w:val="00316E67"/>
    <w:rsid w:val="003170D6"/>
    <w:rsid w:val="003201C7"/>
    <w:rsid w:val="00320344"/>
    <w:rsid w:val="0032038F"/>
    <w:rsid w:val="0032081B"/>
    <w:rsid w:val="00320E2B"/>
    <w:rsid w:val="0032150B"/>
    <w:rsid w:val="00321C64"/>
    <w:rsid w:val="00321EFF"/>
    <w:rsid w:val="00323646"/>
    <w:rsid w:val="00323B2C"/>
    <w:rsid w:val="00323C73"/>
    <w:rsid w:val="00323E0A"/>
    <w:rsid w:val="0032436F"/>
    <w:rsid w:val="0032447C"/>
    <w:rsid w:val="003250E3"/>
    <w:rsid w:val="00325890"/>
    <w:rsid w:val="00325A14"/>
    <w:rsid w:val="003261E7"/>
    <w:rsid w:val="00326907"/>
    <w:rsid w:val="00326B8F"/>
    <w:rsid w:val="00326FF2"/>
    <w:rsid w:val="0032776A"/>
    <w:rsid w:val="00327916"/>
    <w:rsid w:val="003307E6"/>
    <w:rsid w:val="00330E6C"/>
    <w:rsid w:val="00331141"/>
    <w:rsid w:val="00331974"/>
    <w:rsid w:val="00331B9E"/>
    <w:rsid w:val="00331D63"/>
    <w:rsid w:val="00332029"/>
    <w:rsid w:val="003320A5"/>
    <w:rsid w:val="003320B3"/>
    <w:rsid w:val="00332215"/>
    <w:rsid w:val="00332B32"/>
    <w:rsid w:val="00332C70"/>
    <w:rsid w:val="00333348"/>
    <w:rsid w:val="00333C71"/>
    <w:rsid w:val="00334C01"/>
    <w:rsid w:val="0033540F"/>
    <w:rsid w:val="0033624F"/>
    <w:rsid w:val="00337503"/>
    <w:rsid w:val="00337673"/>
    <w:rsid w:val="00337ADD"/>
    <w:rsid w:val="00340044"/>
    <w:rsid w:val="003400A3"/>
    <w:rsid w:val="003406A7"/>
    <w:rsid w:val="00340C67"/>
    <w:rsid w:val="0034103D"/>
    <w:rsid w:val="0034112F"/>
    <w:rsid w:val="00341795"/>
    <w:rsid w:val="003423F4"/>
    <w:rsid w:val="00342871"/>
    <w:rsid w:val="003429F3"/>
    <w:rsid w:val="00342E98"/>
    <w:rsid w:val="00343414"/>
    <w:rsid w:val="003434D7"/>
    <w:rsid w:val="00343528"/>
    <w:rsid w:val="00343DCA"/>
    <w:rsid w:val="003442AD"/>
    <w:rsid w:val="00344758"/>
    <w:rsid w:val="00344B01"/>
    <w:rsid w:val="00344CDF"/>
    <w:rsid w:val="00345BAE"/>
    <w:rsid w:val="00345D14"/>
    <w:rsid w:val="00346172"/>
    <w:rsid w:val="003468AF"/>
    <w:rsid w:val="00347142"/>
    <w:rsid w:val="00347A3A"/>
    <w:rsid w:val="00347B1C"/>
    <w:rsid w:val="00347C84"/>
    <w:rsid w:val="003507C4"/>
    <w:rsid w:val="003508A5"/>
    <w:rsid w:val="00350D1B"/>
    <w:rsid w:val="003510CA"/>
    <w:rsid w:val="00351108"/>
    <w:rsid w:val="00351567"/>
    <w:rsid w:val="003515AD"/>
    <w:rsid w:val="00351A42"/>
    <w:rsid w:val="00352038"/>
    <w:rsid w:val="00352067"/>
    <w:rsid w:val="00352B24"/>
    <w:rsid w:val="00352C6D"/>
    <w:rsid w:val="0035328D"/>
    <w:rsid w:val="0035337D"/>
    <w:rsid w:val="00353E04"/>
    <w:rsid w:val="0035423C"/>
    <w:rsid w:val="00354341"/>
    <w:rsid w:val="003547F3"/>
    <w:rsid w:val="003548A7"/>
    <w:rsid w:val="003549EE"/>
    <w:rsid w:val="00354D15"/>
    <w:rsid w:val="00355103"/>
    <w:rsid w:val="003554FB"/>
    <w:rsid w:val="00355705"/>
    <w:rsid w:val="00355C8D"/>
    <w:rsid w:val="0035602D"/>
    <w:rsid w:val="003565A8"/>
    <w:rsid w:val="003566EA"/>
    <w:rsid w:val="00357883"/>
    <w:rsid w:val="00357A57"/>
    <w:rsid w:val="003602A3"/>
    <w:rsid w:val="00360312"/>
    <w:rsid w:val="003604D0"/>
    <w:rsid w:val="00361140"/>
    <w:rsid w:val="003615A6"/>
    <w:rsid w:val="003616E6"/>
    <w:rsid w:val="003618C2"/>
    <w:rsid w:val="00361E93"/>
    <w:rsid w:val="003620DD"/>
    <w:rsid w:val="00362F4E"/>
    <w:rsid w:val="00362FD8"/>
    <w:rsid w:val="0036362B"/>
    <w:rsid w:val="00364040"/>
    <w:rsid w:val="003646E2"/>
    <w:rsid w:val="00364BFE"/>
    <w:rsid w:val="00364F02"/>
    <w:rsid w:val="00364FEF"/>
    <w:rsid w:val="00365387"/>
    <w:rsid w:val="003656A0"/>
    <w:rsid w:val="00365B8D"/>
    <w:rsid w:val="0036658D"/>
    <w:rsid w:val="00366BEA"/>
    <w:rsid w:val="00366C76"/>
    <w:rsid w:val="00367019"/>
    <w:rsid w:val="0036713A"/>
    <w:rsid w:val="0036745C"/>
    <w:rsid w:val="00367BC5"/>
    <w:rsid w:val="00367FD8"/>
    <w:rsid w:val="00370030"/>
    <w:rsid w:val="0037055C"/>
    <w:rsid w:val="00371054"/>
    <w:rsid w:val="00372388"/>
    <w:rsid w:val="003724E6"/>
    <w:rsid w:val="00372991"/>
    <w:rsid w:val="00372C79"/>
    <w:rsid w:val="00374AB3"/>
    <w:rsid w:val="00375A50"/>
    <w:rsid w:val="00376B73"/>
    <w:rsid w:val="003773C7"/>
    <w:rsid w:val="00380101"/>
    <w:rsid w:val="003805A5"/>
    <w:rsid w:val="003808E8"/>
    <w:rsid w:val="0038119F"/>
    <w:rsid w:val="0038253C"/>
    <w:rsid w:val="003829A9"/>
    <w:rsid w:val="003831F0"/>
    <w:rsid w:val="003833F1"/>
    <w:rsid w:val="0038361F"/>
    <w:rsid w:val="00383ED8"/>
    <w:rsid w:val="00383EE7"/>
    <w:rsid w:val="00384478"/>
    <w:rsid w:val="00384B02"/>
    <w:rsid w:val="0038500D"/>
    <w:rsid w:val="003855F6"/>
    <w:rsid w:val="00385AB2"/>
    <w:rsid w:val="003860CD"/>
    <w:rsid w:val="00386AFC"/>
    <w:rsid w:val="0038752A"/>
    <w:rsid w:val="00387597"/>
    <w:rsid w:val="003875D5"/>
    <w:rsid w:val="00387EF6"/>
    <w:rsid w:val="003903EC"/>
    <w:rsid w:val="00390E16"/>
    <w:rsid w:val="003913E7"/>
    <w:rsid w:val="00391779"/>
    <w:rsid w:val="0039229B"/>
    <w:rsid w:val="00392484"/>
    <w:rsid w:val="0039307D"/>
    <w:rsid w:val="00393643"/>
    <w:rsid w:val="00393C0B"/>
    <w:rsid w:val="00394054"/>
    <w:rsid w:val="0039470C"/>
    <w:rsid w:val="003948CB"/>
    <w:rsid w:val="00394C17"/>
    <w:rsid w:val="00394D8E"/>
    <w:rsid w:val="003962D7"/>
    <w:rsid w:val="003969D6"/>
    <w:rsid w:val="00396C6A"/>
    <w:rsid w:val="0039741C"/>
    <w:rsid w:val="00397967"/>
    <w:rsid w:val="00397A25"/>
    <w:rsid w:val="00397D29"/>
    <w:rsid w:val="003A04DA"/>
    <w:rsid w:val="003A0D3F"/>
    <w:rsid w:val="003A0D59"/>
    <w:rsid w:val="003A0DBD"/>
    <w:rsid w:val="003A168E"/>
    <w:rsid w:val="003A195C"/>
    <w:rsid w:val="003A2BA1"/>
    <w:rsid w:val="003A2C64"/>
    <w:rsid w:val="003A32A2"/>
    <w:rsid w:val="003A4373"/>
    <w:rsid w:val="003A45E9"/>
    <w:rsid w:val="003A4802"/>
    <w:rsid w:val="003A48B7"/>
    <w:rsid w:val="003A48C6"/>
    <w:rsid w:val="003A49A0"/>
    <w:rsid w:val="003A4BA3"/>
    <w:rsid w:val="003A4CE1"/>
    <w:rsid w:val="003A503E"/>
    <w:rsid w:val="003A5B00"/>
    <w:rsid w:val="003A5F04"/>
    <w:rsid w:val="003A6BAD"/>
    <w:rsid w:val="003A6E2A"/>
    <w:rsid w:val="003A7AF5"/>
    <w:rsid w:val="003B02FA"/>
    <w:rsid w:val="003B0B5C"/>
    <w:rsid w:val="003B1731"/>
    <w:rsid w:val="003B1788"/>
    <w:rsid w:val="003B1AA7"/>
    <w:rsid w:val="003B1F66"/>
    <w:rsid w:val="003B2589"/>
    <w:rsid w:val="003B27FD"/>
    <w:rsid w:val="003B2D94"/>
    <w:rsid w:val="003B370E"/>
    <w:rsid w:val="003B3711"/>
    <w:rsid w:val="003B3919"/>
    <w:rsid w:val="003B3BB2"/>
    <w:rsid w:val="003B3DD0"/>
    <w:rsid w:val="003B420B"/>
    <w:rsid w:val="003B423A"/>
    <w:rsid w:val="003B4C9B"/>
    <w:rsid w:val="003B4CF9"/>
    <w:rsid w:val="003B568E"/>
    <w:rsid w:val="003B58AF"/>
    <w:rsid w:val="003B58CC"/>
    <w:rsid w:val="003B5B80"/>
    <w:rsid w:val="003B6C8C"/>
    <w:rsid w:val="003B6D8D"/>
    <w:rsid w:val="003B71F8"/>
    <w:rsid w:val="003B797D"/>
    <w:rsid w:val="003B7E88"/>
    <w:rsid w:val="003C0115"/>
    <w:rsid w:val="003C0214"/>
    <w:rsid w:val="003C0B43"/>
    <w:rsid w:val="003C1A84"/>
    <w:rsid w:val="003C1CC5"/>
    <w:rsid w:val="003C2672"/>
    <w:rsid w:val="003C3153"/>
    <w:rsid w:val="003C3197"/>
    <w:rsid w:val="003C3201"/>
    <w:rsid w:val="003C32A6"/>
    <w:rsid w:val="003C34A1"/>
    <w:rsid w:val="003C36DF"/>
    <w:rsid w:val="003C395C"/>
    <w:rsid w:val="003C3AC8"/>
    <w:rsid w:val="003C3C4E"/>
    <w:rsid w:val="003C4F7C"/>
    <w:rsid w:val="003C5AF8"/>
    <w:rsid w:val="003C5D3A"/>
    <w:rsid w:val="003C6251"/>
    <w:rsid w:val="003C6762"/>
    <w:rsid w:val="003C6B1A"/>
    <w:rsid w:val="003C748C"/>
    <w:rsid w:val="003D053E"/>
    <w:rsid w:val="003D1B43"/>
    <w:rsid w:val="003D237A"/>
    <w:rsid w:val="003D2E7D"/>
    <w:rsid w:val="003D2F1D"/>
    <w:rsid w:val="003D2F73"/>
    <w:rsid w:val="003D3079"/>
    <w:rsid w:val="003D3A68"/>
    <w:rsid w:val="003D3A90"/>
    <w:rsid w:val="003D45E9"/>
    <w:rsid w:val="003D47C4"/>
    <w:rsid w:val="003D55F9"/>
    <w:rsid w:val="003D5A66"/>
    <w:rsid w:val="003D6BA4"/>
    <w:rsid w:val="003D6C2E"/>
    <w:rsid w:val="003D71E8"/>
    <w:rsid w:val="003D7592"/>
    <w:rsid w:val="003D7BCB"/>
    <w:rsid w:val="003D7C05"/>
    <w:rsid w:val="003E0187"/>
    <w:rsid w:val="003E06BE"/>
    <w:rsid w:val="003E08BB"/>
    <w:rsid w:val="003E0955"/>
    <w:rsid w:val="003E15A1"/>
    <w:rsid w:val="003E18EB"/>
    <w:rsid w:val="003E195F"/>
    <w:rsid w:val="003E2493"/>
    <w:rsid w:val="003E2B11"/>
    <w:rsid w:val="003E3075"/>
    <w:rsid w:val="003E3664"/>
    <w:rsid w:val="003E37AB"/>
    <w:rsid w:val="003E3A30"/>
    <w:rsid w:val="003E4107"/>
    <w:rsid w:val="003E48E9"/>
    <w:rsid w:val="003E51DA"/>
    <w:rsid w:val="003E5DEF"/>
    <w:rsid w:val="003E679F"/>
    <w:rsid w:val="003E688B"/>
    <w:rsid w:val="003E6F30"/>
    <w:rsid w:val="003E7458"/>
    <w:rsid w:val="003F1153"/>
    <w:rsid w:val="003F141B"/>
    <w:rsid w:val="003F15CA"/>
    <w:rsid w:val="003F17A8"/>
    <w:rsid w:val="003F181A"/>
    <w:rsid w:val="003F18CF"/>
    <w:rsid w:val="003F22EE"/>
    <w:rsid w:val="003F2323"/>
    <w:rsid w:val="003F24C9"/>
    <w:rsid w:val="003F2AE8"/>
    <w:rsid w:val="003F2DBB"/>
    <w:rsid w:val="003F2EF9"/>
    <w:rsid w:val="003F3A38"/>
    <w:rsid w:val="003F4BEE"/>
    <w:rsid w:val="003F4E7A"/>
    <w:rsid w:val="003F4E81"/>
    <w:rsid w:val="003F5845"/>
    <w:rsid w:val="003F58E5"/>
    <w:rsid w:val="003F5B97"/>
    <w:rsid w:val="003F5C5F"/>
    <w:rsid w:val="003F5D4F"/>
    <w:rsid w:val="003F5D97"/>
    <w:rsid w:val="003F5F3A"/>
    <w:rsid w:val="003F66C1"/>
    <w:rsid w:val="003F6951"/>
    <w:rsid w:val="003F6DE0"/>
    <w:rsid w:val="003F73B5"/>
    <w:rsid w:val="004003C7"/>
    <w:rsid w:val="00401338"/>
    <w:rsid w:val="0040159B"/>
    <w:rsid w:val="00401995"/>
    <w:rsid w:val="00401FBF"/>
    <w:rsid w:val="00402421"/>
    <w:rsid w:val="004043A1"/>
    <w:rsid w:val="00404663"/>
    <w:rsid w:val="00404681"/>
    <w:rsid w:val="0040497E"/>
    <w:rsid w:val="00404BBA"/>
    <w:rsid w:val="00405443"/>
    <w:rsid w:val="004057C0"/>
    <w:rsid w:val="00405BC8"/>
    <w:rsid w:val="00405CCB"/>
    <w:rsid w:val="00405DFC"/>
    <w:rsid w:val="00406C5C"/>
    <w:rsid w:val="00407160"/>
    <w:rsid w:val="00407DE1"/>
    <w:rsid w:val="00407E98"/>
    <w:rsid w:val="00410D81"/>
    <w:rsid w:val="00411761"/>
    <w:rsid w:val="00411AA3"/>
    <w:rsid w:val="00411ED7"/>
    <w:rsid w:val="00411EF8"/>
    <w:rsid w:val="004120EA"/>
    <w:rsid w:val="00412BE0"/>
    <w:rsid w:val="00412DA4"/>
    <w:rsid w:val="00412EC5"/>
    <w:rsid w:val="00413F3B"/>
    <w:rsid w:val="00414017"/>
    <w:rsid w:val="004145B5"/>
    <w:rsid w:val="00415DCA"/>
    <w:rsid w:val="0041684F"/>
    <w:rsid w:val="00416EF3"/>
    <w:rsid w:val="00417AD3"/>
    <w:rsid w:val="00417C9E"/>
    <w:rsid w:val="00417D53"/>
    <w:rsid w:val="00420625"/>
    <w:rsid w:val="00420AD1"/>
    <w:rsid w:val="00420E3D"/>
    <w:rsid w:val="00421488"/>
    <w:rsid w:val="00421A18"/>
    <w:rsid w:val="0042203F"/>
    <w:rsid w:val="00422417"/>
    <w:rsid w:val="004229DE"/>
    <w:rsid w:val="00422D8E"/>
    <w:rsid w:val="00423224"/>
    <w:rsid w:val="0042329C"/>
    <w:rsid w:val="0042344F"/>
    <w:rsid w:val="00424233"/>
    <w:rsid w:val="00424259"/>
    <w:rsid w:val="004245E4"/>
    <w:rsid w:val="0042530A"/>
    <w:rsid w:val="00425508"/>
    <w:rsid w:val="00425EAB"/>
    <w:rsid w:val="004268A7"/>
    <w:rsid w:val="00426973"/>
    <w:rsid w:val="00427939"/>
    <w:rsid w:val="00430064"/>
    <w:rsid w:val="00430BF6"/>
    <w:rsid w:val="00430C1A"/>
    <w:rsid w:val="00431194"/>
    <w:rsid w:val="004311CE"/>
    <w:rsid w:val="004311EE"/>
    <w:rsid w:val="00431304"/>
    <w:rsid w:val="004317A7"/>
    <w:rsid w:val="00431A25"/>
    <w:rsid w:val="00431D22"/>
    <w:rsid w:val="00432581"/>
    <w:rsid w:val="00432836"/>
    <w:rsid w:val="00432C75"/>
    <w:rsid w:val="00432D01"/>
    <w:rsid w:val="0043314B"/>
    <w:rsid w:val="00434093"/>
    <w:rsid w:val="004345E4"/>
    <w:rsid w:val="00434A59"/>
    <w:rsid w:val="00434AC3"/>
    <w:rsid w:val="00435174"/>
    <w:rsid w:val="0043522E"/>
    <w:rsid w:val="00435374"/>
    <w:rsid w:val="0043546A"/>
    <w:rsid w:val="00435724"/>
    <w:rsid w:val="00435C28"/>
    <w:rsid w:val="00435F88"/>
    <w:rsid w:val="004361E7"/>
    <w:rsid w:val="00437414"/>
    <w:rsid w:val="004378B3"/>
    <w:rsid w:val="004379E8"/>
    <w:rsid w:val="004401D1"/>
    <w:rsid w:val="00440ACA"/>
    <w:rsid w:val="00440B32"/>
    <w:rsid w:val="004412FB"/>
    <w:rsid w:val="004416D8"/>
    <w:rsid w:val="00441AEB"/>
    <w:rsid w:val="00441C06"/>
    <w:rsid w:val="00442316"/>
    <w:rsid w:val="004426FA"/>
    <w:rsid w:val="00442744"/>
    <w:rsid w:val="004427B4"/>
    <w:rsid w:val="00442811"/>
    <w:rsid w:val="004433A5"/>
    <w:rsid w:val="0044349C"/>
    <w:rsid w:val="00443654"/>
    <w:rsid w:val="00443E31"/>
    <w:rsid w:val="0044423A"/>
    <w:rsid w:val="0044470B"/>
    <w:rsid w:val="0044556F"/>
    <w:rsid w:val="00445B68"/>
    <w:rsid w:val="00445CB5"/>
    <w:rsid w:val="00446D01"/>
    <w:rsid w:val="00447306"/>
    <w:rsid w:val="004479B8"/>
    <w:rsid w:val="00450B93"/>
    <w:rsid w:val="00450EA1"/>
    <w:rsid w:val="00451FA3"/>
    <w:rsid w:val="00452193"/>
    <w:rsid w:val="004523D2"/>
    <w:rsid w:val="00452840"/>
    <w:rsid w:val="004529B4"/>
    <w:rsid w:val="00452B14"/>
    <w:rsid w:val="00453CB3"/>
    <w:rsid w:val="00453E83"/>
    <w:rsid w:val="0045438E"/>
    <w:rsid w:val="00454D97"/>
    <w:rsid w:val="00454F0A"/>
    <w:rsid w:val="004553B3"/>
    <w:rsid w:val="00455842"/>
    <w:rsid w:val="00455E7B"/>
    <w:rsid w:val="0045663D"/>
    <w:rsid w:val="0045759C"/>
    <w:rsid w:val="00457AE6"/>
    <w:rsid w:val="00457F88"/>
    <w:rsid w:val="00457FE3"/>
    <w:rsid w:val="00460991"/>
    <w:rsid w:val="00460EE0"/>
    <w:rsid w:val="00461EA9"/>
    <w:rsid w:val="004624DE"/>
    <w:rsid w:val="00462617"/>
    <w:rsid w:val="00462C62"/>
    <w:rsid w:val="00463373"/>
    <w:rsid w:val="0046397C"/>
    <w:rsid w:val="00463DD7"/>
    <w:rsid w:val="00464295"/>
    <w:rsid w:val="00464712"/>
    <w:rsid w:val="00464846"/>
    <w:rsid w:val="00464B16"/>
    <w:rsid w:val="00464C1B"/>
    <w:rsid w:val="004653F6"/>
    <w:rsid w:val="00465901"/>
    <w:rsid w:val="004668E4"/>
    <w:rsid w:val="00466A2B"/>
    <w:rsid w:val="00466BF1"/>
    <w:rsid w:val="00466F45"/>
    <w:rsid w:val="00467093"/>
    <w:rsid w:val="00467983"/>
    <w:rsid w:val="004702FA"/>
    <w:rsid w:val="00470B09"/>
    <w:rsid w:val="00470FBF"/>
    <w:rsid w:val="004712FB"/>
    <w:rsid w:val="00471AB4"/>
    <w:rsid w:val="00471BB3"/>
    <w:rsid w:val="00471BB7"/>
    <w:rsid w:val="00471C60"/>
    <w:rsid w:val="00471D5E"/>
    <w:rsid w:val="00471EF2"/>
    <w:rsid w:val="004725B9"/>
    <w:rsid w:val="00472A10"/>
    <w:rsid w:val="00472B65"/>
    <w:rsid w:val="00472D5A"/>
    <w:rsid w:val="00472E3B"/>
    <w:rsid w:val="00472EFF"/>
    <w:rsid w:val="004734AC"/>
    <w:rsid w:val="00474063"/>
    <w:rsid w:val="00474231"/>
    <w:rsid w:val="00474342"/>
    <w:rsid w:val="0047471D"/>
    <w:rsid w:val="00474793"/>
    <w:rsid w:val="00475B20"/>
    <w:rsid w:val="0047630C"/>
    <w:rsid w:val="00476793"/>
    <w:rsid w:val="00476FAD"/>
    <w:rsid w:val="00476FD4"/>
    <w:rsid w:val="004771E1"/>
    <w:rsid w:val="004809D5"/>
    <w:rsid w:val="00481A72"/>
    <w:rsid w:val="00481B2A"/>
    <w:rsid w:val="00481CC6"/>
    <w:rsid w:val="00481DCD"/>
    <w:rsid w:val="00482091"/>
    <w:rsid w:val="0048237D"/>
    <w:rsid w:val="004824AA"/>
    <w:rsid w:val="004835FD"/>
    <w:rsid w:val="004839B7"/>
    <w:rsid w:val="004840F7"/>
    <w:rsid w:val="00484FA3"/>
    <w:rsid w:val="0048596E"/>
    <w:rsid w:val="00485BE9"/>
    <w:rsid w:val="00485D3C"/>
    <w:rsid w:val="004862B2"/>
    <w:rsid w:val="004868AA"/>
    <w:rsid w:val="00487697"/>
    <w:rsid w:val="0049042D"/>
    <w:rsid w:val="0049092E"/>
    <w:rsid w:val="00490DF2"/>
    <w:rsid w:val="00491AEF"/>
    <w:rsid w:val="00491CA7"/>
    <w:rsid w:val="00492505"/>
    <w:rsid w:val="004934FA"/>
    <w:rsid w:val="00493628"/>
    <w:rsid w:val="00493A25"/>
    <w:rsid w:val="00493B11"/>
    <w:rsid w:val="004945A2"/>
    <w:rsid w:val="00494B2D"/>
    <w:rsid w:val="00494BC6"/>
    <w:rsid w:val="00494CA2"/>
    <w:rsid w:val="004951A9"/>
    <w:rsid w:val="004959CB"/>
    <w:rsid w:val="00495B20"/>
    <w:rsid w:val="00495CF2"/>
    <w:rsid w:val="00496657"/>
    <w:rsid w:val="00496B3B"/>
    <w:rsid w:val="00496BDE"/>
    <w:rsid w:val="00497353"/>
    <w:rsid w:val="0049753D"/>
    <w:rsid w:val="004975F6"/>
    <w:rsid w:val="004A00A5"/>
    <w:rsid w:val="004A082C"/>
    <w:rsid w:val="004A084B"/>
    <w:rsid w:val="004A08C2"/>
    <w:rsid w:val="004A0DAD"/>
    <w:rsid w:val="004A187B"/>
    <w:rsid w:val="004A2242"/>
    <w:rsid w:val="004A2957"/>
    <w:rsid w:val="004A2AEF"/>
    <w:rsid w:val="004A2C39"/>
    <w:rsid w:val="004A2D3C"/>
    <w:rsid w:val="004A3040"/>
    <w:rsid w:val="004A31D4"/>
    <w:rsid w:val="004A3381"/>
    <w:rsid w:val="004A351F"/>
    <w:rsid w:val="004A4B10"/>
    <w:rsid w:val="004A5B9A"/>
    <w:rsid w:val="004A6822"/>
    <w:rsid w:val="004A7172"/>
    <w:rsid w:val="004A766C"/>
    <w:rsid w:val="004A78C8"/>
    <w:rsid w:val="004A79BF"/>
    <w:rsid w:val="004B03EA"/>
    <w:rsid w:val="004B0BD4"/>
    <w:rsid w:val="004B0DDA"/>
    <w:rsid w:val="004B0FA0"/>
    <w:rsid w:val="004B164F"/>
    <w:rsid w:val="004B2C1E"/>
    <w:rsid w:val="004B2F0A"/>
    <w:rsid w:val="004B3917"/>
    <w:rsid w:val="004B4022"/>
    <w:rsid w:val="004B4B51"/>
    <w:rsid w:val="004B5182"/>
    <w:rsid w:val="004B51C8"/>
    <w:rsid w:val="004B5321"/>
    <w:rsid w:val="004B5A41"/>
    <w:rsid w:val="004B6674"/>
    <w:rsid w:val="004B67B1"/>
    <w:rsid w:val="004B6E9F"/>
    <w:rsid w:val="004B7280"/>
    <w:rsid w:val="004C0E16"/>
    <w:rsid w:val="004C0F99"/>
    <w:rsid w:val="004C1D80"/>
    <w:rsid w:val="004C1FD5"/>
    <w:rsid w:val="004C23D6"/>
    <w:rsid w:val="004C2469"/>
    <w:rsid w:val="004C2662"/>
    <w:rsid w:val="004C4922"/>
    <w:rsid w:val="004C4B87"/>
    <w:rsid w:val="004C6687"/>
    <w:rsid w:val="004C7412"/>
    <w:rsid w:val="004C7602"/>
    <w:rsid w:val="004C7995"/>
    <w:rsid w:val="004D0142"/>
    <w:rsid w:val="004D04BF"/>
    <w:rsid w:val="004D0C15"/>
    <w:rsid w:val="004D0C6C"/>
    <w:rsid w:val="004D121A"/>
    <w:rsid w:val="004D13F2"/>
    <w:rsid w:val="004D27DC"/>
    <w:rsid w:val="004D28FF"/>
    <w:rsid w:val="004D2C1C"/>
    <w:rsid w:val="004D2D52"/>
    <w:rsid w:val="004D2E06"/>
    <w:rsid w:val="004D38DB"/>
    <w:rsid w:val="004D5348"/>
    <w:rsid w:val="004D585B"/>
    <w:rsid w:val="004D5C99"/>
    <w:rsid w:val="004D6D5C"/>
    <w:rsid w:val="004D735D"/>
    <w:rsid w:val="004D74E2"/>
    <w:rsid w:val="004D7618"/>
    <w:rsid w:val="004D7EE1"/>
    <w:rsid w:val="004E09B0"/>
    <w:rsid w:val="004E0DFF"/>
    <w:rsid w:val="004E12E8"/>
    <w:rsid w:val="004E142C"/>
    <w:rsid w:val="004E15EF"/>
    <w:rsid w:val="004E199B"/>
    <w:rsid w:val="004E2534"/>
    <w:rsid w:val="004E2F67"/>
    <w:rsid w:val="004E36B4"/>
    <w:rsid w:val="004E3B64"/>
    <w:rsid w:val="004E4704"/>
    <w:rsid w:val="004E4A24"/>
    <w:rsid w:val="004E4C9E"/>
    <w:rsid w:val="004E4FC6"/>
    <w:rsid w:val="004E5445"/>
    <w:rsid w:val="004E5B86"/>
    <w:rsid w:val="004E6231"/>
    <w:rsid w:val="004E62D6"/>
    <w:rsid w:val="004E62DE"/>
    <w:rsid w:val="004E63BF"/>
    <w:rsid w:val="004E6776"/>
    <w:rsid w:val="004E7E3A"/>
    <w:rsid w:val="004F00CC"/>
    <w:rsid w:val="004F00F7"/>
    <w:rsid w:val="004F085A"/>
    <w:rsid w:val="004F0DB4"/>
    <w:rsid w:val="004F1325"/>
    <w:rsid w:val="004F1AB5"/>
    <w:rsid w:val="004F1C7C"/>
    <w:rsid w:val="004F2566"/>
    <w:rsid w:val="004F31A5"/>
    <w:rsid w:val="004F3975"/>
    <w:rsid w:val="004F3DD4"/>
    <w:rsid w:val="004F4352"/>
    <w:rsid w:val="004F43D4"/>
    <w:rsid w:val="004F45DA"/>
    <w:rsid w:val="004F47AA"/>
    <w:rsid w:val="004F4E0E"/>
    <w:rsid w:val="004F4E3A"/>
    <w:rsid w:val="004F4E90"/>
    <w:rsid w:val="004F5435"/>
    <w:rsid w:val="004F5B12"/>
    <w:rsid w:val="004F5B65"/>
    <w:rsid w:val="004F6209"/>
    <w:rsid w:val="004F62B2"/>
    <w:rsid w:val="004F678C"/>
    <w:rsid w:val="004F71F3"/>
    <w:rsid w:val="004F7917"/>
    <w:rsid w:val="004F79F2"/>
    <w:rsid w:val="0050081A"/>
    <w:rsid w:val="00500991"/>
    <w:rsid w:val="00500DB2"/>
    <w:rsid w:val="00500F19"/>
    <w:rsid w:val="005011B3"/>
    <w:rsid w:val="00501486"/>
    <w:rsid w:val="005018C7"/>
    <w:rsid w:val="005022A9"/>
    <w:rsid w:val="00502412"/>
    <w:rsid w:val="00503F7D"/>
    <w:rsid w:val="005040D8"/>
    <w:rsid w:val="00504924"/>
    <w:rsid w:val="00505008"/>
    <w:rsid w:val="005054B0"/>
    <w:rsid w:val="005056D2"/>
    <w:rsid w:val="005067DE"/>
    <w:rsid w:val="00506BF5"/>
    <w:rsid w:val="00510390"/>
    <w:rsid w:val="00510771"/>
    <w:rsid w:val="005109DF"/>
    <w:rsid w:val="00510D7C"/>
    <w:rsid w:val="005111AD"/>
    <w:rsid w:val="00511F2B"/>
    <w:rsid w:val="005123F0"/>
    <w:rsid w:val="00512CC7"/>
    <w:rsid w:val="00512DF8"/>
    <w:rsid w:val="0051345C"/>
    <w:rsid w:val="005134E0"/>
    <w:rsid w:val="00513540"/>
    <w:rsid w:val="00513673"/>
    <w:rsid w:val="00513941"/>
    <w:rsid w:val="00513A04"/>
    <w:rsid w:val="00514218"/>
    <w:rsid w:val="00514245"/>
    <w:rsid w:val="00514734"/>
    <w:rsid w:val="005147BC"/>
    <w:rsid w:val="00514CAB"/>
    <w:rsid w:val="00515125"/>
    <w:rsid w:val="00515137"/>
    <w:rsid w:val="00515D7D"/>
    <w:rsid w:val="00515F77"/>
    <w:rsid w:val="00516E18"/>
    <w:rsid w:val="00516F00"/>
    <w:rsid w:val="005178CC"/>
    <w:rsid w:val="005179E3"/>
    <w:rsid w:val="0052006A"/>
    <w:rsid w:val="00520ABF"/>
    <w:rsid w:val="00520F82"/>
    <w:rsid w:val="00520FDF"/>
    <w:rsid w:val="00521451"/>
    <w:rsid w:val="00521B6F"/>
    <w:rsid w:val="00521D72"/>
    <w:rsid w:val="005223E0"/>
    <w:rsid w:val="0052295F"/>
    <w:rsid w:val="00522C99"/>
    <w:rsid w:val="00523140"/>
    <w:rsid w:val="00523616"/>
    <w:rsid w:val="00523920"/>
    <w:rsid w:val="0052463A"/>
    <w:rsid w:val="00524BB4"/>
    <w:rsid w:val="00524C5F"/>
    <w:rsid w:val="00525041"/>
    <w:rsid w:val="0052555A"/>
    <w:rsid w:val="00525EFA"/>
    <w:rsid w:val="00526130"/>
    <w:rsid w:val="005269BB"/>
    <w:rsid w:val="00526DD1"/>
    <w:rsid w:val="0053051D"/>
    <w:rsid w:val="005306B4"/>
    <w:rsid w:val="00530C25"/>
    <w:rsid w:val="005311E3"/>
    <w:rsid w:val="00531EF7"/>
    <w:rsid w:val="0053236C"/>
    <w:rsid w:val="00532DEF"/>
    <w:rsid w:val="005340CB"/>
    <w:rsid w:val="00534726"/>
    <w:rsid w:val="005347C5"/>
    <w:rsid w:val="0053495B"/>
    <w:rsid w:val="00534AB5"/>
    <w:rsid w:val="0053545D"/>
    <w:rsid w:val="0053557C"/>
    <w:rsid w:val="005358BB"/>
    <w:rsid w:val="00535A19"/>
    <w:rsid w:val="00535D29"/>
    <w:rsid w:val="005364A7"/>
    <w:rsid w:val="00536A88"/>
    <w:rsid w:val="00536CBC"/>
    <w:rsid w:val="00537191"/>
    <w:rsid w:val="00537937"/>
    <w:rsid w:val="00540357"/>
    <w:rsid w:val="005409DC"/>
    <w:rsid w:val="005410E2"/>
    <w:rsid w:val="00542430"/>
    <w:rsid w:val="005433C5"/>
    <w:rsid w:val="00543EA7"/>
    <w:rsid w:val="00544CFF"/>
    <w:rsid w:val="00546660"/>
    <w:rsid w:val="00546E00"/>
    <w:rsid w:val="005472AA"/>
    <w:rsid w:val="005473C6"/>
    <w:rsid w:val="00550023"/>
    <w:rsid w:val="005501EF"/>
    <w:rsid w:val="00550EC5"/>
    <w:rsid w:val="00550EE0"/>
    <w:rsid w:val="0055194C"/>
    <w:rsid w:val="00551ADA"/>
    <w:rsid w:val="00553972"/>
    <w:rsid w:val="00553DDF"/>
    <w:rsid w:val="0055440E"/>
    <w:rsid w:val="0055564A"/>
    <w:rsid w:val="00555C5E"/>
    <w:rsid w:val="0055607C"/>
    <w:rsid w:val="005567E5"/>
    <w:rsid w:val="00556841"/>
    <w:rsid w:val="005569CD"/>
    <w:rsid w:val="00556BB7"/>
    <w:rsid w:val="00556CBC"/>
    <w:rsid w:val="00556EC1"/>
    <w:rsid w:val="00556EED"/>
    <w:rsid w:val="005576E7"/>
    <w:rsid w:val="00560FE3"/>
    <w:rsid w:val="00561003"/>
    <w:rsid w:val="0056143C"/>
    <w:rsid w:val="005617DD"/>
    <w:rsid w:val="00561B2B"/>
    <w:rsid w:val="00561D68"/>
    <w:rsid w:val="00561D92"/>
    <w:rsid w:val="00561DE0"/>
    <w:rsid w:val="00562491"/>
    <w:rsid w:val="005627BE"/>
    <w:rsid w:val="0056308C"/>
    <w:rsid w:val="00563843"/>
    <w:rsid w:val="00564181"/>
    <w:rsid w:val="00564208"/>
    <w:rsid w:val="005642B2"/>
    <w:rsid w:val="00564835"/>
    <w:rsid w:val="00564BCB"/>
    <w:rsid w:val="0056501B"/>
    <w:rsid w:val="0056656B"/>
    <w:rsid w:val="00566E8A"/>
    <w:rsid w:val="005675AD"/>
    <w:rsid w:val="005677A6"/>
    <w:rsid w:val="005677CA"/>
    <w:rsid w:val="00567F31"/>
    <w:rsid w:val="00567F88"/>
    <w:rsid w:val="00570525"/>
    <w:rsid w:val="005709F3"/>
    <w:rsid w:val="005713E6"/>
    <w:rsid w:val="005715AA"/>
    <w:rsid w:val="00571858"/>
    <w:rsid w:val="00571CEB"/>
    <w:rsid w:val="00572A67"/>
    <w:rsid w:val="00572B0B"/>
    <w:rsid w:val="00572F78"/>
    <w:rsid w:val="005733CE"/>
    <w:rsid w:val="005737E1"/>
    <w:rsid w:val="00573869"/>
    <w:rsid w:val="00573D1C"/>
    <w:rsid w:val="00573FB4"/>
    <w:rsid w:val="00574077"/>
    <w:rsid w:val="00574703"/>
    <w:rsid w:val="00574984"/>
    <w:rsid w:val="005755B2"/>
    <w:rsid w:val="005757FC"/>
    <w:rsid w:val="00575872"/>
    <w:rsid w:val="00575EAE"/>
    <w:rsid w:val="005764F0"/>
    <w:rsid w:val="00576532"/>
    <w:rsid w:val="005766A2"/>
    <w:rsid w:val="005767A3"/>
    <w:rsid w:val="00576AA7"/>
    <w:rsid w:val="00576C37"/>
    <w:rsid w:val="00577846"/>
    <w:rsid w:val="005778C8"/>
    <w:rsid w:val="00577A34"/>
    <w:rsid w:val="00577A61"/>
    <w:rsid w:val="0058042A"/>
    <w:rsid w:val="00580550"/>
    <w:rsid w:val="00580F51"/>
    <w:rsid w:val="0058149B"/>
    <w:rsid w:val="005815DB"/>
    <w:rsid w:val="00581677"/>
    <w:rsid w:val="00581F3C"/>
    <w:rsid w:val="00582637"/>
    <w:rsid w:val="00582832"/>
    <w:rsid w:val="00582876"/>
    <w:rsid w:val="00582971"/>
    <w:rsid w:val="00582B6E"/>
    <w:rsid w:val="00583934"/>
    <w:rsid w:val="00584031"/>
    <w:rsid w:val="005841E8"/>
    <w:rsid w:val="00584241"/>
    <w:rsid w:val="00584344"/>
    <w:rsid w:val="0058442E"/>
    <w:rsid w:val="00584445"/>
    <w:rsid w:val="00584BBB"/>
    <w:rsid w:val="00584C63"/>
    <w:rsid w:val="005850F4"/>
    <w:rsid w:val="005852FF"/>
    <w:rsid w:val="005853F3"/>
    <w:rsid w:val="00586666"/>
    <w:rsid w:val="005866E0"/>
    <w:rsid w:val="00586A42"/>
    <w:rsid w:val="00586F4E"/>
    <w:rsid w:val="005907EA"/>
    <w:rsid w:val="00590D75"/>
    <w:rsid w:val="00590F80"/>
    <w:rsid w:val="00591489"/>
    <w:rsid w:val="005916E1"/>
    <w:rsid w:val="0059187B"/>
    <w:rsid w:val="00591951"/>
    <w:rsid w:val="00591D96"/>
    <w:rsid w:val="00592205"/>
    <w:rsid w:val="00592756"/>
    <w:rsid w:val="00592EB2"/>
    <w:rsid w:val="00593393"/>
    <w:rsid w:val="00593CFC"/>
    <w:rsid w:val="005949BF"/>
    <w:rsid w:val="00594C2B"/>
    <w:rsid w:val="00594EE5"/>
    <w:rsid w:val="00595308"/>
    <w:rsid w:val="005960E4"/>
    <w:rsid w:val="0059646A"/>
    <w:rsid w:val="0059787F"/>
    <w:rsid w:val="005A04BE"/>
    <w:rsid w:val="005A0964"/>
    <w:rsid w:val="005A141B"/>
    <w:rsid w:val="005A20D9"/>
    <w:rsid w:val="005A2520"/>
    <w:rsid w:val="005A3041"/>
    <w:rsid w:val="005A3634"/>
    <w:rsid w:val="005A3BC9"/>
    <w:rsid w:val="005A3BE2"/>
    <w:rsid w:val="005A3E31"/>
    <w:rsid w:val="005A43B0"/>
    <w:rsid w:val="005A4569"/>
    <w:rsid w:val="005A4801"/>
    <w:rsid w:val="005A4CC9"/>
    <w:rsid w:val="005A4FF8"/>
    <w:rsid w:val="005A5C7C"/>
    <w:rsid w:val="005A5E10"/>
    <w:rsid w:val="005A6117"/>
    <w:rsid w:val="005A6FA2"/>
    <w:rsid w:val="005A762A"/>
    <w:rsid w:val="005A7B6D"/>
    <w:rsid w:val="005B0029"/>
    <w:rsid w:val="005B036D"/>
    <w:rsid w:val="005B03FF"/>
    <w:rsid w:val="005B067B"/>
    <w:rsid w:val="005B0687"/>
    <w:rsid w:val="005B07E6"/>
    <w:rsid w:val="005B1B57"/>
    <w:rsid w:val="005B1D12"/>
    <w:rsid w:val="005B1EA8"/>
    <w:rsid w:val="005B2363"/>
    <w:rsid w:val="005B2560"/>
    <w:rsid w:val="005B2CFC"/>
    <w:rsid w:val="005B2D62"/>
    <w:rsid w:val="005B36F6"/>
    <w:rsid w:val="005B3A27"/>
    <w:rsid w:val="005B3C03"/>
    <w:rsid w:val="005B3E02"/>
    <w:rsid w:val="005B3E1A"/>
    <w:rsid w:val="005B4BF0"/>
    <w:rsid w:val="005B4F1F"/>
    <w:rsid w:val="005B5245"/>
    <w:rsid w:val="005B545C"/>
    <w:rsid w:val="005B5785"/>
    <w:rsid w:val="005B5C88"/>
    <w:rsid w:val="005B5D5E"/>
    <w:rsid w:val="005B6453"/>
    <w:rsid w:val="005B6699"/>
    <w:rsid w:val="005B675B"/>
    <w:rsid w:val="005B69FD"/>
    <w:rsid w:val="005B6AC4"/>
    <w:rsid w:val="005B6BC9"/>
    <w:rsid w:val="005B6FE0"/>
    <w:rsid w:val="005B784C"/>
    <w:rsid w:val="005B7B5B"/>
    <w:rsid w:val="005B7D5A"/>
    <w:rsid w:val="005C023E"/>
    <w:rsid w:val="005C16AF"/>
    <w:rsid w:val="005C1A4D"/>
    <w:rsid w:val="005C1C23"/>
    <w:rsid w:val="005C211E"/>
    <w:rsid w:val="005C2371"/>
    <w:rsid w:val="005C250D"/>
    <w:rsid w:val="005C2A17"/>
    <w:rsid w:val="005C2ECF"/>
    <w:rsid w:val="005C353C"/>
    <w:rsid w:val="005C39DB"/>
    <w:rsid w:val="005C3ADA"/>
    <w:rsid w:val="005C3F8E"/>
    <w:rsid w:val="005C4B63"/>
    <w:rsid w:val="005C4BC1"/>
    <w:rsid w:val="005C4E29"/>
    <w:rsid w:val="005C500C"/>
    <w:rsid w:val="005C503C"/>
    <w:rsid w:val="005C52B8"/>
    <w:rsid w:val="005C52CF"/>
    <w:rsid w:val="005C5C55"/>
    <w:rsid w:val="005C5CD2"/>
    <w:rsid w:val="005C5D41"/>
    <w:rsid w:val="005C61D1"/>
    <w:rsid w:val="005C6CF2"/>
    <w:rsid w:val="005C6D25"/>
    <w:rsid w:val="005C6F6D"/>
    <w:rsid w:val="005C78D4"/>
    <w:rsid w:val="005C7BA7"/>
    <w:rsid w:val="005C7C2A"/>
    <w:rsid w:val="005D0094"/>
    <w:rsid w:val="005D015E"/>
    <w:rsid w:val="005D031D"/>
    <w:rsid w:val="005D04DC"/>
    <w:rsid w:val="005D0CA5"/>
    <w:rsid w:val="005D1EEF"/>
    <w:rsid w:val="005D1F34"/>
    <w:rsid w:val="005D2F4B"/>
    <w:rsid w:val="005D31F4"/>
    <w:rsid w:val="005D383D"/>
    <w:rsid w:val="005D3AAC"/>
    <w:rsid w:val="005D3F16"/>
    <w:rsid w:val="005D44F7"/>
    <w:rsid w:val="005D4845"/>
    <w:rsid w:val="005D4AC8"/>
    <w:rsid w:val="005D4F8D"/>
    <w:rsid w:val="005D5318"/>
    <w:rsid w:val="005D5350"/>
    <w:rsid w:val="005D553E"/>
    <w:rsid w:val="005D5CED"/>
    <w:rsid w:val="005D610B"/>
    <w:rsid w:val="005D70B2"/>
    <w:rsid w:val="005D758D"/>
    <w:rsid w:val="005D7F5A"/>
    <w:rsid w:val="005E01FA"/>
    <w:rsid w:val="005E04FF"/>
    <w:rsid w:val="005E1DB8"/>
    <w:rsid w:val="005E2B0A"/>
    <w:rsid w:val="005E2EE7"/>
    <w:rsid w:val="005E30F3"/>
    <w:rsid w:val="005E3118"/>
    <w:rsid w:val="005E326D"/>
    <w:rsid w:val="005E4784"/>
    <w:rsid w:val="005E4802"/>
    <w:rsid w:val="005E4856"/>
    <w:rsid w:val="005E50D2"/>
    <w:rsid w:val="005E51E1"/>
    <w:rsid w:val="005E593C"/>
    <w:rsid w:val="005F0521"/>
    <w:rsid w:val="005F0DC8"/>
    <w:rsid w:val="005F0F34"/>
    <w:rsid w:val="005F1381"/>
    <w:rsid w:val="005F13BE"/>
    <w:rsid w:val="005F1641"/>
    <w:rsid w:val="005F16E5"/>
    <w:rsid w:val="005F2780"/>
    <w:rsid w:val="005F3041"/>
    <w:rsid w:val="005F3257"/>
    <w:rsid w:val="005F3266"/>
    <w:rsid w:val="005F332B"/>
    <w:rsid w:val="005F3871"/>
    <w:rsid w:val="005F390F"/>
    <w:rsid w:val="005F45C6"/>
    <w:rsid w:val="005F55A6"/>
    <w:rsid w:val="005F57AD"/>
    <w:rsid w:val="005F60EA"/>
    <w:rsid w:val="005F6B12"/>
    <w:rsid w:val="005F7058"/>
    <w:rsid w:val="005F72C8"/>
    <w:rsid w:val="005F73DE"/>
    <w:rsid w:val="005F7B00"/>
    <w:rsid w:val="005F7C6B"/>
    <w:rsid w:val="005F7EA5"/>
    <w:rsid w:val="005F7F5C"/>
    <w:rsid w:val="0060018A"/>
    <w:rsid w:val="006004DD"/>
    <w:rsid w:val="00600530"/>
    <w:rsid w:val="00601273"/>
    <w:rsid w:val="00601344"/>
    <w:rsid w:val="006013F1"/>
    <w:rsid w:val="00601585"/>
    <w:rsid w:val="00601766"/>
    <w:rsid w:val="00601A6E"/>
    <w:rsid w:val="00601ED4"/>
    <w:rsid w:val="006026A7"/>
    <w:rsid w:val="006029B3"/>
    <w:rsid w:val="006037CF"/>
    <w:rsid w:val="0060385F"/>
    <w:rsid w:val="0060396B"/>
    <w:rsid w:val="00603C84"/>
    <w:rsid w:val="006056C9"/>
    <w:rsid w:val="00605717"/>
    <w:rsid w:val="00605A53"/>
    <w:rsid w:val="00605F63"/>
    <w:rsid w:val="00606F6A"/>
    <w:rsid w:val="006071AA"/>
    <w:rsid w:val="006077A9"/>
    <w:rsid w:val="00607E93"/>
    <w:rsid w:val="0061005E"/>
    <w:rsid w:val="00610220"/>
    <w:rsid w:val="00610554"/>
    <w:rsid w:val="0061084B"/>
    <w:rsid w:val="00610B8D"/>
    <w:rsid w:val="00610C7E"/>
    <w:rsid w:val="00610FB9"/>
    <w:rsid w:val="00611057"/>
    <w:rsid w:val="00611385"/>
    <w:rsid w:val="006114CE"/>
    <w:rsid w:val="0061158B"/>
    <w:rsid w:val="0061177F"/>
    <w:rsid w:val="00611D3B"/>
    <w:rsid w:val="00612AD9"/>
    <w:rsid w:val="00613A3B"/>
    <w:rsid w:val="00613AFB"/>
    <w:rsid w:val="00613EFF"/>
    <w:rsid w:val="00614E87"/>
    <w:rsid w:val="00615101"/>
    <w:rsid w:val="006168A6"/>
    <w:rsid w:val="00616F88"/>
    <w:rsid w:val="00617D4A"/>
    <w:rsid w:val="00617D78"/>
    <w:rsid w:val="0062001A"/>
    <w:rsid w:val="0062045B"/>
    <w:rsid w:val="00620B37"/>
    <w:rsid w:val="00620B48"/>
    <w:rsid w:val="00621291"/>
    <w:rsid w:val="00621F06"/>
    <w:rsid w:val="00622508"/>
    <w:rsid w:val="00622624"/>
    <w:rsid w:val="00623598"/>
    <w:rsid w:val="00623DD0"/>
    <w:rsid w:val="00623DE8"/>
    <w:rsid w:val="0062445B"/>
    <w:rsid w:val="00624571"/>
    <w:rsid w:val="00624761"/>
    <w:rsid w:val="0062478E"/>
    <w:rsid w:val="00624DB0"/>
    <w:rsid w:val="00624F2F"/>
    <w:rsid w:val="0062522C"/>
    <w:rsid w:val="006253E5"/>
    <w:rsid w:val="006254F2"/>
    <w:rsid w:val="006258F9"/>
    <w:rsid w:val="00626932"/>
    <w:rsid w:val="00626AE5"/>
    <w:rsid w:val="00626C7B"/>
    <w:rsid w:val="006270AD"/>
    <w:rsid w:val="0063009F"/>
    <w:rsid w:val="0063072E"/>
    <w:rsid w:val="006309A6"/>
    <w:rsid w:val="006309C9"/>
    <w:rsid w:val="00630A20"/>
    <w:rsid w:val="006314E1"/>
    <w:rsid w:val="006316E3"/>
    <w:rsid w:val="00631820"/>
    <w:rsid w:val="00631D49"/>
    <w:rsid w:val="0063235F"/>
    <w:rsid w:val="0063258B"/>
    <w:rsid w:val="00632938"/>
    <w:rsid w:val="00633340"/>
    <w:rsid w:val="0063363E"/>
    <w:rsid w:val="0063394D"/>
    <w:rsid w:val="006342C6"/>
    <w:rsid w:val="0063441B"/>
    <w:rsid w:val="0063493E"/>
    <w:rsid w:val="00634C7B"/>
    <w:rsid w:val="00634EBE"/>
    <w:rsid w:val="00634EF6"/>
    <w:rsid w:val="0063507B"/>
    <w:rsid w:val="0063536C"/>
    <w:rsid w:val="006355A1"/>
    <w:rsid w:val="006356C5"/>
    <w:rsid w:val="00635913"/>
    <w:rsid w:val="00635D75"/>
    <w:rsid w:val="00636474"/>
    <w:rsid w:val="006404F2"/>
    <w:rsid w:val="00640954"/>
    <w:rsid w:val="0064148C"/>
    <w:rsid w:val="00641561"/>
    <w:rsid w:val="00641613"/>
    <w:rsid w:val="006420F7"/>
    <w:rsid w:val="00642308"/>
    <w:rsid w:val="006428C2"/>
    <w:rsid w:val="006429C5"/>
    <w:rsid w:val="00642A35"/>
    <w:rsid w:val="00642FF0"/>
    <w:rsid w:val="0064366E"/>
    <w:rsid w:val="0064452F"/>
    <w:rsid w:val="00644820"/>
    <w:rsid w:val="00644A75"/>
    <w:rsid w:val="0064506F"/>
    <w:rsid w:val="006450C0"/>
    <w:rsid w:val="006452BD"/>
    <w:rsid w:val="00645637"/>
    <w:rsid w:val="006458F5"/>
    <w:rsid w:val="00645A8A"/>
    <w:rsid w:val="006468B3"/>
    <w:rsid w:val="0064690D"/>
    <w:rsid w:val="00646B8E"/>
    <w:rsid w:val="00646D0F"/>
    <w:rsid w:val="006474D3"/>
    <w:rsid w:val="0064793B"/>
    <w:rsid w:val="0065028E"/>
    <w:rsid w:val="00650E26"/>
    <w:rsid w:val="00650E34"/>
    <w:rsid w:val="00651422"/>
    <w:rsid w:val="006516EF"/>
    <w:rsid w:val="00651967"/>
    <w:rsid w:val="00651ED4"/>
    <w:rsid w:val="00652000"/>
    <w:rsid w:val="006521C2"/>
    <w:rsid w:val="0065236F"/>
    <w:rsid w:val="006527D9"/>
    <w:rsid w:val="00652E2D"/>
    <w:rsid w:val="00652FBC"/>
    <w:rsid w:val="00653CE2"/>
    <w:rsid w:val="006540BE"/>
    <w:rsid w:val="0065436B"/>
    <w:rsid w:val="00654793"/>
    <w:rsid w:val="00654A56"/>
    <w:rsid w:val="00654C51"/>
    <w:rsid w:val="00655A45"/>
    <w:rsid w:val="00655F3B"/>
    <w:rsid w:val="00656FC5"/>
    <w:rsid w:val="0065763E"/>
    <w:rsid w:val="006578BE"/>
    <w:rsid w:val="00657AA8"/>
    <w:rsid w:val="006602A8"/>
    <w:rsid w:val="00660C18"/>
    <w:rsid w:val="00660D4A"/>
    <w:rsid w:val="00661AF8"/>
    <w:rsid w:val="00661BE2"/>
    <w:rsid w:val="00662C71"/>
    <w:rsid w:val="006635C8"/>
    <w:rsid w:val="00664251"/>
    <w:rsid w:val="00665329"/>
    <w:rsid w:val="006663C8"/>
    <w:rsid w:val="00666A02"/>
    <w:rsid w:val="00667007"/>
    <w:rsid w:val="006673C6"/>
    <w:rsid w:val="006678BD"/>
    <w:rsid w:val="00670662"/>
    <w:rsid w:val="00670809"/>
    <w:rsid w:val="0067096F"/>
    <w:rsid w:val="006709F7"/>
    <w:rsid w:val="00670A4E"/>
    <w:rsid w:val="00671981"/>
    <w:rsid w:val="00671D11"/>
    <w:rsid w:val="00671EBA"/>
    <w:rsid w:val="0067211F"/>
    <w:rsid w:val="00672D03"/>
    <w:rsid w:val="0067326E"/>
    <w:rsid w:val="00673BC8"/>
    <w:rsid w:val="006745A4"/>
    <w:rsid w:val="00674731"/>
    <w:rsid w:val="00674903"/>
    <w:rsid w:val="00674D27"/>
    <w:rsid w:val="006753E5"/>
    <w:rsid w:val="006755A5"/>
    <w:rsid w:val="006755FD"/>
    <w:rsid w:val="00675ABC"/>
    <w:rsid w:val="00675FF0"/>
    <w:rsid w:val="0067680B"/>
    <w:rsid w:val="00676F08"/>
    <w:rsid w:val="00676FCB"/>
    <w:rsid w:val="00677680"/>
    <w:rsid w:val="006779F7"/>
    <w:rsid w:val="00680094"/>
    <w:rsid w:val="00680B00"/>
    <w:rsid w:val="00680BF6"/>
    <w:rsid w:val="00681624"/>
    <w:rsid w:val="006823EC"/>
    <w:rsid w:val="006829B4"/>
    <w:rsid w:val="00682AF9"/>
    <w:rsid w:val="00682B54"/>
    <w:rsid w:val="00684294"/>
    <w:rsid w:val="006842E6"/>
    <w:rsid w:val="00684476"/>
    <w:rsid w:val="00684766"/>
    <w:rsid w:val="00684A02"/>
    <w:rsid w:val="00684A41"/>
    <w:rsid w:val="00684C92"/>
    <w:rsid w:val="00685376"/>
    <w:rsid w:val="006855C5"/>
    <w:rsid w:val="00685A32"/>
    <w:rsid w:val="00685BB8"/>
    <w:rsid w:val="00686C1D"/>
    <w:rsid w:val="00686DE2"/>
    <w:rsid w:val="00687746"/>
    <w:rsid w:val="0068783B"/>
    <w:rsid w:val="00687BDD"/>
    <w:rsid w:val="00690165"/>
    <w:rsid w:val="006911E3"/>
    <w:rsid w:val="006915A3"/>
    <w:rsid w:val="00691C59"/>
    <w:rsid w:val="006922EC"/>
    <w:rsid w:val="00692FEC"/>
    <w:rsid w:val="006937A1"/>
    <w:rsid w:val="00693E5F"/>
    <w:rsid w:val="0069411D"/>
    <w:rsid w:val="0069443E"/>
    <w:rsid w:val="00694440"/>
    <w:rsid w:val="006945F8"/>
    <w:rsid w:val="00694726"/>
    <w:rsid w:val="0069478D"/>
    <w:rsid w:val="00694F5B"/>
    <w:rsid w:val="006953D0"/>
    <w:rsid w:val="00695823"/>
    <w:rsid w:val="00695FB1"/>
    <w:rsid w:val="0069662F"/>
    <w:rsid w:val="00696A7A"/>
    <w:rsid w:val="00697385"/>
    <w:rsid w:val="006973BD"/>
    <w:rsid w:val="00697538"/>
    <w:rsid w:val="0069764E"/>
    <w:rsid w:val="00697AA8"/>
    <w:rsid w:val="00697ACE"/>
    <w:rsid w:val="006A00AF"/>
    <w:rsid w:val="006A081B"/>
    <w:rsid w:val="006A0DC7"/>
    <w:rsid w:val="006A0E43"/>
    <w:rsid w:val="006A1A61"/>
    <w:rsid w:val="006A2AFA"/>
    <w:rsid w:val="006A3611"/>
    <w:rsid w:val="006A4ACE"/>
    <w:rsid w:val="006A5FBC"/>
    <w:rsid w:val="006A6497"/>
    <w:rsid w:val="006A691C"/>
    <w:rsid w:val="006A6BB3"/>
    <w:rsid w:val="006A756A"/>
    <w:rsid w:val="006A779D"/>
    <w:rsid w:val="006A7AD1"/>
    <w:rsid w:val="006A7F40"/>
    <w:rsid w:val="006B05CD"/>
    <w:rsid w:val="006B0A6C"/>
    <w:rsid w:val="006B15C7"/>
    <w:rsid w:val="006B2561"/>
    <w:rsid w:val="006B26C0"/>
    <w:rsid w:val="006B390A"/>
    <w:rsid w:val="006B3DE1"/>
    <w:rsid w:val="006B46CD"/>
    <w:rsid w:val="006B5434"/>
    <w:rsid w:val="006B57A9"/>
    <w:rsid w:val="006B59C8"/>
    <w:rsid w:val="006B61F1"/>
    <w:rsid w:val="006B63D6"/>
    <w:rsid w:val="006B662A"/>
    <w:rsid w:val="006B670F"/>
    <w:rsid w:val="006B740D"/>
    <w:rsid w:val="006B77FD"/>
    <w:rsid w:val="006B78FF"/>
    <w:rsid w:val="006B7DBD"/>
    <w:rsid w:val="006B7E9D"/>
    <w:rsid w:val="006B7F5C"/>
    <w:rsid w:val="006C0642"/>
    <w:rsid w:val="006C082A"/>
    <w:rsid w:val="006C0B0A"/>
    <w:rsid w:val="006C0C26"/>
    <w:rsid w:val="006C1DEB"/>
    <w:rsid w:val="006C1FA5"/>
    <w:rsid w:val="006C20CC"/>
    <w:rsid w:val="006C2F44"/>
    <w:rsid w:val="006C3478"/>
    <w:rsid w:val="006C3871"/>
    <w:rsid w:val="006C3DB4"/>
    <w:rsid w:val="006C4445"/>
    <w:rsid w:val="006C4C3E"/>
    <w:rsid w:val="006C50AC"/>
    <w:rsid w:val="006C5DE6"/>
    <w:rsid w:val="006C6AA2"/>
    <w:rsid w:val="006C6C62"/>
    <w:rsid w:val="006C730B"/>
    <w:rsid w:val="006C78F3"/>
    <w:rsid w:val="006C7CEB"/>
    <w:rsid w:val="006C7E5A"/>
    <w:rsid w:val="006C7F69"/>
    <w:rsid w:val="006D02DE"/>
    <w:rsid w:val="006D0407"/>
    <w:rsid w:val="006D0A17"/>
    <w:rsid w:val="006D0F8D"/>
    <w:rsid w:val="006D1582"/>
    <w:rsid w:val="006D15F8"/>
    <w:rsid w:val="006D1CC4"/>
    <w:rsid w:val="006D213E"/>
    <w:rsid w:val="006D2808"/>
    <w:rsid w:val="006D2D61"/>
    <w:rsid w:val="006D2EA4"/>
    <w:rsid w:val="006D2F51"/>
    <w:rsid w:val="006D3351"/>
    <w:rsid w:val="006D3C0A"/>
    <w:rsid w:val="006D3FB8"/>
    <w:rsid w:val="006D40F5"/>
    <w:rsid w:val="006D4E36"/>
    <w:rsid w:val="006D508E"/>
    <w:rsid w:val="006D594F"/>
    <w:rsid w:val="006D5CC5"/>
    <w:rsid w:val="006D5EE5"/>
    <w:rsid w:val="006D63F8"/>
    <w:rsid w:val="006D66B1"/>
    <w:rsid w:val="006D6735"/>
    <w:rsid w:val="006D6FDD"/>
    <w:rsid w:val="006D7101"/>
    <w:rsid w:val="006D72A2"/>
    <w:rsid w:val="006E0A6B"/>
    <w:rsid w:val="006E0A9C"/>
    <w:rsid w:val="006E0DB4"/>
    <w:rsid w:val="006E0EC4"/>
    <w:rsid w:val="006E0F8E"/>
    <w:rsid w:val="006E103A"/>
    <w:rsid w:val="006E197F"/>
    <w:rsid w:val="006E1B61"/>
    <w:rsid w:val="006E1DCB"/>
    <w:rsid w:val="006E2975"/>
    <w:rsid w:val="006E2B6D"/>
    <w:rsid w:val="006E34CB"/>
    <w:rsid w:val="006E3B7D"/>
    <w:rsid w:val="006E3BF5"/>
    <w:rsid w:val="006E4101"/>
    <w:rsid w:val="006E4B50"/>
    <w:rsid w:val="006E4CED"/>
    <w:rsid w:val="006E56A0"/>
    <w:rsid w:val="006E595F"/>
    <w:rsid w:val="006E6305"/>
    <w:rsid w:val="006E64B2"/>
    <w:rsid w:val="006E6630"/>
    <w:rsid w:val="006E6D3B"/>
    <w:rsid w:val="006E6E0A"/>
    <w:rsid w:val="006E7533"/>
    <w:rsid w:val="006E79CF"/>
    <w:rsid w:val="006E7F77"/>
    <w:rsid w:val="006F05FE"/>
    <w:rsid w:val="006F12E8"/>
    <w:rsid w:val="006F1640"/>
    <w:rsid w:val="006F1A69"/>
    <w:rsid w:val="006F1B9F"/>
    <w:rsid w:val="006F1DF8"/>
    <w:rsid w:val="006F21D8"/>
    <w:rsid w:val="006F2636"/>
    <w:rsid w:val="006F2A10"/>
    <w:rsid w:val="006F2B72"/>
    <w:rsid w:val="006F2F7A"/>
    <w:rsid w:val="006F3392"/>
    <w:rsid w:val="006F3411"/>
    <w:rsid w:val="006F36A0"/>
    <w:rsid w:val="006F3A1B"/>
    <w:rsid w:val="006F43DE"/>
    <w:rsid w:val="006F4440"/>
    <w:rsid w:val="006F5361"/>
    <w:rsid w:val="006F55BC"/>
    <w:rsid w:val="006F5634"/>
    <w:rsid w:val="006F5CA0"/>
    <w:rsid w:val="006F5D73"/>
    <w:rsid w:val="006F6605"/>
    <w:rsid w:val="006F6AA4"/>
    <w:rsid w:val="006F72EC"/>
    <w:rsid w:val="006F78F4"/>
    <w:rsid w:val="006F7CFD"/>
    <w:rsid w:val="0070002D"/>
    <w:rsid w:val="00700643"/>
    <w:rsid w:val="00700DCE"/>
    <w:rsid w:val="00701338"/>
    <w:rsid w:val="00701C2B"/>
    <w:rsid w:val="00701D05"/>
    <w:rsid w:val="0070231A"/>
    <w:rsid w:val="0070307C"/>
    <w:rsid w:val="0070341E"/>
    <w:rsid w:val="00703E6B"/>
    <w:rsid w:val="007040D5"/>
    <w:rsid w:val="00704677"/>
    <w:rsid w:val="00704A6A"/>
    <w:rsid w:val="007051B2"/>
    <w:rsid w:val="00705A49"/>
    <w:rsid w:val="007071F6"/>
    <w:rsid w:val="00707A1A"/>
    <w:rsid w:val="00707B29"/>
    <w:rsid w:val="00707CA8"/>
    <w:rsid w:val="00707EF8"/>
    <w:rsid w:val="00710182"/>
    <w:rsid w:val="007116D1"/>
    <w:rsid w:val="00711762"/>
    <w:rsid w:val="00711A1C"/>
    <w:rsid w:val="00711BF4"/>
    <w:rsid w:val="00711C90"/>
    <w:rsid w:val="0071232D"/>
    <w:rsid w:val="00712696"/>
    <w:rsid w:val="00713080"/>
    <w:rsid w:val="00713410"/>
    <w:rsid w:val="007137A8"/>
    <w:rsid w:val="00713ADA"/>
    <w:rsid w:val="00713BF8"/>
    <w:rsid w:val="00713D0A"/>
    <w:rsid w:val="0071426C"/>
    <w:rsid w:val="0071455B"/>
    <w:rsid w:val="007149A7"/>
    <w:rsid w:val="00714DF2"/>
    <w:rsid w:val="00714ED8"/>
    <w:rsid w:val="00714FF5"/>
    <w:rsid w:val="007152A8"/>
    <w:rsid w:val="0071593D"/>
    <w:rsid w:val="00715D35"/>
    <w:rsid w:val="00715DBB"/>
    <w:rsid w:val="007166BD"/>
    <w:rsid w:val="0071723A"/>
    <w:rsid w:val="00717482"/>
    <w:rsid w:val="00717D9B"/>
    <w:rsid w:val="0072053B"/>
    <w:rsid w:val="00720687"/>
    <w:rsid w:val="00720958"/>
    <w:rsid w:val="00720F0C"/>
    <w:rsid w:val="00721000"/>
    <w:rsid w:val="007218BA"/>
    <w:rsid w:val="00721C37"/>
    <w:rsid w:val="00721D1B"/>
    <w:rsid w:val="007224E8"/>
    <w:rsid w:val="00722B8C"/>
    <w:rsid w:val="007231E5"/>
    <w:rsid w:val="00723AE2"/>
    <w:rsid w:val="00723D90"/>
    <w:rsid w:val="00723F7F"/>
    <w:rsid w:val="00724189"/>
    <w:rsid w:val="007241C3"/>
    <w:rsid w:val="0072427A"/>
    <w:rsid w:val="007249D4"/>
    <w:rsid w:val="0072514D"/>
    <w:rsid w:val="007260D3"/>
    <w:rsid w:val="00726494"/>
    <w:rsid w:val="007264B2"/>
    <w:rsid w:val="007266D5"/>
    <w:rsid w:val="00726C8C"/>
    <w:rsid w:val="007273EB"/>
    <w:rsid w:val="00727C95"/>
    <w:rsid w:val="00727CF6"/>
    <w:rsid w:val="007301AD"/>
    <w:rsid w:val="007304C6"/>
    <w:rsid w:val="00730AAC"/>
    <w:rsid w:val="00730BD2"/>
    <w:rsid w:val="00730D6D"/>
    <w:rsid w:val="00730E8D"/>
    <w:rsid w:val="00730ECA"/>
    <w:rsid w:val="007314CF"/>
    <w:rsid w:val="00731A89"/>
    <w:rsid w:val="00731B25"/>
    <w:rsid w:val="00731D00"/>
    <w:rsid w:val="00733256"/>
    <w:rsid w:val="00734E95"/>
    <w:rsid w:val="00734EEB"/>
    <w:rsid w:val="00735152"/>
    <w:rsid w:val="00735958"/>
    <w:rsid w:val="00735C9D"/>
    <w:rsid w:val="00735CCC"/>
    <w:rsid w:val="00735FF7"/>
    <w:rsid w:val="00736482"/>
    <w:rsid w:val="00736800"/>
    <w:rsid w:val="00736CB8"/>
    <w:rsid w:val="00736FFF"/>
    <w:rsid w:val="0073747D"/>
    <w:rsid w:val="00737DE7"/>
    <w:rsid w:val="007406DF"/>
    <w:rsid w:val="007409C8"/>
    <w:rsid w:val="00740CCE"/>
    <w:rsid w:val="00741166"/>
    <w:rsid w:val="007413C8"/>
    <w:rsid w:val="00742350"/>
    <w:rsid w:val="007426D7"/>
    <w:rsid w:val="0074274F"/>
    <w:rsid w:val="00742768"/>
    <w:rsid w:val="007429EC"/>
    <w:rsid w:val="00742A20"/>
    <w:rsid w:val="00742ECD"/>
    <w:rsid w:val="00743206"/>
    <w:rsid w:val="00744076"/>
    <w:rsid w:val="007441C0"/>
    <w:rsid w:val="007441C2"/>
    <w:rsid w:val="00744447"/>
    <w:rsid w:val="00744DB8"/>
    <w:rsid w:val="00744EAC"/>
    <w:rsid w:val="0074523D"/>
    <w:rsid w:val="00745619"/>
    <w:rsid w:val="007458EE"/>
    <w:rsid w:val="00746929"/>
    <w:rsid w:val="00746A79"/>
    <w:rsid w:val="0074742A"/>
    <w:rsid w:val="00747741"/>
    <w:rsid w:val="007505FB"/>
    <w:rsid w:val="00750F7F"/>
    <w:rsid w:val="00751159"/>
    <w:rsid w:val="0075246F"/>
    <w:rsid w:val="00752667"/>
    <w:rsid w:val="00752FDD"/>
    <w:rsid w:val="00753248"/>
    <w:rsid w:val="00753699"/>
    <w:rsid w:val="007538EA"/>
    <w:rsid w:val="00753C9F"/>
    <w:rsid w:val="00753CC9"/>
    <w:rsid w:val="00753D88"/>
    <w:rsid w:val="00753E5D"/>
    <w:rsid w:val="007540BF"/>
    <w:rsid w:val="007541E2"/>
    <w:rsid w:val="00754B4A"/>
    <w:rsid w:val="00754F98"/>
    <w:rsid w:val="007554BE"/>
    <w:rsid w:val="007554C8"/>
    <w:rsid w:val="00755A20"/>
    <w:rsid w:val="00755AB9"/>
    <w:rsid w:val="00755BDB"/>
    <w:rsid w:val="0075628F"/>
    <w:rsid w:val="007567B0"/>
    <w:rsid w:val="00756AC3"/>
    <w:rsid w:val="00756FFD"/>
    <w:rsid w:val="00757A7F"/>
    <w:rsid w:val="00760BF2"/>
    <w:rsid w:val="0076132A"/>
    <w:rsid w:val="007616D6"/>
    <w:rsid w:val="0076188B"/>
    <w:rsid w:val="00761968"/>
    <w:rsid w:val="007621B4"/>
    <w:rsid w:val="007628D8"/>
    <w:rsid w:val="00762A46"/>
    <w:rsid w:val="007637A8"/>
    <w:rsid w:val="007638EB"/>
    <w:rsid w:val="0076440C"/>
    <w:rsid w:val="007644F7"/>
    <w:rsid w:val="00764EE7"/>
    <w:rsid w:val="00765349"/>
    <w:rsid w:val="00765574"/>
    <w:rsid w:val="00765A63"/>
    <w:rsid w:val="00765B58"/>
    <w:rsid w:val="007668B3"/>
    <w:rsid w:val="00766BC9"/>
    <w:rsid w:val="007678E4"/>
    <w:rsid w:val="007679E5"/>
    <w:rsid w:val="00767C29"/>
    <w:rsid w:val="00770197"/>
    <w:rsid w:val="00770198"/>
    <w:rsid w:val="00770428"/>
    <w:rsid w:val="00770895"/>
    <w:rsid w:val="00770DCB"/>
    <w:rsid w:val="00771995"/>
    <w:rsid w:val="00771BAC"/>
    <w:rsid w:val="0077211B"/>
    <w:rsid w:val="007725E6"/>
    <w:rsid w:val="0077267F"/>
    <w:rsid w:val="00773550"/>
    <w:rsid w:val="007739B4"/>
    <w:rsid w:val="00774196"/>
    <w:rsid w:val="00774EB1"/>
    <w:rsid w:val="007751FC"/>
    <w:rsid w:val="00775272"/>
    <w:rsid w:val="007753C4"/>
    <w:rsid w:val="00775485"/>
    <w:rsid w:val="00775637"/>
    <w:rsid w:val="007764E9"/>
    <w:rsid w:val="007765C0"/>
    <w:rsid w:val="007769AF"/>
    <w:rsid w:val="00776C81"/>
    <w:rsid w:val="007777C9"/>
    <w:rsid w:val="00777B77"/>
    <w:rsid w:val="00777BF2"/>
    <w:rsid w:val="00780031"/>
    <w:rsid w:val="0078023B"/>
    <w:rsid w:val="00780595"/>
    <w:rsid w:val="007809D0"/>
    <w:rsid w:val="007818DE"/>
    <w:rsid w:val="007818E8"/>
    <w:rsid w:val="00781B24"/>
    <w:rsid w:val="00781C78"/>
    <w:rsid w:val="00781EC2"/>
    <w:rsid w:val="007822CA"/>
    <w:rsid w:val="00783532"/>
    <w:rsid w:val="00783950"/>
    <w:rsid w:val="00784452"/>
    <w:rsid w:val="007846B5"/>
    <w:rsid w:val="00784A37"/>
    <w:rsid w:val="00784B36"/>
    <w:rsid w:val="00784EA4"/>
    <w:rsid w:val="007866F3"/>
    <w:rsid w:val="00786B46"/>
    <w:rsid w:val="00787270"/>
    <w:rsid w:val="00787518"/>
    <w:rsid w:val="00787C94"/>
    <w:rsid w:val="00787CC7"/>
    <w:rsid w:val="0079028F"/>
    <w:rsid w:val="00790FC6"/>
    <w:rsid w:val="00791500"/>
    <w:rsid w:val="0079193E"/>
    <w:rsid w:val="00791A34"/>
    <w:rsid w:val="00792DDE"/>
    <w:rsid w:val="00793C0C"/>
    <w:rsid w:val="00794B13"/>
    <w:rsid w:val="00794CC8"/>
    <w:rsid w:val="00794FC6"/>
    <w:rsid w:val="00795FF9"/>
    <w:rsid w:val="00796599"/>
    <w:rsid w:val="0079750F"/>
    <w:rsid w:val="00797A4E"/>
    <w:rsid w:val="00797A78"/>
    <w:rsid w:val="00797C01"/>
    <w:rsid w:val="007A024F"/>
    <w:rsid w:val="007A0A32"/>
    <w:rsid w:val="007A0DAA"/>
    <w:rsid w:val="007A1840"/>
    <w:rsid w:val="007A1C81"/>
    <w:rsid w:val="007A1E7D"/>
    <w:rsid w:val="007A3382"/>
    <w:rsid w:val="007A3A8A"/>
    <w:rsid w:val="007A44E6"/>
    <w:rsid w:val="007A493D"/>
    <w:rsid w:val="007A4952"/>
    <w:rsid w:val="007A4E5A"/>
    <w:rsid w:val="007A5235"/>
    <w:rsid w:val="007A5DC1"/>
    <w:rsid w:val="007A5F4A"/>
    <w:rsid w:val="007A61BB"/>
    <w:rsid w:val="007A6313"/>
    <w:rsid w:val="007A64AA"/>
    <w:rsid w:val="007A6A37"/>
    <w:rsid w:val="007A72A7"/>
    <w:rsid w:val="007A747D"/>
    <w:rsid w:val="007A78FA"/>
    <w:rsid w:val="007A7AFE"/>
    <w:rsid w:val="007B06EA"/>
    <w:rsid w:val="007B084C"/>
    <w:rsid w:val="007B0FFE"/>
    <w:rsid w:val="007B1602"/>
    <w:rsid w:val="007B17AD"/>
    <w:rsid w:val="007B1C6F"/>
    <w:rsid w:val="007B377A"/>
    <w:rsid w:val="007B3891"/>
    <w:rsid w:val="007B3A15"/>
    <w:rsid w:val="007B3AF4"/>
    <w:rsid w:val="007B3B9A"/>
    <w:rsid w:val="007B44B4"/>
    <w:rsid w:val="007B4A7C"/>
    <w:rsid w:val="007B4D2D"/>
    <w:rsid w:val="007B539A"/>
    <w:rsid w:val="007B5A75"/>
    <w:rsid w:val="007B5CB2"/>
    <w:rsid w:val="007B631B"/>
    <w:rsid w:val="007B669F"/>
    <w:rsid w:val="007C035A"/>
    <w:rsid w:val="007C1270"/>
    <w:rsid w:val="007C133B"/>
    <w:rsid w:val="007C2064"/>
    <w:rsid w:val="007C209C"/>
    <w:rsid w:val="007C2EF7"/>
    <w:rsid w:val="007C35F3"/>
    <w:rsid w:val="007C3654"/>
    <w:rsid w:val="007C3835"/>
    <w:rsid w:val="007C3FBC"/>
    <w:rsid w:val="007C40C8"/>
    <w:rsid w:val="007C4124"/>
    <w:rsid w:val="007C41A3"/>
    <w:rsid w:val="007C4C5A"/>
    <w:rsid w:val="007C4CDA"/>
    <w:rsid w:val="007C4E5B"/>
    <w:rsid w:val="007C518A"/>
    <w:rsid w:val="007C5583"/>
    <w:rsid w:val="007C62E8"/>
    <w:rsid w:val="007C6368"/>
    <w:rsid w:val="007C6651"/>
    <w:rsid w:val="007C66B9"/>
    <w:rsid w:val="007C6B3C"/>
    <w:rsid w:val="007C70A1"/>
    <w:rsid w:val="007C70B1"/>
    <w:rsid w:val="007C7F59"/>
    <w:rsid w:val="007D0348"/>
    <w:rsid w:val="007D068E"/>
    <w:rsid w:val="007D0E83"/>
    <w:rsid w:val="007D15E2"/>
    <w:rsid w:val="007D2166"/>
    <w:rsid w:val="007D2314"/>
    <w:rsid w:val="007D2F00"/>
    <w:rsid w:val="007D35B6"/>
    <w:rsid w:val="007D4532"/>
    <w:rsid w:val="007D468E"/>
    <w:rsid w:val="007D4EF7"/>
    <w:rsid w:val="007D5064"/>
    <w:rsid w:val="007D5ACC"/>
    <w:rsid w:val="007D6546"/>
    <w:rsid w:val="007D6812"/>
    <w:rsid w:val="007D6D93"/>
    <w:rsid w:val="007D729B"/>
    <w:rsid w:val="007D7668"/>
    <w:rsid w:val="007E0723"/>
    <w:rsid w:val="007E0A45"/>
    <w:rsid w:val="007E0FE3"/>
    <w:rsid w:val="007E19D1"/>
    <w:rsid w:val="007E1AE6"/>
    <w:rsid w:val="007E1B73"/>
    <w:rsid w:val="007E1CA8"/>
    <w:rsid w:val="007E238C"/>
    <w:rsid w:val="007E2483"/>
    <w:rsid w:val="007E45BD"/>
    <w:rsid w:val="007E4942"/>
    <w:rsid w:val="007E4F54"/>
    <w:rsid w:val="007E5396"/>
    <w:rsid w:val="007E593B"/>
    <w:rsid w:val="007E597A"/>
    <w:rsid w:val="007E5B3F"/>
    <w:rsid w:val="007E5B88"/>
    <w:rsid w:val="007E616D"/>
    <w:rsid w:val="007E6959"/>
    <w:rsid w:val="007E79CC"/>
    <w:rsid w:val="007E7F5B"/>
    <w:rsid w:val="007F0D0B"/>
    <w:rsid w:val="007F1088"/>
    <w:rsid w:val="007F1366"/>
    <w:rsid w:val="007F20FF"/>
    <w:rsid w:val="007F2955"/>
    <w:rsid w:val="007F2B59"/>
    <w:rsid w:val="007F2DFD"/>
    <w:rsid w:val="007F302C"/>
    <w:rsid w:val="007F3D4A"/>
    <w:rsid w:val="007F3DA2"/>
    <w:rsid w:val="007F3FD4"/>
    <w:rsid w:val="007F4258"/>
    <w:rsid w:val="007F437D"/>
    <w:rsid w:val="007F4C19"/>
    <w:rsid w:val="007F4F22"/>
    <w:rsid w:val="007F5113"/>
    <w:rsid w:val="007F5233"/>
    <w:rsid w:val="007F56AD"/>
    <w:rsid w:val="007F5922"/>
    <w:rsid w:val="007F6266"/>
    <w:rsid w:val="007F6705"/>
    <w:rsid w:val="007F699A"/>
    <w:rsid w:val="007F75FA"/>
    <w:rsid w:val="007F7AE2"/>
    <w:rsid w:val="007F7C88"/>
    <w:rsid w:val="007F7E50"/>
    <w:rsid w:val="008007A8"/>
    <w:rsid w:val="0080096F"/>
    <w:rsid w:val="00800E57"/>
    <w:rsid w:val="008018A2"/>
    <w:rsid w:val="00801F88"/>
    <w:rsid w:val="0080292A"/>
    <w:rsid w:val="00802CF3"/>
    <w:rsid w:val="00802E17"/>
    <w:rsid w:val="008041A5"/>
    <w:rsid w:val="008042D9"/>
    <w:rsid w:val="00804714"/>
    <w:rsid w:val="00805279"/>
    <w:rsid w:val="00805A78"/>
    <w:rsid w:val="00805EF2"/>
    <w:rsid w:val="00806AD1"/>
    <w:rsid w:val="00806E74"/>
    <w:rsid w:val="00806F9C"/>
    <w:rsid w:val="00807523"/>
    <w:rsid w:val="00807E8D"/>
    <w:rsid w:val="008101CA"/>
    <w:rsid w:val="00810589"/>
    <w:rsid w:val="008108FC"/>
    <w:rsid w:val="00810A01"/>
    <w:rsid w:val="00810D85"/>
    <w:rsid w:val="0081151F"/>
    <w:rsid w:val="008118A0"/>
    <w:rsid w:val="008121D5"/>
    <w:rsid w:val="0081263A"/>
    <w:rsid w:val="00812718"/>
    <w:rsid w:val="0081279C"/>
    <w:rsid w:val="00812EF9"/>
    <w:rsid w:val="0081327A"/>
    <w:rsid w:val="0081333A"/>
    <w:rsid w:val="00813567"/>
    <w:rsid w:val="00813672"/>
    <w:rsid w:val="00813C00"/>
    <w:rsid w:val="00814DA8"/>
    <w:rsid w:val="00814F49"/>
    <w:rsid w:val="00814FC0"/>
    <w:rsid w:val="008156A6"/>
    <w:rsid w:val="00815716"/>
    <w:rsid w:val="00816BE8"/>
    <w:rsid w:val="008170F4"/>
    <w:rsid w:val="00817200"/>
    <w:rsid w:val="0081727F"/>
    <w:rsid w:val="00817831"/>
    <w:rsid w:val="00817854"/>
    <w:rsid w:val="008179A2"/>
    <w:rsid w:val="00817C73"/>
    <w:rsid w:val="00817F39"/>
    <w:rsid w:val="00820174"/>
    <w:rsid w:val="00820E42"/>
    <w:rsid w:val="00821019"/>
    <w:rsid w:val="008210F3"/>
    <w:rsid w:val="008216F5"/>
    <w:rsid w:val="00821847"/>
    <w:rsid w:val="0082188D"/>
    <w:rsid w:val="00821FF5"/>
    <w:rsid w:val="008226FD"/>
    <w:rsid w:val="00822BB3"/>
    <w:rsid w:val="00823005"/>
    <w:rsid w:val="0082310C"/>
    <w:rsid w:val="00824502"/>
    <w:rsid w:val="008248AB"/>
    <w:rsid w:val="008248EB"/>
    <w:rsid w:val="008258DC"/>
    <w:rsid w:val="00825AF0"/>
    <w:rsid w:val="00825E8D"/>
    <w:rsid w:val="008269A1"/>
    <w:rsid w:val="00826B3C"/>
    <w:rsid w:val="00827B57"/>
    <w:rsid w:val="00827DA7"/>
    <w:rsid w:val="00830326"/>
    <w:rsid w:val="00830355"/>
    <w:rsid w:val="008303A1"/>
    <w:rsid w:val="008303C3"/>
    <w:rsid w:val="008306F0"/>
    <w:rsid w:val="008312ED"/>
    <w:rsid w:val="00831560"/>
    <w:rsid w:val="00831A95"/>
    <w:rsid w:val="00831F0B"/>
    <w:rsid w:val="00832168"/>
    <w:rsid w:val="00832524"/>
    <w:rsid w:val="00832658"/>
    <w:rsid w:val="00832862"/>
    <w:rsid w:val="008331E8"/>
    <w:rsid w:val="008335A5"/>
    <w:rsid w:val="00833900"/>
    <w:rsid w:val="00834585"/>
    <w:rsid w:val="0083479A"/>
    <w:rsid w:val="00834D11"/>
    <w:rsid w:val="00834D63"/>
    <w:rsid w:val="00834F2E"/>
    <w:rsid w:val="008356E0"/>
    <w:rsid w:val="00835CC6"/>
    <w:rsid w:val="00835D7C"/>
    <w:rsid w:val="00836748"/>
    <w:rsid w:val="00837242"/>
    <w:rsid w:val="008372AF"/>
    <w:rsid w:val="008375D8"/>
    <w:rsid w:val="00837874"/>
    <w:rsid w:val="00840519"/>
    <w:rsid w:val="00840F3D"/>
    <w:rsid w:val="00840FC0"/>
    <w:rsid w:val="00841848"/>
    <w:rsid w:val="00841A2C"/>
    <w:rsid w:val="00842020"/>
    <w:rsid w:val="008423B5"/>
    <w:rsid w:val="00842D36"/>
    <w:rsid w:val="00842E0C"/>
    <w:rsid w:val="00843687"/>
    <w:rsid w:val="00843991"/>
    <w:rsid w:val="00843E85"/>
    <w:rsid w:val="00844022"/>
    <w:rsid w:val="00844446"/>
    <w:rsid w:val="008449B9"/>
    <w:rsid w:val="00845240"/>
    <w:rsid w:val="00845300"/>
    <w:rsid w:val="00845964"/>
    <w:rsid w:val="008466A7"/>
    <w:rsid w:val="00846DF8"/>
    <w:rsid w:val="00846E73"/>
    <w:rsid w:val="00847191"/>
    <w:rsid w:val="00847B06"/>
    <w:rsid w:val="0085063A"/>
    <w:rsid w:val="008506BF"/>
    <w:rsid w:val="00851098"/>
    <w:rsid w:val="00851111"/>
    <w:rsid w:val="00851495"/>
    <w:rsid w:val="008514A1"/>
    <w:rsid w:val="00852257"/>
    <w:rsid w:val="008527E6"/>
    <w:rsid w:val="00852A5C"/>
    <w:rsid w:val="00852D2A"/>
    <w:rsid w:val="00852ECD"/>
    <w:rsid w:val="00852FA7"/>
    <w:rsid w:val="00853906"/>
    <w:rsid w:val="00853953"/>
    <w:rsid w:val="00853FBA"/>
    <w:rsid w:val="00854290"/>
    <w:rsid w:val="00854793"/>
    <w:rsid w:val="008548D0"/>
    <w:rsid w:val="00854DF0"/>
    <w:rsid w:val="00855114"/>
    <w:rsid w:val="00855215"/>
    <w:rsid w:val="0085583C"/>
    <w:rsid w:val="0085642A"/>
    <w:rsid w:val="00856FDA"/>
    <w:rsid w:val="008572FA"/>
    <w:rsid w:val="00857411"/>
    <w:rsid w:val="00857BA5"/>
    <w:rsid w:val="00860320"/>
    <w:rsid w:val="00860396"/>
    <w:rsid w:val="00860704"/>
    <w:rsid w:val="00860818"/>
    <w:rsid w:val="00860B08"/>
    <w:rsid w:val="008614CB"/>
    <w:rsid w:val="00861666"/>
    <w:rsid w:val="00861B7E"/>
    <w:rsid w:val="00862259"/>
    <w:rsid w:val="0086254F"/>
    <w:rsid w:val="0086262B"/>
    <w:rsid w:val="00862993"/>
    <w:rsid w:val="00863018"/>
    <w:rsid w:val="0086358A"/>
    <w:rsid w:val="00863BA1"/>
    <w:rsid w:val="00863CB4"/>
    <w:rsid w:val="00864799"/>
    <w:rsid w:val="00864C4B"/>
    <w:rsid w:val="00864DFC"/>
    <w:rsid w:val="00865527"/>
    <w:rsid w:val="00865A47"/>
    <w:rsid w:val="00865D3A"/>
    <w:rsid w:val="00865FE8"/>
    <w:rsid w:val="0086653E"/>
    <w:rsid w:val="008706E4"/>
    <w:rsid w:val="008709F7"/>
    <w:rsid w:val="0087133C"/>
    <w:rsid w:val="008720CE"/>
    <w:rsid w:val="008724DE"/>
    <w:rsid w:val="0087288D"/>
    <w:rsid w:val="00872AD1"/>
    <w:rsid w:val="00872CE6"/>
    <w:rsid w:val="00872E34"/>
    <w:rsid w:val="008736BC"/>
    <w:rsid w:val="00873A8B"/>
    <w:rsid w:val="0087410B"/>
    <w:rsid w:val="008741AA"/>
    <w:rsid w:val="00874306"/>
    <w:rsid w:val="00874540"/>
    <w:rsid w:val="00874AF3"/>
    <w:rsid w:val="00875273"/>
    <w:rsid w:val="00875459"/>
    <w:rsid w:val="008755C4"/>
    <w:rsid w:val="008758D9"/>
    <w:rsid w:val="00875EE0"/>
    <w:rsid w:val="008762AD"/>
    <w:rsid w:val="0087640F"/>
    <w:rsid w:val="00876C83"/>
    <w:rsid w:val="00877376"/>
    <w:rsid w:val="008775A8"/>
    <w:rsid w:val="0087764E"/>
    <w:rsid w:val="008776E2"/>
    <w:rsid w:val="00877C2A"/>
    <w:rsid w:val="00877E47"/>
    <w:rsid w:val="00880471"/>
    <w:rsid w:val="0088194E"/>
    <w:rsid w:val="00882501"/>
    <w:rsid w:val="00882B0A"/>
    <w:rsid w:val="00882EC7"/>
    <w:rsid w:val="00883714"/>
    <w:rsid w:val="00884D63"/>
    <w:rsid w:val="008854FB"/>
    <w:rsid w:val="0088690A"/>
    <w:rsid w:val="008869A6"/>
    <w:rsid w:val="00886A9B"/>
    <w:rsid w:val="00886BA6"/>
    <w:rsid w:val="00886D12"/>
    <w:rsid w:val="008877DA"/>
    <w:rsid w:val="0088781B"/>
    <w:rsid w:val="00887C22"/>
    <w:rsid w:val="00887EA4"/>
    <w:rsid w:val="008900BD"/>
    <w:rsid w:val="008909B4"/>
    <w:rsid w:val="00891E9D"/>
    <w:rsid w:val="00891EF8"/>
    <w:rsid w:val="008923E5"/>
    <w:rsid w:val="0089293F"/>
    <w:rsid w:val="00892F8E"/>
    <w:rsid w:val="00893676"/>
    <w:rsid w:val="00893D4F"/>
    <w:rsid w:val="00894036"/>
    <w:rsid w:val="00894682"/>
    <w:rsid w:val="00894B97"/>
    <w:rsid w:val="00895302"/>
    <w:rsid w:val="008961AD"/>
    <w:rsid w:val="008963A6"/>
    <w:rsid w:val="00897412"/>
    <w:rsid w:val="00897999"/>
    <w:rsid w:val="008A033E"/>
    <w:rsid w:val="008A03D8"/>
    <w:rsid w:val="008A09EB"/>
    <w:rsid w:val="008A0B14"/>
    <w:rsid w:val="008A0E94"/>
    <w:rsid w:val="008A1338"/>
    <w:rsid w:val="008A1397"/>
    <w:rsid w:val="008A15EB"/>
    <w:rsid w:val="008A1965"/>
    <w:rsid w:val="008A2699"/>
    <w:rsid w:val="008A2AC1"/>
    <w:rsid w:val="008A2DF3"/>
    <w:rsid w:val="008A2E8D"/>
    <w:rsid w:val="008A3A3F"/>
    <w:rsid w:val="008A3C1B"/>
    <w:rsid w:val="008A3D57"/>
    <w:rsid w:val="008A3FC6"/>
    <w:rsid w:val="008A4801"/>
    <w:rsid w:val="008A4B91"/>
    <w:rsid w:val="008A4C61"/>
    <w:rsid w:val="008A6134"/>
    <w:rsid w:val="008A6539"/>
    <w:rsid w:val="008A74F5"/>
    <w:rsid w:val="008A7548"/>
    <w:rsid w:val="008A7A8D"/>
    <w:rsid w:val="008A7FDF"/>
    <w:rsid w:val="008B02E6"/>
    <w:rsid w:val="008B0473"/>
    <w:rsid w:val="008B0559"/>
    <w:rsid w:val="008B0741"/>
    <w:rsid w:val="008B09A0"/>
    <w:rsid w:val="008B1443"/>
    <w:rsid w:val="008B1647"/>
    <w:rsid w:val="008B1843"/>
    <w:rsid w:val="008B2049"/>
    <w:rsid w:val="008B20CB"/>
    <w:rsid w:val="008B23BC"/>
    <w:rsid w:val="008B26B0"/>
    <w:rsid w:val="008B2A21"/>
    <w:rsid w:val="008B335C"/>
    <w:rsid w:val="008B3899"/>
    <w:rsid w:val="008B3B35"/>
    <w:rsid w:val="008B411B"/>
    <w:rsid w:val="008B4A69"/>
    <w:rsid w:val="008B4BE0"/>
    <w:rsid w:val="008B4D8D"/>
    <w:rsid w:val="008B65FA"/>
    <w:rsid w:val="008B7194"/>
    <w:rsid w:val="008B7559"/>
    <w:rsid w:val="008B7E31"/>
    <w:rsid w:val="008C01A0"/>
    <w:rsid w:val="008C02B3"/>
    <w:rsid w:val="008C0558"/>
    <w:rsid w:val="008C064C"/>
    <w:rsid w:val="008C0A29"/>
    <w:rsid w:val="008C0B85"/>
    <w:rsid w:val="008C0CDE"/>
    <w:rsid w:val="008C0EE0"/>
    <w:rsid w:val="008C137B"/>
    <w:rsid w:val="008C139C"/>
    <w:rsid w:val="008C2074"/>
    <w:rsid w:val="008C26DF"/>
    <w:rsid w:val="008C281A"/>
    <w:rsid w:val="008C2915"/>
    <w:rsid w:val="008C2F48"/>
    <w:rsid w:val="008C365B"/>
    <w:rsid w:val="008C3EFD"/>
    <w:rsid w:val="008C4A4D"/>
    <w:rsid w:val="008C5374"/>
    <w:rsid w:val="008C6172"/>
    <w:rsid w:val="008C61F1"/>
    <w:rsid w:val="008C6802"/>
    <w:rsid w:val="008C720C"/>
    <w:rsid w:val="008C795D"/>
    <w:rsid w:val="008D0F89"/>
    <w:rsid w:val="008D10CA"/>
    <w:rsid w:val="008D119A"/>
    <w:rsid w:val="008D1A8C"/>
    <w:rsid w:val="008D1E80"/>
    <w:rsid w:val="008D268D"/>
    <w:rsid w:val="008D2FC5"/>
    <w:rsid w:val="008D319E"/>
    <w:rsid w:val="008D32BF"/>
    <w:rsid w:val="008D3CE1"/>
    <w:rsid w:val="008D3E1B"/>
    <w:rsid w:val="008D46D0"/>
    <w:rsid w:val="008D53C5"/>
    <w:rsid w:val="008D6495"/>
    <w:rsid w:val="008D64BC"/>
    <w:rsid w:val="008D65B1"/>
    <w:rsid w:val="008D6BC0"/>
    <w:rsid w:val="008D6E99"/>
    <w:rsid w:val="008D6EBA"/>
    <w:rsid w:val="008D6F3F"/>
    <w:rsid w:val="008D7DD7"/>
    <w:rsid w:val="008E1BF4"/>
    <w:rsid w:val="008E1C38"/>
    <w:rsid w:val="008E1ECC"/>
    <w:rsid w:val="008E328C"/>
    <w:rsid w:val="008E3D60"/>
    <w:rsid w:val="008E3F4C"/>
    <w:rsid w:val="008E471C"/>
    <w:rsid w:val="008E4C1F"/>
    <w:rsid w:val="008E5AF1"/>
    <w:rsid w:val="008E5D15"/>
    <w:rsid w:val="008E62EA"/>
    <w:rsid w:val="008E6925"/>
    <w:rsid w:val="008E6A21"/>
    <w:rsid w:val="008E6B27"/>
    <w:rsid w:val="008E7226"/>
    <w:rsid w:val="008E75E7"/>
    <w:rsid w:val="008E7AD3"/>
    <w:rsid w:val="008F062E"/>
    <w:rsid w:val="008F0BE7"/>
    <w:rsid w:val="008F0DB6"/>
    <w:rsid w:val="008F103A"/>
    <w:rsid w:val="008F1796"/>
    <w:rsid w:val="008F19B9"/>
    <w:rsid w:val="008F1D1A"/>
    <w:rsid w:val="008F21F2"/>
    <w:rsid w:val="008F2230"/>
    <w:rsid w:val="008F2790"/>
    <w:rsid w:val="008F31B0"/>
    <w:rsid w:val="008F356D"/>
    <w:rsid w:val="008F3F8F"/>
    <w:rsid w:val="008F51A0"/>
    <w:rsid w:val="008F54B1"/>
    <w:rsid w:val="008F5550"/>
    <w:rsid w:val="008F5924"/>
    <w:rsid w:val="008F64C7"/>
    <w:rsid w:val="008F739D"/>
    <w:rsid w:val="008F7BAD"/>
    <w:rsid w:val="00900065"/>
    <w:rsid w:val="0090068E"/>
    <w:rsid w:val="00900817"/>
    <w:rsid w:val="009010D0"/>
    <w:rsid w:val="0090127B"/>
    <w:rsid w:val="0090155F"/>
    <w:rsid w:val="0090165F"/>
    <w:rsid w:val="0090184B"/>
    <w:rsid w:val="00901B82"/>
    <w:rsid w:val="00901E64"/>
    <w:rsid w:val="0090230E"/>
    <w:rsid w:val="00902795"/>
    <w:rsid w:val="009029C9"/>
    <w:rsid w:val="00902C55"/>
    <w:rsid w:val="009032C9"/>
    <w:rsid w:val="00903901"/>
    <w:rsid w:val="00903C2E"/>
    <w:rsid w:val="00903D5C"/>
    <w:rsid w:val="00903EE4"/>
    <w:rsid w:val="00904455"/>
    <w:rsid w:val="009047E9"/>
    <w:rsid w:val="009053D2"/>
    <w:rsid w:val="00905643"/>
    <w:rsid w:val="00905AEF"/>
    <w:rsid w:val="00905E88"/>
    <w:rsid w:val="00906FBF"/>
    <w:rsid w:val="0090787A"/>
    <w:rsid w:val="00907FDE"/>
    <w:rsid w:val="009116A4"/>
    <w:rsid w:val="00911CAC"/>
    <w:rsid w:val="00912B09"/>
    <w:rsid w:val="0091300A"/>
    <w:rsid w:val="0091383D"/>
    <w:rsid w:val="00914D14"/>
    <w:rsid w:val="00914D9A"/>
    <w:rsid w:val="00914DE7"/>
    <w:rsid w:val="00914F25"/>
    <w:rsid w:val="009154CC"/>
    <w:rsid w:val="0091556B"/>
    <w:rsid w:val="009158C7"/>
    <w:rsid w:val="0091596D"/>
    <w:rsid w:val="009159C6"/>
    <w:rsid w:val="00915AD9"/>
    <w:rsid w:val="009165D7"/>
    <w:rsid w:val="009167FE"/>
    <w:rsid w:val="0091694F"/>
    <w:rsid w:val="00916D5F"/>
    <w:rsid w:val="0091758A"/>
    <w:rsid w:val="00917F13"/>
    <w:rsid w:val="00920223"/>
    <w:rsid w:val="00920DDC"/>
    <w:rsid w:val="0092176B"/>
    <w:rsid w:val="009218E1"/>
    <w:rsid w:val="009218F8"/>
    <w:rsid w:val="009219BC"/>
    <w:rsid w:val="00921AD4"/>
    <w:rsid w:val="00921D7E"/>
    <w:rsid w:val="0092214B"/>
    <w:rsid w:val="00922781"/>
    <w:rsid w:val="00922E8A"/>
    <w:rsid w:val="00922EA4"/>
    <w:rsid w:val="00923960"/>
    <w:rsid w:val="00923F25"/>
    <w:rsid w:val="009257EA"/>
    <w:rsid w:val="009263AC"/>
    <w:rsid w:val="009269DB"/>
    <w:rsid w:val="00926C9B"/>
    <w:rsid w:val="009271D0"/>
    <w:rsid w:val="00927298"/>
    <w:rsid w:val="009275C7"/>
    <w:rsid w:val="00927DB8"/>
    <w:rsid w:val="00927FE4"/>
    <w:rsid w:val="00930281"/>
    <w:rsid w:val="009305D0"/>
    <w:rsid w:val="00930641"/>
    <w:rsid w:val="00931282"/>
    <w:rsid w:val="009314D4"/>
    <w:rsid w:val="00931C30"/>
    <w:rsid w:val="009321E2"/>
    <w:rsid w:val="00932922"/>
    <w:rsid w:val="009329A3"/>
    <w:rsid w:val="009333F1"/>
    <w:rsid w:val="0093358E"/>
    <w:rsid w:val="009335B2"/>
    <w:rsid w:val="00933E00"/>
    <w:rsid w:val="00933E58"/>
    <w:rsid w:val="00934000"/>
    <w:rsid w:val="00934971"/>
    <w:rsid w:val="00934D38"/>
    <w:rsid w:val="00934E34"/>
    <w:rsid w:val="00935863"/>
    <w:rsid w:val="009359AE"/>
    <w:rsid w:val="00936D92"/>
    <w:rsid w:val="00937B45"/>
    <w:rsid w:val="009407D0"/>
    <w:rsid w:val="00940807"/>
    <w:rsid w:val="009408EF"/>
    <w:rsid w:val="00940F89"/>
    <w:rsid w:val="009416D0"/>
    <w:rsid w:val="00942558"/>
    <w:rsid w:val="0094274A"/>
    <w:rsid w:val="009432CF"/>
    <w:rsid w:val="0094349D"/>
    <w:rsid w:val="00943A6C"/>
    <w:rsid w:val="00943A97"/>
    <w:rsid w:val="00943DE8"/>
    <w:rsid w:val="00943E5D"/>
    <w:rsid w:val="009446AB"/>
    <w:rsid w:val="00944ADC"/>
    <w:rsid w:val="00944D14"/>
    <w:rsid w:val="00945298"/>
    <w:rsid w:val="009452EC"/>
    <w:rsid w:val="00945C5B"/>
    <w:rsid w:val="00946762"/>
    <w:rsid w:val="00946AE7"/>
    <w:rsid w:val="00946D7E"/>
    <w:rsid w:val="00947083"/>
    <w:rsid w:val="009470AB"/>
    <w:rsid w:val="009476A9"/>
    <w:rsid w:val="00947A40"/>
    <w:rsid w:val="00947C5D"/>
    <w:rsid w:val="009502A4"/>
    <w:rsid w:val="0095037A"/>
    <w:rsid w:val="009504F0"/>
    <w:rsid w:val="009507BA"/>
    <w:rsid w:val="00951786"/>
    <w:rsid w:val="00951B0D"/>
    <w:rsid w:val="00952A44"/>
    <w:rsid w:val="00952F13"/>
    <w:rsid w:val="009530F5"/>
    <w:rsid w:val="0095330F"/>
    <w:rsid w:val="00953A26"/>
    <w:rsid w:val="00954141"/>
    <w:rsid w:val="00954184"/>
    <w:rsid w:val="00954DA7"/>
    <w:rsid w:val="00955011"/>
    <w:rsid w:val="00955B43"/>
    <w:rsid w:val="00955CEF"/>
    <w:rsid w:val="00955ED0"/>
    <w:rsid w:val="009560DA"/>
    <w:rsid w:val="0095662C"/>
    <w:rsid w:val="00956874"/>
    <w:rsid w:val="00956BF7"/>
    <w:rsid w:val="00957507"/>
    <w:rsid w:val="009577A9"/>
    <w:rsid w:val="0095798F"/>
    <w:rsid w:val="00957F66"/>
    <w:rsid w:val="009602B4"/>
    <w:rsid w:val="009603B6"/>
    <w:rsid w:val="00960A53"/>
    <w:rsid w:val="00960EB0"/>
    <w:rsid w:val="0096125D"/>
    <w:rsid w:val="009618EB"/>
    <w:rsid w:val="00961A87"/>
    <w:rsid w:val="00961DDE"/>
    <w:rsid w:val="009626D5"/>
    <w:rsid w:val="00962B6B"/>
    <w:rsid w:val="00962CFE"/>
    <w:rsid w:val="00964E99"/>
    <w:rsid w:val="0096511F"/>
    <w:rsid w:val="00965225"/>
    <w:rsid w:val="00965486"/>
    <w:rsid w:val="0096590E"/>
    <w:rsid w:val="00965CBB"/>
    <w:rsid w:val="00965CD2"/>
    <w:rsid w:val="00965D39"/>
    <w:rsid w:val="0096663B"/>
    <w:rsid w:val="00966C2F"/>
    <w:rsid w:val="009670B7"/>
    <w:rsid w:val="00967239"/>
    <w:rsid w:val="0096742A"/>
    <w:rsid w:val="009700A2"/>
    <w:rsid w:val="009707DA"/>
    <w:rsid w:val="009709FD"/>
    <w:rsid w:val="009713B6"/>
    <w:rsid w:val="009714E4"/>
    <w:rsid w:val="00971A79"/>
    <w:rsid w:val="00971B84"/>
    <w:rsid w:val="00972601"/>
    <w:rsid w:val="00972B2A"/>
    <w:rsid w:val="00972B4E"/>
    <w:rsid w:val="00972EB4"/>
    <w:rsid w:val="009733D6"/>
    <w:rsid w:val="00973591"/>
    <w:rsid w:val="0097390D"/>
    <w:rsid w:val="009740F8"/>
    <w:rsid w:val="00974BF0"/>
    <w:rsid w:val="0097512B"/>
    <w:rsid w:val="009752B5"/>
    <w:rsid w:val="00975549"/>
    <w:rsid w:val="009762C0"/>
    <w:rsid w:val="00976C98"/>
    <w:rsid w:val="00976DDA"/>
    <w:rsid w:val="00976EE3"/>
    <w:rsid w:val="00977170"/>
    <w:rsid w:val="00977CDA"/>
    <w:rsid w:val="00980906"/>
    <w:rsid w:val="00980C30"/>
    <w:rsid w:val="00980F9B"/>
    <w:rsid w:val="009810FC"/>
    <w:rsid w:val="009814A7"/>
    <w:rsid w:val="00981746"/>
    <w:rsid w:val="00981A2A"/>
    <w:rsid w:val="00982402"/>
    <w:rsid w:val="00982404"/>
    <w:rsid w:val="00982D8A"/>
    <w:rsid w:val="009831EF"/>
    <w:rsid w:val="0098356C"/>
    <w:rsid w:val="00983ECF"/>
    <w:rsid w:val="00984D21"/>
    <w:rsid w:val="00985636"/>
    <w:rsid w:val="009859E8"/>
    <w:rsid w:val="00985E1F"/>
    <w:rsid w:val="009860C1"/>
    <w:rsid w:val="00986469"/>
    <w:rsid w:val="00987322"/>
    <w:rsid w:val="00987EF5"/>
    <w:rsid w:val="00987F0B"/>
    <w:rsid w:val="00990341"/>
    <w:rsid w:val="00990827"/>
    <w:rsid w:val="00990B02"/>
    <w:rsid w:val="00990C76"/>
    <w:rsid w:val="00991448"/>
    <w:rsid w:val="00991E13"/>
    <w:rsid w:val="00991F31"/>
    <w:rsid w:val="009925EE"/>
    <w:rsid w:val="009928F1"/>
    <w:rsid w:val="00992F96"/>
    <w:rsid w:val="00993160"/>
    <w:rsid w:val="00993269"/>
    <w:rsid w:val="009934FA"/>
    <w:rsid w:val="00994B65"/>
    <w:rsid w:val="00994E37"/>
    <w:rsid w:val="0099501B"/>
    <w:rsid w:val="00995061"/>
    <w:rsid w:val="0099509F"/>
    <w:rsid w:val="009951A5"/>
    <w:rsid w:val="00996325"/>
    <w:rsid w:val="00996377"/>
    <w:rsid w:val="0099639F"/>
    <w:rsid w:val="00996624"/>
    <w:rsid w:val="009969F7"/>
    <w:rsid w:val="00996E8C"/>
    <w:rsid w:val="00997381"/>
    <w:rsid w:val="009977F3"/>
    <w:rsid w:val="009A02AE"/>
    <w:rsid w:val="009A04C1"/>
    <w:rsid w:val="009A10CC"/>
    <w:rsid w:val="009A11B4"/>
    <w:rsid w:val="009A1259"/>
    <w:rsid w:val="009A2272"/>
    <w:rsid w:val="009A3A86"/>
    <w:rsid w:val="009A46EB"/>
    <w:rsid w:val="009A48E1"/>
    <w:rsid w:val="009A4B5E"/>
    <w:rsid w:val="009A4CDD"/>
    <w:rsid w:val="009A518E"/>
    <w:rsid w:val="009A60B6"/>
    <w:rsid w:val="009A7112"/>
    <w:rsid w:val="009A7343"/>
    <w:rsid w:val="009A7F17"/>
    <w:rsid w:val="009B0353"/>
    <w:rsid w:val="009B0E00"/>
    <w:rsid w:val="009B0F67"/>
    <w:rsid w:val="009B2A80"/>
    <w:rsid w:val="009B2A89"/>
    <w:rsid w:val="009B3DC3"/>
    <w:rsid w:val="009B3E7A"/>
    <w:rsid w:val="009B4089"/>
    <w:rsid w:val="009B4463"/>
    <w:rsid w:val="009B44E1"/>
    <w:rsid w:val="009B4849"/>
    <w:rsid w:val="009B504C"/>
    <w:rsid w:val="009B5534"/>
    <w:rsid w:val="009B680C"/>
    <w:rsid w:val="009B6841"/>
    <w:rsid w:val="009B772D"/>
    <w:rsid w:val="009C089D"/>
    <w:rsid w:val="009C238E"/>
    <w:rsid w:val="009C2535"/>
    <w:rsid w:val="009C2607"/>
    <w:rsid w:val="009C2C6E"/>
    <w:rsid w:val="009C38AE"/>
    <w:rsid w:val="009C3992"/>
    <w:rsid w:val="009C3A9C"/>
    <w:rsid w:val="009C3B83"/>
    <w:rsid w:val="009C3C51"/>
    <w:rsid w:val="009C43CD"/>
    <w:rsid w:val="009C4A61"/>
    <w:rsid w:val="009C4D9D"/>
    <w:rsid w:val="009C5049"/>
    <w:rsid w:val="009C6302"/>
    <w:rsid w:val="009C646B"/>
    <w:rsid w:val="009C6DF9"/>
    <w:rsid w:val="009C70D4"/>
    <w:rsid w:val="009C7398"/>
    <w:rsid w:val="009C7579"/>
    <w:rsid w:val="009C7984"/>
    <w:rsid w:val="009C7E34"/>
    <w:rsid w:val="009C7E6D"/>
    <w:rsid w:val="009D03CE"/>
    <w:rsid w:val="009D067C"/>
    <w:rsid w:val="009D132C"/>
    <w:rsid w:val="009D1530"/>
    <w:rsid w:val="009D1B59"/>
    <w:rsid w:val="009D2036"/>
    <w:rsid w:val="009D2184"/>
    <w:rsid w:val="009D2316"/>
    <w:rsid w:val="009D33AB"/>
    <w:rsid w:val="009D3657"/>
    <w:rsid w:val="009D4B0A"/>
    <w:rsid w:val="009D4FC2"/>
    <w:rsid w:val="009D53D9"/>
    <w:rsid w:val="009D55C3"/>
    <w:rsid w:val="009D5FBB"/>
    <w:rsid w:val="009D67DB"/>
    <w:rsid w:val="009D67F6"/>
    <w:rsid w:val="009D687F"/>
    <w:rsid w:val="009D6ECC"/>
    <w:rsid w:val="009E0077"/>
    <w:rsid w:val="009E01A9"/>
    <w:rsid w:val="009E01D4"/>
    <w:rsid w:val="009E03DA"/>
    <w:rsid w:val="009E08D1"/>
    <w:rsid w:val="009E0FE1"/>
    <w:rsid w:val="009E1029"/>
    <w:rsid w:val="009E24D3"/>
    <w:rsid w:val="009E31EB"/>
    <w:rsid w:val="009E322A"/>
    <w:rsid w:val="009E4380"/>
    <w:rsid w:val="009E446A"/>
    <w:rsid w:val="009E4BD0"/>
    <w:rsid w:val="009E5363"/>
    <w:rsid w:val="009E578D"/>
    <w:rsid w:val="009E6273"/>
    <w:rsid w:val="009E63E3"/>
    <w:rsid w:val="009E642A"/>
    <w:rsid w:val="009E6931"/>
    <w:rsid w:val="009E7BD6"/>
    <w:rsid w:val="009F00B8"/>
    <w:rsid w:val="009F0239"/>
    <w:rsid w:val="009F14F6"/>
    <w:rsid w:val="009F1765"/>
    <w:rsid w:val="009F2753"/>
    <w:rsid w:val="009F2764"/>
    <w:rsid w:val="009F28DE"/>
    <w:rsid w:val="009F2EC6"/>
    <w:rsid w:val="009F2F27"/>
    <w:rsid w:val="009F3278"/>
    <w:rsid w:val="009F3756"/>
    <w:rsid w:val="009F40FA"/>
    <w:rsid w:val="009F4F52"/>
    <w:rsid w:val="009F522D"/>
    <w:rsid w:val="009F5248"/>
    <w:rsid w:val="009F661C"/>
    <w:rsid w:val="009F6B57"/>
    <w:rsid w:val="009F7A11"/>
    <w:rsid w:val="009F7E30"/>
    <w:rsid w:val="00A00627"/>
    <w:rsid w:val="00A006DE"/>
    <w:rsid w:val="00A00C3A"/>
    <w:rsid w:val="00A00F16"/>
    <w:rsid w:val="00A01656"/>
    <w:rsid w:val="00A01B67"/>
    <w:rsid w:val="00A01C73"/>
    <w:rsid w:val="00A025AE"/>
    <w:rsid w:val="00A02820"/>
    <w:rsid w:val="00A02A15"/>
    <w:rsid w:val="00A032BA"/>
    <w:rsid w:val="00A03443"/>
    <w:rsid w:val="00A03629"/>
    <w:rsid w:val="00A03DF1"/>
    <w:rsid w:val="00A03F17"/>
    <w:rsid w:val="00A0406E"/>
    <w:rsid w:val="00A04C2E"/>
    <w:rsid w:val="00A04D27"/>
    <w:rsid w:val="00A053FB"/>
    <w:rsid w:val="00A06663"/>
    <w:rsid w:val="00A068B9"/>
    <w:rsid w:val="00A0702B"/>
    <w:rsid w:val="00A07264"/>
    <w:rsid w:val="00A07A73"/>
    <w:rsid w:val="00A07C73"/>
    <w:rsid w:val="00A10778"/>
    <w:rsid w:val="00A10F8D"/>
    <w:rsid w:val="00A11126"/>
    <w:rsid w:val="00A11307"/>
    <w:rsid w:val="00A113B7"/>
    <w:rsid w:val="00A12030"/>
    <w:rsid w:val="00A1355C"/>
    <w:rsid w:val="00A13AF3"/>
    <w:rsid w:val="00A13CE6"/>
    <w:rsid w:val="00A14066"/>
    <w:rsid w:val="00A140BD"/>
    <w:rsid w:val="00A1413A"/>
    <w:rsid w:val="00A143A8"/>
    <w:rsid w:val="00A14878"/>
    <w:rsid w:val="00A14CEB"/>
    <w:rsid w:val="00A14D8F"/>
    <w:rsid w:val="00A1504C"/>
    <w:rsid w:val="00A150CC"/>
    <w:rsid w:val="00A151EC"/>
    <w:rsid w:val="00A15D9B"/>
    <w:rsid w:val="00A15F33"/>
    <w:rsid w:val="00A16385"/>
    <w:rsid w:val="00A16777"/>
    <w:rsid w:val="00A16970"/>
    <w:rsid w:val="00A17749"/>
    <w:rsid w:val="00A177EA"/>
    <w:rsid w:val="00A17AFC"/>
    <w:rsid w:val="00A17ED0"/>
    <w:rsid w:val="00A202FC"/>
    <w:rsid w:val="00A20468"/>
    <w:rsid w:val="00A20688"/>
    <w:rsid w:val="00A207A3"/>
    <w:rsid w:val="00A2129B"/>
    <w:rsid w:val="00A21388"/>
    <w:rsid w:val="00A216AB"/>
    <w:rsid w:val="00A21AE2"/>
    <w:rsid w:val="00A21DD0"/>
    <w:rsid w:val="00A21DF9"/>
    <w:rsid w:val="00A22091"/>
    <w:rsid w:val="00A22104"/>
    <w:rsid w:val="00A2216C"/>
    <w:rsid w:val="00A229FC"/>
    <w:rsid w:val="00A2371C"/>
    <w:rsid w:val="00A242FD"/>
    <w:rsid w:val="00A24332"/>
    <w:rsid w:val="00A243D6"/>
    <w:rsid w:val="00A24551"/>
    <w:rsid w:val="00A249E2"/>
    <w:rsid w:val="00A24CAD"/>
    <w:rsid w:val="00A24DCB"/>
    <w:rsid w:val="00A24FDD"/>
    <w:rsid w:val="00A252B0"/>
    <w:rsid w:val="00A25377"/>
    <w:rsid w:val="00A2586C"/>
    <w:rsid w:val="00A258F5"/>
    <w:rsid w:val="00A25CEE"/>
    <w:rsid w:val="00A25E5B"/>
    <w:rsid w:val="00A264B1"/>
    <w:rsid w:val="00A26719"/>
    <w:rsid w:val="00A26786"/>
    <w:rsid w:val="00A26FC9"/>
    <w:rsid w:val="00A27218"/>
    <w:rsid w:val="00A27477"/>
    <w:rsid w:val="00A27791"/>
    <w:rsid w:val="00A27ABE"/>
    <w:rsid w:val="00A27B9D"/>
    <w:rsid w:val="00A27EB8"/>
    <w:rsid w:val="00A300B6"/>
    <w:rsid w:val="00A301DB"/>
    <w:rsid w:val="00A30444"/>
    <w:rsid w:val="00A30487"/>
    <w:rsid w:val="00A31187"/>
    <w:rsid w:val="00A31293"/>
    <w:rsid w:val="00A31B13"/>
    <w:rsid w:val="00A3311D"/>
    <w:rsid w:val="00A33466"/>
    <w:rsid w:val="00A336C2"/>
    <w:rsid w:val="00A33744"/>
    <w:rsid w:val="00A33B9D"/>
    <w:rsid w:val="00A33D80"/>
    <w:rsid w:val="00A34668"/>
    <w:rsid w:val="00A355F9"/>
    <w:rsid w:val="00A35971"/>
    <w:rsid w:val="00A35B67"/>
    <w:rsid w:val="00A36129"/>
    <w:rsid w:val="00A3633C"/>
    <w:rsid w:val="00A3644D"/>
    <w:rsid w:val="00A36B94"/>
    <w:rsid w:val="00A36EF4"/>
    <w:rsid w:val="00A3722D"/>
    <w:rsid w:val="00A37BC5"/>
    <w:rsid w:val="00A37D68"/>
    <w:rsid w:val="00A41355"/>
    <w:rsid w:val="00A4145F"/>
    <w:rsid w:val="00A41B05"/>
    <w:rsid w:val="00A429A6"/>
    <w:rsid w:val="00A42B15"/>
    <w:rsid w:val="00A42CA7"/>
    <w:rsid w:val="00A42E27"/>
    <w:rsid w:val="00A43076"/>
    <w:rsid w:val="00A437B6"/>
    <w:rsid w:val="00A439B8"/>
    <w:rsid w:val="00A43B92"/>
    <w:rsid w:val="00A43FFC"/>
    <w:rsid w:val="00A44310"/>
    <w:rsid w:val="00A447A6"/>
    <w:rsid w:val="00A45088"/>
    <w:rsid w:val="00A454AB"/>
    <w:rsid w:val="00A458A2"/>
    <w:rsid w:val="00A46CF6"/>
    <w:rsid w:val="00A474A6"/>
    <w:rsid w:val="00A50D6C"/>
    <w:rsid w:val="00A51876"/>
    <w:rsid w:val="00A521FD"/>
    <w:rsid w:val="00A52288"/>
    <w:rsid w:val="00A52721"/>
    <w:rsid w:val="00A52744"/>
    <w:rsid w:val="00A5288F"/>
    <w:rsid w:val="00A52BCB"/>
    <w:rsid w:val="00A533D0"/>
    <w:rsid w:val="00A534ED"/>
    <w:rsid w:val="00A535DD"/>
    <w:rsid w:val="00A54251"/>
    <w:rsid w:val="00A54346"/>
    <w:rsid w:val="00A54B72"/>
    <w:rsid w:val="00A5546A"/>
    <w:rsid w:val="00A55A6C"/>
    <w:rsid w:val="00A55B05"/>
    <w:rsid w:val="00A55E0D"/>
    <w:rsid w:val="00A5638E"/>
    <w:rsid w:val="00A568BA"/>
    <w:rsid w:val="00A56BEE"/>
    <w:rsid w:val="00A56CA5"/>
    <w:rsid w:val="00A5702F"/>
    <w:rsid w:val="00A60018"/>
    <w:rsid w:val="00A6066A"/>
    <w:rsid w:val="00A6069F"/>
    <w:rsid w:val="00A611C7"/>
    <w:rsid w:val="00A6137B"/>
    <w:rsid w:val="00A613D3"/>
    <w:rsid w:val="00A6179E"/>
    <w:rsid w:val="00A61CC0"/>
    <w:rsid w:val="00A61EA3"/>
    <w:rsid w:val="00A6226D"/>
    <w:rsid w:val="00A6306A"/>
    <w:rsid w:val="00A632D4"/>
    <w:rsid w:val="00A63562"/>
    <w:rsid w:val="00A63590"/>
    <w:rsid w:val="00A63650"/>
    <w:rsid w:val="00A63FE9"/>
    <w:rsid w:val="00A64316"/>
    <w:rsid w:val="00A646FD"/>
    <w:rsid w:val="00A64869"/>
    <w:rsid w:val="00A649D2"/>
    <w:rsid w:val="00A64A19"/>
    <w:rsid w:val="00A64E23"/>
    <w:rsid w:val="00A64EC8"/>
    <w:rsid w:val="00A65381"/>
    <w:rsid w:val="00A6701D"/>
    <w:rsid w:val="00A677E0"/>
    <w:rsid w:val="00A70125"/>
    <w:rsid w:val="00A70162"/>
    <w:rsid w:val="00A70800"/>
    <w:rsid w:val="00A711D9"/>
    <w:rsid w:val="00A722AC"/>
    <w:rsid w:val="00A722E2"/>
    <w:rsid w:val="00A724C6"/>
    <w:rsid w:val="00A73094"/>
    <w:rsid w:val="00A73208"/>
    <w:rsid w:val="00A7337D"/>
    <w:rsid w:val="00A73F67"/>
    <w:rsid w:val="00A74457"/>
    <w:rsid w:val="00A754D2"/>
    <w:rsid w:val="00A7615D"/>
    <w:rsid w:val="00A7623E"/>
    <w:rsid w:val="00A7745C"/>
    <w:rsid w:val="00A7792E"/>
    <w:rsid w:val="00A7798A"/>
    <w:rsid w:val="00A77BD2"/>
    <w:rsid w:val="00A800FC"/>
    <w:rsid w:val="00A804D9"/>
    <w:rsid w:val="00A807B0"/>
    <w:rsid w:val="00A80BCD"/>
    <w:rsid w:val="00A80D35"/>
    <w:rsid w:val="00A810F9"/>
    <w:rsid w:val="00A81AEB"/>
    <w:rsid w:val="00A826C0"/>
    <w:rsid w:val="00A83A34"/>
    <w:rsid w:val="00A83D82"/>
    <w:rsid w:val="00A84122"/>
    <w:rsid w:val="00A842B4"/>
    <w:rsid w:val="00A85440"/>
    <w:rsid w:val="00A85549"/>
    <w:rsid w:val="00A8570A"/>
    <w:rsid w:val="00A8573B"/>
    <w:rsid w:val="00A8587D"/>
    <w:rsid w:val="00A858D3"/>
    <w:rsid w:val="00A861C6"/>
    <w:rsid w:val="00A8627D"/>
    <w:rsid w:val="00A86507"/>
    <w:rsid w:val="00A86611"/>
    <w:rsid w:val="00A8784B"/>
    <w:rsid w:val="00A87ACA"/>
    <w:rsid w:val="00A87FA5"/>
    <w:rsid w:val="00A87FF0"/>
    <w:rsid w:val="00A90441"/>
    <w:rsid w:val="00A908B5"/>
    <w:rsid w:val="00A909E6"/>
    <w:rsid w:val="00A90D45"/>
    <w:rsid w:val="00A90F87"/>
    <w:rsid w:val="00A92915"/>
    <w:rsid w:val="00A92929"/>
    <w:rsid w:val="00A92E0B"/>
    <w:rsid w:val="00A92E83"/>
    <w:rsid w:val="00A92F35"/>
    <w:rsid w:val="00A92F92"/>
    <w:rsid w:val="00A93ED4"/>
    <w:rsid w:val="00A942EE"/>
    <w:rsid w:val="00A94F70"/>
    <w:rsid w:val="00A9587D"/>
    <w:rsid w:val="00A95F7F"/>
    <w:rsid w:val="00A966B0"/>
    <w:rsid w:val="00A96892"/>
    <w:rsid w:val="00A96909"/>
    <w:rsid w:val="00A96A1D"/>
    <w:rsid w:val="00AA00EB"/>
    <w:rsid w:val="00AA024B"/>
    <w:rsid w:val="00AA03E9"/>
    <w:rsid w:val="00AA04AA"/>
    <w:rsid w:val="00AA0C3B"/>
    <w:rsid w:val="00AA0C42"/>
    <w:rsid w:val="00AA0DEC"/>
    <w:rsid w:val="00AA1402"/>
    <w:rsid w:val="00AA1C40"/>
    <w:rsid w:val="00AA2051"/>
    <w:rsid w:val="00AA2B84"/>
    <w:rsid w:val="00AA2DDA"/>
    <w:rsid w:val="00AA2F43"/>
    <w:rsid w:val="00AA3035"/>
    <w:rsid w:val="00AA380E"/>
    <w:rsid w:val="00AA38D8"/>
    <w:rsid w:val="00AA396E"/>
    <w:rsid w:val="00AA4434"/>
    <w:rsid w:val="00AA4A38"/>
    <w:rsid w:val="00AA5103"/>
    <w:rsid w:val="00AA5971"/>
    <w:rsid w:val="00AA5D0C"/>
    <w:rsid w:val="00AA6585"/>
    <w:rsid w:val="00AA70C4"/>
    <w:rsid w:val="00AA7657"/>
    <w:rsid w:val="00AA7AC6"/>
    <w:rsid w:val="00AA7E23"/>
    <w:rsid w:val="00AB0CF2"/>
    <w:rsid w:val="00AB13D6"/>
    <w:rsid w:val="00AB1908"/>
    <w:rsid w:val="00AB1B43"/>
    <w:rsid w:val="00AB2582"/>
    <w:rsid w:val="00AB2A51"/>
    <w:rsid w:val="00AB2AE8"/>
    <w:rsid w:val="00AB2C8D"/>
    <w:rsid w:val="00AB2F5E"/>
    <w:rsid w:val="00AB3205"/>
    <w:rsid w:val="00AB3545"/>
    <w:rsid w:val="00AB3559"/>
    <w:rsid w:val="00AB3949"/>
    <w:rsid w:val="00AB44C3"/>
    <w:rsid w:val="00AB4CD8"/>
    <w:rsid w:val="00AB4CE7"/>
    <w:rsid w:val="00AB4FC9"/>
    <w:rsid w:val="00AB544B"/>
    <w:rsid w:val="00AB5A48"/>
    <w:rsid w:val="00AB5A8D"/>
    <w:rsid w:val="00AB5D19"/>
    <w:rsid w:val="00AB62DE"/>
    <w:rsid w:val="00AB6577"/>
    <w:rsid w:val="00AB6A2B"/>
    <w:rsid w:val="00AB77F8"/>
    <w:rsid w:val="00AB7844"/>
    <w:rsid w:val="00AB7C8F"/>
    <w:rsid w:val="00AC00E7"/>
    <w:rsid w:val="00AC07B2"/>
    <w:rsid w:val="00AC14D3"/>
    <w:rsid w:val="00AC1BAF"/>
    <w:rsid w:val="00AC2192"/>
    <w:rsid w:val="00AC30D3"/>
    <w:rsid w:val="00AC36E4"/>
    <w:rsid w:val="00AC3726"/>
    <w:rsid w:val="00AC3EE6"/>
    <w:rsid w:val="00AC3FC4"/>
    <w:rsid w:val="00AC426A"/>
    <w:rsid w:val="00AC5591"/>
    <w:rsid w:val="00AC5F62"/>
    <w:rsid w:val="00AC6365"/>
    <w:rsid w:val="00AC636D"/>
    <w:rsid w:val="00AC6442"/>
    <w:rsid w:val="00AC69A8"/>
    <w:rsid w:val="00AC6EAC"/>
    <w:rsid w:val="00AC7026"/>
    <w:rsid w:val="00AC74EE"/>
    <w:rsid w:val="00AC783B"/>
    <w:rsid w:val="00AC7AB2"/>
    <w:rsid w:val="00AD08C1"/>
    <w:rsid w:val="00AD0F3E"/>
    <w:rsid w:val="00AD102A"/>
    <w:rsid w:val="00AD1B2E"/>
    <w:rsid w:val="00AD1C02"/>
    <w:rsid w:val="00AD26EC"/>
    <w:rsid w:val="00AD2BDC"/>
    <w:rsid w:val="00AD369D"/>
    <w:rsid w:val="00AD49C9"/>
    <w:rsid w:val="00AD49CC"/>
    <w:rsid w:val="00AD64D8"/>
    <w:rsid w:val="00AD6591"/>
    <w:rsid w:val="00AD659E"/>
    <w:rsid w:val="00AD680C"/>
    <w:rsid w:val="00AD6BB8"/>
    <w:rsid w:val="00AD701F"/>
    <w:rsid w:val="00AD7103"/>
    <w:rsid w:val="00AD710F"/>
    <w:rsid w:val="00AD7A91"/>
    <w:rsid w:val="00AD7CE4"/>
    <w:rsid w:val="00AD7E35"/>
    <w:rsid w:val="00AE0D01"/>
    <w:rsid w:val="00AE0D69"/>
    <w:rsid w:val="00AE0E0F"/>
    <w:rsid w:val="00AE1071"/>
    <w:rsid w:val="00AE1421"/>
    <w:rsid w:val="00AE1795"/>
    <w:rsid w:val="00AE1BE3"/>
    <w:rsid w:val="00AE284A"/>
    <w:rsid w:val="00AE32D3"/>
    <w:rsid w:val="00AE3CF7"/>
    <w:rsid w:val="00AE4137"/>
    <w:rsid w:val="00AE4682"/>
    <w:rsid w:val="00AE50B4"/>
    <w:rsid w:val="00AE5317"/>
    <w:rsid w:val="00AE5D87"/>
    <w:rsid w:val="00AE61B2"/>
    <w:rsid w:val="00AE667E"/>
    <w:rsid w:val="00AE6BCF"/>
    <w:rsid w:val="00AE7137"/>
    <w:rsid w:val="00AE73B6"/>
    <w:rsid w:val="00AE7409"/>
    <w:rsid w:val="00AF035A"/>
    <w:rsid w:val="00AF0422"/>
    <w:rsid w:val="00AF05A6"/>
    <w:rsid w:val="00AF073C"/>
    <w:rsid w:val="00AF0D56"/>
    <w:rsid w:val="00AF0F53"/>
    <w:rsid w:val="00AF11D8"/>
    <w:rsid w:val="00AF15D4"/>
    <w:rsid w:val="00AF179C"/>
    <w:rsid w:val="00AF2E82"/>
    <w:rsid w:val="00AF3614"/>
    <w:rsid w:val="00AF3807"/>
    <w:rsid w:val="00AF3A17"/>
    <w:rsid w:val="00AF450A"/>
    <w:rsid w:val="00AF4FA1"/>
    <w:rsid w:val="00AF5329"/>
    <w:rsid w:val="00AF587A"/>
    <w:rsid w:val="00AF594B"/>
    <w:rsid w:val="00AF5D45"/>
    <w:rsid w:val="00AF5E26"/>
    <w:rsid w:val="00AF5E89"/>
    <w:rsid w:val="00AF643A"/>
    <w:rsid w:val="00AF6DDE"/>
    <w:rsid w:val="00AF6FC6"/>
    <w:rsid w:val="00AF74BD"/>
    <w:rsid w:val="00AF786B"/>
    <w:rsid w:val="00B000BA"/>
    <w:rsid w:val="00B0030D"/>
    <w:rsid w:val="00B00806"/>
    <w:rsid w:val="00B00BD7"/>
    <w:rsid w:val="00B00F61"/>
    <w:rsid w:val="00B012BD"/>
    <w:rsid w:val="00B013CA"/>
    <w:rsid w:val="00B014B6"/>
    <w:rsid w:val="00B01786"/>
    <w:rsid w:val="00B02375"/>
    <w:rsid w:val="00B02440"/>
    <w:rsid w:val="00B0298D"/>
    <w:rsid w:val="00B03635"/>
    <w:rsid w:val="00B045F8"/>
    <w:rsid w:val="00B04AF2"/>
    <w:rsid w:val="00B05053"/>
    <w:rsid w:val="00B05C19"/>
    <w:rsid w:val="00B06095"/>
    <w:rsid w:val="00B06148"/>
    <w:rsid w:val="00B0653F"/>
    <w:rsid w:val="00B07499"/>
    <w:rsid w:val="00B07808"/>
    <w:rsid w:val="00B10611"/>
    <w:rsid w:val="00B1106D"/>
    <w:rsid w:val="00B117EF"/>
    <w:rsid w:val="00B119AF"/>
    <w:rsid w:val="00B11A07"/>
    <w:rsid w:val="00B11B3F"/>
    <w:rsid w:val="00B11FE2"/>
    <w:rsid w:val="00B12314"/>
    <w:rsid w:val="00B12444"/>
    <w:rsid w:val="00B12B1E"/>
    <w:rsid w:val="00B137D9"/>
    <w:rsid w:val="00B13BB9"/>
    <w:rsid w:val="00B13DFE"/>
    <w:rsid w:val="00B142F9"/>
    <w:rsid w:val="00B1447A"/>
    <w:rsid w:val="00B145BC"/>
    <w:rsid w:val="00B14734"/>
    <w:rsid w:val="00B148B5"/>
    <w:rsid w:val="00B14D19"/>
    <w:rsid w:val="00B1509F"/>
    <w:rsid w:val="00B153CD"/>
    <w:rsid w:val="00B156A6"/>
    <w:rsid w:val="00B156BC"/>
    <w:rsid w:val="00B157A2"/>
    <w:rsid w:val="00B15A5B"/>
    <w:rsid w:val="00B16641"/>
    <w:rsid w:val="00B16B20"/>
    <w:rsid w:val="00B17261"/>
    <w:rsid w:val="00B17753"/>
    <w:rsid w:val="00B17757"/>
    <w:rsid w:val="00B177C4"/>
    <w:rsid w:val="00B17ACF"/>
    <w:rsid w:val="00B20D7C"/>
    <w:rsid w:val="00B20FDF"/>
    <w:rsid w:val="00B21179"/>
    <w:rsid w:val="00B220A1"/>
    <w:rsid w:val="00B220DE"/>
    <w:rsid w:val="00B2254F"/>
    <w:rsid w:val="00B2272B"/>
    <w:rsid w:val="00B228F4"/>
    <w:rsid w:val="00B22CFB"/>
    <w:rsid w:val="00B237FB"/>
    <w:rsid w:val="00B23824"/>
    <w:rsid w:val="00B23D6F"/>
    <w:rsid w:val="00B23DF7"/>
    <w:rsid w:val="00B2477F"/>
    <w:rsid w:val="00B24AD5"/>
    <w:rsid w:val="00B24B1D"/>
    <w:rsid w:val="00B25294"/>
    <w:rsid w:val="00B25F1D"/>
    <w:rsid w:val="00B26031"/>
    <w:rsid w:val="00B26126"/>
    <w:rsid w:val="00B26802"/>
    <w:rsid w:val="00B269F8"/>
    <w:rsid w:val="00B26C33"/>
    <w:rsid w:val="00B27356"/>
    <w:rsid w:val="00B277E0"/>
    <w:rsid w:val="00B27BBC"/>
    <w:rsid w:val="00B27DCE"/>
    <w:rsid w:val="00B30387"/>
    <w:rsid w:val="00B303F2"/>
    <w:rsid w:val="00B30C22"/>
    <w:rsid w:val="00B313CB"/>
    <w:rsid w:val="00B314F6"/>
    <w:rsid w:val="00B31FC8"/>
    <w:rsid w:val="00B32335"/>
    <w:rsid w:val="00B324FE"/>
    <w:rsid w:val="00B325EB"/>
    <w:rsid w:val="00B33565"/>
    <w:rsid w:val="00B3376C"/>
    <w:rsid w:val="00B339A1"/>
    <w:rsid w:val="00B33AE5"/>
    <w:rsid w:val="00B33E95"/>
    <w:rsid w:val="00B3443B"/>
    <w:rsid w:val="00B34946"/>
    <w:rsid w:val="00B34E7F"/>
    <w:rsid w:val="00B353C2"/>
    <w:rsid w:val="00B35492"/>
    <w:rsid w:val="00B35A10"/>
    <w:rsid w:val="00B35BFA"/>
    <w:rsid w:val="00B36462"/>
    <w:rsid w:val="00B36BDD"/>
    <w:rsid w:val="00B3714E"/>
    <w:rsid w:val="00B37CED"/>
    <w:rsid w:val="00B402DD"/>
    <w:rsid w:val="00B4058C"/>
    <w:rsid w:val="00B4076B"/>
    <w:rsid w:val="00B41250"/>
    <w:rsid w:val="00B4149C"/>
    <w:rsid w:val="00B41622"/>
    <w:rsid w:val="00B42257"/>
    <w:rsid w:val="00B427F3"/>
    <w:rsid w:val="00B42A83"/>
    <w:rsid w:val="00B43C7A"/>
    <w:rsid w:val="00B4418D"/>
    <w:rsid w:val="00B44236"/>
    <w:rsid w:val="00B448A6"/>
    <w:rsid w:val="00B455C7"/>
    <w:rsid w:val="00B45818"/>
    <w:rsid w:val="00B4595F"/>
    <w:rsid w:val="00B46A3D"/>
    <w:rsid w:val="00B46EEC"/>
    <w:rsid w:val="00B47A8B"/>
    <w:rsid w:val="00B47BC0"/>
    <w:rsid w:val="00B5042B"/>
    <w:rsid w:val="00B505A5"/>
    <w:rsid w:val="00B50941"/>
    <w:rsid w:val="00B50E0C"/>
    <w:rsid w:val="00B50E57"/>
    <w:rsid w:val="00B51161"/>
    <w:rsid w:val="00B51762"/>
    <w:rsid w:val="00B5185C"/>
    <w:rsid w:val="00B519FD"/>
    <w:rsid w:val="00B51A84"/>
    <w:rsid w:val="00B51FC0"/>
    <w:rsid w:val="00B52029"/>
    <w:rsid w:val="00B520BC"/>
    <w:rsid w:val="00B52588"/>
    <w:rsid w:val="00B525B3"/>
    <w:rsid w:val="00B526BB"/>
    <w:rsid w:val="00B52863"/>
    <w:rsid w:val="00B5288F"/>
    <w:rsid w:val="00B52A51"/>
    <w:rsid w:val="00B53260"/>
    <w:rsid w:val="00B53811"/>
    <w:rsid w:val="00B53882"/>
    <w:rsid w:val="00B53928"/>
    <w:rsid w:val="00B539CC"/>
    <w:rsid w:val="00B53BDF"/>
    <w:rsid w:val="00B551AC"/>
    <w:rsid w:val="00B55711"/>
    <w:rsid w:val="00B55C74"/>
    <w:rsid w:val="00B56136"/>
    <w:rsid w:val="00B56D36"/>
    <w:rsid w:val="00B577FE"/>
    <w:rsid w:val="00B57946"/>
    <w:rsid w:val="00B57BB6"/>
    <w:rsid w:val="00B57D3E"/>
    <w:rsid w:val="00B57DF4"/>
    <w:rsid w:val="00B57E10"/>
    <w:rsid w:val="00B608C9"/>
    <w:rsid w:val="00B60E07"/>
    <w:rsid w:val="00B612D4"/>
    <w:rsid w:val="00B619AC"/>
    <w:rsid w:val="00B61CE8"/>
    <w:rsid w:val="00B61FF1"/>
    <w:rsid w:val="00B62F45"/>
    <w:rsid w:val="00B63811"/>
    <w:rsid w:val="00B638A3"/>
    <w:rsid w:val="00B63C01"/>
    <w:rsid w:val="00B63D24"/>
    <w:rsid w:val="00B64156"/>
    <w:rsid w:val="00B646E7"/>
    <w:rsid w:val="00B64740"/>
    <w:rsid w:val="00B64934"/>
    <w:rsid w:val="00B64E07"/>
    <w:rsid w:val="00B650FC"/>
    <w:rsid w:val="00B6558A"/>
    <w:rsid w:val="00B65D6E"/>
    <w:rsid w:val="00B65DCF"/>
    <w:rsid w:val="00B6739D"/>
    <w:rsid w:val="00B67435"/>
    <w:rsid w:val="00B70447"/>
    <w:rsid w:val="00B7069D"/>
    <w:rsid w:val="00B7077F"/>
    <w:rsid w:val="00B70A70"/>
    <w:rsid w:val="00B727D0"/>
    <w:rsid w:val="00B72A37"/>
    <w:rsid w:val="00B72FF3"/>
    <w:rsid w:val="00B7302C"/>
    <w:rsid w:val="00B7345E"/>
    <w:rsid w:val="00B740E8"/>
    <w:rsid w:val="00B74373"/>
    <w:rsid w:val="00B74634"/>
    <w:rsid w:val="00B75193"/>
    <w:rsid w:val="00B752AE"/>
    <w:rsid w:val="00B754AC"/>
    <w:rsid w:val="00B75646"/>
    <w:rsid w:val="00B7599A"/>
    <w:rsid w:val="00B75C16"/>
    <w:rsid w:val="00B75C29"/>
    <w:rsid w:val="00B762B0"/>
    <w:rsid w:val="00B763AE"/>
    <w:rsid w:val="00B76A1C"/>
    <w:rsid w:val="00B76C7D"/>
    <w:rsid w:val="00B770CD"/>
    <w:rsid w:val="00B776DE"/>
    <w:rsid w:val="00B777A8"/>
    <w:rsid w:val="00B77A00"/>
    <w:rsid w:val="00B800FA"/>
    <w:rsid w:val="00B803EA"/>
    <w:rsid w:val="00B80A6D"/>
    <w:rsid w:val="00B80E1D"/>
    <w:rsid w:val="00B81577"/>
    <w:rsid w:val="00B8277D"/>
    <w:rsid w:val="00B82804"/>
    <w:rsid w:val="00B83526"/>
    <w:rsid w:val="00B83614"/>
    <w:rsid w:val="00B8361D"/>
    <w:rsid w:val="00B84035"/>
    <w:rsid w:val="00B8560E"/>
    <w:rsid w:val="00B857C6"/>
    <w:rsid w:val="00B85939"/>
    <w:rsid w:val="00B85FBC"/>
    <w:rsid w:val="00B8602E"/>
    <w:rsid w:val="00B8648D"/>
    <w:rsid w:val="00B86557"/>
    <w:rsid w:val="00B86B2A"/>
    <w:rsid w:val="00B86C68"/>
    <w:rsid w:val="00B86CF2"/>
    <w:rsid w:val="00B87EB5"/>
    <w:rsid w:val="00B9028C"/>
    <w:rsid w:val="00B9066B"/>
    <w:rsid w:val="00B90B66"/>
    <w:rsid w:val="00B91116"/>
    <w:rsid w:val="00B922A7"/>
    <w:rsid w:val="00B924E6"/>
    <w:rsid w:val="00B937A9"/>
    <w:rsid w:val="00B94148"/>
    <w:rsid w:val="00B9450F"/>
    <w:rsid w:val="00B9483A"/>
    <w:rsid w:val="00B95721"/>
    <w:rsid w:val="00B957C5"/>
    <w:rsid w:val="00B9641C"/>
    <w:rsid w:val="00B971CF"/>
    <w:rsid w:val="00BA0AA1"/>
    <w:rsid w:val="00BA13CF"/>
    <w:rsid w:val="00BA1965"/>
    <w:rsid w:val="00BA1B11"/>
    <w:rsid w:val="00BA1E03"/>
    <w:rsid w:val="00BA2383"/>
    <w:rsid w:val="00BA262D"/>
    <w:rsid w:val="00BA2DD8"/>
    <w:rsid w:val="00BA3AA8"/>
    <w:rsid w:val="00BA40C7"/>
    <w:rsid w:val="00BA41DF"/>
    <w:rsid w:val="00BA499A"/>
    <w:rsid w:val="00BA4CE8"/>
    <w:rsid w:val="00BA4E2C"/>
    <w:rsid w:val="00BA4E3E"/>
    <w:rsid w:val="00BA5698"/>
    <w:rsid w:val="00BA5723"/>
    <w:rsid w:val="00BA5731"/>
    <w:rsid w:val="00BA5EA0"/>
    <w:rsid w:val="00BA6478"/>
    <w:rsid w:val="00BA6581"/>
    <w:rsid w:val="00BB0DEA"/>
    <w:rsid w:val="00BB1EBD"/>
    <w:rsid w:val="00BB2091"/>
    <w:rsid w:val="00BB2192"/>
    <w:rsid w:val="00BB222A"/>
    <w:rsid w:val="00BB247B"/>
    <w:rsid w:val="00BB26C5"/>
    <w:rsid w:val="00BB2788"/>
    <w:rsid w:val="00BB3A8E"/>
    <w:rsid w:val="00BB3B93"/>
    <w:rsid w:val="00BB40E0"/>
    <w:rsid w:val="00BB42E7"/>
    <w:rsid w:val="00BB4544"/>
    <w:rsid w:val="00BB4553"/>
    <w:rsid w:val="00BB45DB"/>
    <w:rsid w:val="00BB4AE4"/>
    <w:rsid w:val="00BB4D8E"/>
    <w:rsid w:val="00BB5098"/>
    <w:rsid w:val="00BB541B"/>
    <w:rsid w:val="00BB56A4"/>
    <w:rsid w:val="00BB5B95"/>
    <w:rsid w:val="00BB5EE0"/>
    <w:rsid w:val="00BB6CC4"/>
    <w:rsid w:val="00BB6E9F"/>
    <w:rsid w:val="00BB6EC1"/>
    <w:rsid w:val="00BB71EE"/>
    <w:rsid w:val="00BB726E"/>
    <w:rsid w:val="00BB7B24"/>
    <w:rsid w:val="00BB7FC3"/>
    <w:rsid w:val="00BB7FE7"/>
    <w:rsid w:val="00BC099F"/>
    <w:rsid w:val="00BC1EC6"/>
    <w:rsid w:val="00BC1F73"/>
    <w:rsid w:val="00BC2A31"/>
    <w:rsid w:val="00BC2A99"/>
    <w:rsid w:val="00BC34CA"/>
    <w:rsid w:val="00BC45D8"/>
    <w:rsid w:val="00BC4B70"/>
    <w:rsid w:val="00BC4E23"/>
    <w:rsid w:val="00BC4EE9"/>
    <w:rsid w:val="00BC4FD6"/>
    <w:rsid w:val="00BC55C1"/>
    <w:rsid w:val="00BC568F"/>
    <w:rsid w:val="00BC5A4F"/>
    <w:rsid w:val="00BC5CFA"/>
    <w:rsid w:val="00BC5DF9"/>
    <w:rsid w:val="00BC6244"/>
    <w:rsid w:val="00BC6ADF"/>
    <w:rsid w:val="00BC745B"/>
    <w:rsid w:val="00BC78A4"/>
    <w:rsid w:val="00BC7993"/>
    <w:rsid w:val="00BC79EB"/>
    <w:rsid w:val="00BD17A9"/>
    <w:rsid w:val="00BD1B62"/>
    <w:rsid w:val="00BD228A"/>
    <w:rsid w:val="00BD2627"/>
    <w:rsid w:val="00BD32F1"/>
    <w:rsid w:val="00BD3346"/>
    <w:rsid w:val="00BD3476"/>
    <w:rsid w:val="00BD3692"/>
    <w:rsid w:val="00BD3BED"/>
    <w:rsid w:val="00BD3D5D"/>
    <w:rsid w:val="00BD427B"/>
    <w:rsid w:val="00BD46E5"/>
    <w:rsid w:val="00BD4A66"/>
    <w:rsid w:val="00BD4B4D"/>
    <w:rsid w:val="00BD4B5C"/>
    <w:rsid w:val="00BD4FC0"/>
    <w:rsid w:val="00BD6FD5"/>
    <w:rsid w:val="00BD796A"/>
    <w:rsid w:val="00BD7BD3"/>
    <w:rsid w:val="00BD7F9D"/>
    <w:rsid w:val="00BD7FCF"/>
    <w:rsid w:val="00BE071E"/>
    <w:rsid w:val="00BE127D"/>
    <w:rsid w:val="00BE1403"/>
    <w:rsid w:val="00BE2259"/>
    <w:rsid w:val="00BE23ED"/>
    <w:rsid w:val="00BE26D2"/>
    <w:rsid w:val="00BE2A88"/>
    <w:rsid w:val="00BE3278"/>
    <w:rsid w:val="00BE35FC"/>
    <w:rsid w:val="00BE36A2"/>
    <w:rsid w:val="00BE36DD"/>
    <w:rsid w:val="00BE3747"/>
    <w:rsid w:val="00BE3929"/>
    <w:rsid w:val="00BE39A0"/>
    <w:rsid w:val="00BE400D"/>
    <w:rsid w:val="00BE404B"/>
    <w:rsid w:val="00BE40F7"/>
    <w:rsid w:val="00BE4714"/>
    <w:rsid w:val="00BE4824"/>
    <w:rsid w:val="00BE500E"/>
    <w:rsid w:val="00BE6AC8"/>
    <w:rsid w:val="00BE730E"/>
    <w:rsid w:val="00BE736C"/>
    <w:rsid w:val="00BE7717"/>
    <w:rsid w:val="00BE7844"/>
    <w:rsid w:val="00BF01DB"/>
    <w:rsid w:val="00BF022B"/>
    <w:rsid w:val="00BF03DD"/>
    <w:rsid w:val="00BF07D3"/>
    <w:rsid w:val="00BF0AC9"/>
    <w:rsid w:val="00BF0E5A"/>
    <w:rsid w:val="00BF16EF"/>
    <w:rsid w:val="00BF1F98"/>
    <w:rsid w:val="00BF2450"/>
    <w:rsid w:val="00BF28D0"/>
    <w:rsid w:val="00BF29F0"/>
    <w:rsid w:val="00BF2B3F"/>
    <w:rsid w:val="00BF313C"/>
    <w:rsid w:val="00BF3299"/>
    <w:rsid w:val="00BF391C"/>
    <w:rsid w:val="00BF3DC3"/>
    <w:rsid w:val="00BF3FD0"/>
    <w:rsid w:val="00BF44EE"/>
    <w:rsid w:val="00BF6406"/>
    <w:rsid w:val="00BF6461"/>
    <w:rsid w:val="00BF68BE"/>
    <w:rsid w:val="00BF6CCB"/>
    <w:rsid w:val="00BF6E95"/>
    <w:rsid w:val="00BF6FAE"/>
    <w:rsid w:val="00BF73EB"/>
    <w:rsid w:val="00BF7AF9"/>
    <w:rsid w:val="00C002A4"/>
    <w:rsid w:val="00C00360"/>
    <w:rsid w:val="00C00577"/>
    <w:rsid w:val="00C00F3E"/>
    <w:rsid w:val="00C010A8"/>
    <w:rsid w:val="00C01339"/>
    <w:rsid w:val="00C01B03"/>
    <w:rsid w:val="00C0288E"/>
    <w:rsid w:val="00C03030"/>
    <w:rsid w:val="00C03290"/>
    <w:rsid w:val="00C0394C"/>
    <w:rsid w:val="00C03ABD"/>
    <w:rsid w:val="00C03CC1"/>
    <w:rsid w:val="00C040EA"/>
    <w:rsid w:val="00C04380"/>
    <w:rsid w:val="00C044F3"/>
    <w:rsid w:val="00C04D5E"/>
    <w:rsid w:val="00C04ED9"/>
    <w:rsid w:val="00C05424"/>
    <w:rsid w:val="00C055CB"/>
    <w:rsid w:val="00C05962"/>
    <w:rsid w:val="00C0607F"/>
    <w:rsid w:val="00C064DC"/>
    <w:rsid w:val="00C06D34"/>
    <w:rsid w:val="00C06FFF"/>
    <w:rsid w:val="00C079BB"/>
    <w:rsid w:val="00C07EB0"/>
    <w:rsid w:val="00C109F8"/>
    <w:rsid w:val="00C10E7B"/>
    <w:rsid w:val="00C10EB3"/>
    <w:rsid w:val="00C11169"/>
    <w:rsid w:val="00C120A5"/>
    <w:rsid w:val="00C124D9"/>
    <w:rsid w:val="00C133C7"/>
    <w:rsid w:val="00C13663"/>
    <w:rsid w:val="00C14978"/>
    <w:rsid w:val="00C149BD"/>
    <w:rsid w:val="00C15424"/>
    <w:rsid w:val="00C15437"/>
    <w:rsid w:val="00C15D49"/>
    <w:rsid w:val="00C160BD"/>
    <w:rsid w:val="00C16E1C"/>
    <w:rsid w:val="00C16E83"/>
    <w:rsid w:val="00C1771F"/>
    <w:rsid w:val="00C17932"/>
    <w:rsid w:val="00C207CC"/>
    <w:rsid w:val="00C20B1C"/>
    <w:rsid w:val="00C21216"/>
    <w:rsid w:val="00C2147E"/>
    <w:rsid w:val="00C218CF"/>
    <w:rsid w:val="00C218F7"/>
    <w:rsid w:val="00C21A51"/>
    <w:rsid w:val="00C21B35"/>
    <w:rsid w:val="00C21B76"/>
    <w:rsid w:val="00C21E49"/>
    <w:rsid w:val="00C22513"/>
    <w:rsid w:val="00C22AA2"/>
    <w:rsid w:val="00C23349"/>
    <w:rsid w:val="00C24023"/>
    <w:rsid w:val="00C240F1"/>
    <w:rsid w:val="00C241ED"/>
    <w:rsid w:val="00C24351"/>
    <w:rsid w:val="00C24563"/>
    <w:rsid w:val="00C25BDA"/>
    <w:rsid w:val="00C26093"/>
    <w:rsid w:val="00C26219"/>
    <w:rsid w:val="00C26E49"/>
    <w:rsid w:val="00C27193"/>
    <w:rsid w:val="00C27DBF"/>
    <w:rsid w:val="00C30CD3"/>
    <w:rsid w:val="00C30D33"/>
    <w:rsid w:val="00C30F39"/>
    <w:rsid w:val="00C31167"/>
    <w:rsid w:val="00C3160F"/>
    <w:rsid w:val="00C31924"/>
    <w:rsid w:val="00C31A04"/>
    <w:rsid w:val="00C321AF"/>
    <w:rsid w:val="00C33104"/>
    <w:rsid w:val="00C332D4"/>
    <w:rsid w:val="00C33756"/>
    <w:rsid w:val="00C3399F"/>
    <w:rsid w:val="00C33C0E"/>
    <w:rsid w:val="00C33FE4"/>
    <w:rsid w:val="00C3484F"/>
    <w:rsid w:val="00C348D4"/>
    <w:rsid w:val="00C34995"/>
    <w:rsid w:val="00C34C76"/>
    <w:rsid w:val="00C34CDE"/>
    <w:rsid w:val="00C359F0"/>
    <w:rsid w:val="00C35A96"/>
    <w:rsid w:val="00C3618E"/>
    <w:rsid w:val="00C36571"/>
    <w:rsid w:val="00C36989"/>
    <w:rsid w:val="00C377F3"/>
    <w:rsid w:val="00C3797A"/>
    <w:rsid w:val="00C37B7F"/>
    <w:rsid w:val="00C40FA5"/>
    <w:rsid w:val="00C41015"/>
    <w:rsid w:val="00C4114C"/>
    <w:rsid w:val="00C41C15"/>
    <w:rsid w:val="00C41FE3"/>
    <w:rsid w:val="00C42550"/>
    <w:rsid w:val="00C42EAF"/>
    <w:rsid w:val="00C436F5"/>
    <w:rsid w:val="00C43832"/>
    <w:rsid w:val="00C43D30"/>
    <w:rsid w:val="00C43EF6"/>
    <w:rsid w:val="00C43FA9"/>
    <w:rsid w:val="00C444AE"/>
    <w:rsid w:val="00C4461F"/>
    <w:rsid w:val="00C44711"/>
    <w:rsid w:val="00C4488C"/>
    <w:rsid w:val="00C44961"/>
    <w:rsid w:val="00C44AF5"/>
    <w:rsid w:val="00C457A2"/>
    <w:rsid w:val="00C45852"/>
    <w:rsid w:val="00C45901"/>
    <w:rsid w:val="00C46704"/>
    <w:rsid w:val="00C46C35"/>
    <w:rsid w:val="00C46DB4"/>
    <w:rsid w:val="00C47065"/>
    <w:rsid w:val="00C47B59"/>
    <w:rsid w:val="00C47BAE"/>
    <w:rsid w:val="00C500EA"/>
    <w:rsid w:val="00C50873"/>
    <w:rsid w:val="00C50961"/>
    <w:rsid w:val="00C50CB3"/>
    <w:rsid w:val="00C51011"/>
    <w:rsid w:val="00C518B4"/>
    <w:rsid w:val="00C51CF2"/>
    <w:rsid w:val="00C5251C"/>
    <w:rsid w:val="00C52910"/>
    <w:rsid w:val="00C52B84"/>
    <w:rsid w:val="00C535B3"/>
    <w:rsid w:val="00C53757"/>
    <w:rsid w:val="00C5392D"/>
    <w:rsid w:val="00C53ACC"/>
    <w:rsid w:val="00C54027"/>
    <w:rsid w:val="00C54294"/>
    <w:rsid w:val="00C544C3"/>
    <w:rsid w:val="00C545A9"/>
    <w:rsid w:val="00C54754"/>
    <w:rsid w:val="00C5477E"/>
    <w:rsid w:val="00C54805"/>
    <w:rsid w:val="00C548F4"/>
    <w:rsid w:val="00C559B4"/>
    <w:rsid w:val="00C55A70"/>
    <w:rsid w:val="00C560AC"/>
    <w:rsid w:val="00C5656B"/>
    <w:rsid w:val="00C565DC"/>
    <w:rsid w:val="00C567CC"/>
    <w:rsid w:val="00C56BFE"/>
    <w:rsid w:val="00C5781C"/>
    <w:rsid w:val="00C60343"/>
    <w:rsid w:val="00C60398"/>
    <w:rsid w:val="00C604B7"/>
    <w:rsid w:val="00C604C0"/>
    <w:rsid w:val="00C604E4"/>
    <w:rsid w:val="00C60944"/>
    <w:rsid w:val="00C60ACF"/>
    <w:rsid w:val="00C60F3D"/>
    <w:rsid w:val="00C6118B"/>
    <w:rsid w:val="00C61FDA"/>
    <w:rsid w:val="00C626A1"/>
    <w:rsid w:val="00C62805"/>
    <w:rsid w:val="00C631F5"/>
    <w:rsid w:val="00C63AE3"/>
    <w:rsid w:val="00C64066"/>
    <w:rsid w:val="00C6587E"/>
    <w:rsid w:val="00C659A0"/>
    <w:rsid w:val="00C661EC"/>
    <w:rsid w:val="00C66BEF"/>
    <w:rsid w:val="00C66C3F"/>
    <w:rsid w:val="00C67346"/>
    <w:rsid w:val="00C700E1"/>
    <w:rsid w:val="00C70283"/>
    <w:rsid w:val="00C709F1"/>
    <w:rsid w:val="00C70F59"/>
    <w:rsid w:val="00C712D1"/>
    <w:rsid w:val="00C71635"/>
    <w:rsid w:val="00C717A2"/>
    <w:rsid w:val="00C71890"/>
    <w:rsid w:val="00C71FC7"/>
    <w:rsid w:val="00C7240F"/>
    <w:rsid w:val="00C7286D"/>
    <w:rsid w:val="00C72BA0"/>
    <w:rsid w:val="00C737B1"/>
    <w:rsid w:val="00C73BC8"/>
    <w:rsid w:val="00C745CC"/>
    <w:rsid w:val="00C75CBD"/>
    <w:rsid w:val="00C7756C"/>
    <w:rsid w:val="00C77E5F"/>
    <w:rsid w:val="00C77FF5"/>
    <w:rsid w:val="00C806DF"/>
    <w:rsid w:val="00C80E78"/>
    <w:rsid w:val="00C80EAC"/>
    <w:rsid w:val="00C8131B"/>
    <w:rsid w:val="00C82271"/>
    <w:rsid w:val="00C827BC"/>
    <w:rsid w:val="00C82D9E"/>
    <w:rsid w:val="00C82DE3"/>
    <w:rsid w:val="00C834C2"/>
    <w:rsid w:val="00C8457F"/>
    <w:rsid w:val="00C84655"/>
    <w:rsid w:val="00C846AA"/>
    <w:rsid w:val="00C84C32"/>
    <w:rsid w:val="00C853D1"/>
    <w:rsid w:val="00C854D4"/>
    <w:rsid w:val="00C855C7"/>
    <w:rsid w:val="00C85802"/>
    <w:rsid w:val="00C85AEC"/>
    <w:rsid w:val="00C85DBD"/>
    <w:rsid w:val="00C862F4"/>
    <w:rsid w:val="00C86324"/>
    <w:rsid w:val="00C867B5"/>
    <w:rsid w:val="00C869BF"/>
    <w:rsid w:val="00C87342"/>
    <w:rsid w:val="00C87986"/>
    <w:rsid w:val="00C87F48"/>
    <w:rsid w:val="00C90556"/>
    <w:rsid w:val="00C905B2"/>
    <w:rsid w:val="00C910E3"/>
    <w:rsid w:val="00C91182"/>
    <w:rsid w:val="00C91185"/>
    <w:rsid w:val="00C91B76"/>
    <w:rsid w:val="00C9244D"/>
    <w:rsid w:val="00C93113"/>
    <w:rsid w:val="00C932D2"/>
    <w:rsid w:val="00C93BC4"/>
    <w:rsid w:val="00C93C4B"/>
    <w:rsid w:val="00C93F07"/>
    <w:rsid w:val="00C94BDD"/>
    <w:rsid w:val="00C954A3"/>
    <w:rsid w:val="00C954BB"/>
    <w:rsid w:val="00C95841"/>
    <w:rsid w:val="00C95931"/>
    <w:rsid w:val="00C9597F"/>
    <w:rsid w:val="00C95AC9"/>
    <w:rsid w:val="00C95F86"/>
    <w:rsid w:val="00C96452"/>
    <w:rsid w:val="00C967CF"/>
    <w:rsid w:val="00C96A09"/>
    <w:rsid w:val="00C9711F"/>
    <w:rsid w:val="00C971D1"/>
    <w:rsid w:val="00C9735D"/>
    <w:rsid w:val="00C97B33"/>
    <w:rsid w:val="00C97F70"/>
    <w:rsid w:val="00CA0032"/>
    <w:rsid w:val="00CA0D78"/>
    <w:rsid w:val="00CA1FAC"/>
    <w:rsid w:val="00CA1FE2"/>
    <w:rsid w:val="00CA20F2"/>
    <w:rsid w:val="00CA23FB"/>
    <w:rsid w:val="00CA244F"/>
    <w:rsid w:val="00CA2B4E"/>
    <w:rsid w:val="00CA2D21"/>
    <w:rsid w:val="00CA395F"/>
    <w:rsid w:val="00CA3DE8"/>
    <w:rsid w:val="00CA4855"/>
    <w:rsid w:val="00CA489E"/>
    <w:rsid w:val="00CA4E10"/>
    <w:rsid w:val="00CA4F70"/>
    <w:rsid w:val="00CA52E2"/>
    <w:rsid w:val="00CA5D90"/>
    <w:rsid w:val="00CA5F85"/>
    <w:rsid w:val="00CA6397"/>
    <w:rsid w:val="00CA654C"/>
    <w:rsid w:val="00CA6CAD"/>
    <w:rsid w:val="00CA735C"/>
    <w:rsid w:val="00CA7B42"/>
    <w:rsid w:val="00CA7FF4"/>
    <w:rsid w:val="00CB0344"/>
    <w:rsid w:val="00CB0625"/>
    <w:rsid w:val="00CB0D46"/>
    <w:rsid w:val="00CB1681"/>
    <w:rsid w:val="00CB20D7"/>
    <w:rsid w:val="00CB2325"/>
    <w:rsid w:val="00CB24FE"/>
    <w:rsid w:val="00CB2B73"/>
    <w:rsid w:val="00CB2BF2"/>
    <w:rsid w:val="00CB317E"/>
    <w:rsid w:val="00CB33CC"/>
    <w:rsid w:val="00CB3587"/>
    <w:rsid w:val="00CB380A"/>
    <w:rsid w:val="00CB38E0"/>
    <w:rsid w:val="00CB3E75"/>
    <w:rsid w:val="00CB5002"/>
    <w:rsid w:val="00CB5901"/>
    <w:rsid w:val="00CB5AED"/>
    <w:rsid w:val="00CB5C64"/>
    <w:rsid w:val="00CB61F3"/>
    <w:rsid w:val="00CB6846"/>
    <w:rsid w:val="00CB6C5D"/>
    <w:rsid w:val="00CB6F9E"/>
    <w:rsid w:val="00CB7489"/>
    <w:rsid w:val="00CB7C01"/>
    <w:rsid w:val="00CC08B8"/>
    <w:rsid w:val="00CC14F7"/>
    <w:rsid w:val="00CC1B72"/>
    <w:rsid w:val="00CC1CA1"/>
    <w:rsid w:val="00CC2014"/>
    <w:rsid w:val="00CC2333"/>
    <w:rsid w:val="00CC2AA0"/>
    <w:rsid w:val="00CC3449"/>
    <w:rsid w:val="00CC47C4"/>
    <w:rsid w:val="00CC50A2"/>
    <w:rsid w:val="00CC5131"/>
    <w:rsid w:val="00CC5350"/>
    <w:rsid w:val="00CC546F"/>
    <w:rsid w:val="00CC6281"/>
    <w:rsid w:val="00CC6566"/>
    <w:rsid w:val="00CC683E"/>
    <w:rsid w:val="00CC6A6E"/>
    <w:rsid w:val="00CC78E4"/>
    <w:rsid w:val="00CC7E37"/>
    <w:rsid w:val="00CD0232"/>
    <w:rsid w:val="00CD1424"/>
    <w:rsid w:val="00CD1E66"/>
    <w:rsid w:val="00CD1F24"/>
    <w:rsid w:val="00CD1FCC"/>
    <w:rsid w:val="00CD2564"/>
    <w:rsid w:val="00CD25E7"/>
    <w:rsid w:val="00CD2845"/>
    <w:rsid w:val="00CD2C8E"/>
    <w:rsid w:val="00CD2D55"/>
    <w:rsid w:val="00CD2D92"/>
    <w:rsid w:val="00CD2F05"/>
    <w:rsid w:val="00CD3161"/>
    <w:rsid w:val="00CD3758"/>
    <w:rsid w:val="00CD37C2"/>
    <w:rsid w:val="00CD4421"/>
    <w:rsid w:val="00CD46F8"/>
    <w:rsid w:val="00CD48E1"/>
    <w:rsid w:val="00CD50A4"/>
    <w:rsid w:val="00CD5479"/>
    <w:rsid w:val="00CD58FD"/>
    <w:rsid w:val="00CD6015"/>
    <w:rsid w:val="00CD6456"/>
    <w:rsid w:val="00CD6BB4"/>
    <w:rsid w:val="00CD7E07"/>
    <w:rsid w:val="00CE076F"/>
    <w:rsid w:val="00CE12DB"/>
    <w:rsid w:val="00CE13C6"/>
    <w:rsid w:val="00CE1494"/>
    <w:rsid w:val="00CE17DA"/>
    <w:rsid w:val="00CE1851"/>
    <w:rsid w:val="00CE19B4"/>
    <w:rsid w:val="00CE1D67"/>
    <w:rsid w:val="00CE22F3"/>
    <w:rsid w:val="00CE4179"/>
    <w:rsid w:val="00CE4314"/>
    <w:rsid w:val="00CE4647"/>
    <w:rsid w:val="00CE4A01"/>
    <w:rsid w:val="00CE4A77"/>
    <w:rsid w:val="00CE5032"/>
    <w:rsid w:val="00CE557E"/>
    <w:rsid w:val="00CE6651"/>
    <w:rsid w:val="00CE6A35"/>
    <w:rsid w:val="00CE6F4E"/>
    <w:rsid w:val="00CE70CD"/>
    <w:rsid w:val="00CE743C"/>
    <w:rsid w:val="00CE758F"/>
    <w:rsid w:val="00CE7A9A"/>
    <w:rsid w:val="00CF0335"/>
    <w:rsid w:val="00CF04B3"/>
    <w:rsid w:val="00CF0B1D"/>
    <w:rsid w:val="00CF0C9D"/>
    <w:rsid w:val="00CF0E51"/>
    <w:rsid w:val="00CF15DB"/>
    <w:rsid w:val="00CF1664"/>
    <w:rsid w:val="00CF1675"/>
    <w:rsid w:val="00CF1923"/>
    <w:rsid w:val="00CF1E54"/>
    <w:rsid w:val="00CF2279"/>
    <w:rsid w:val="00CF2484"/>
    <w:rsid w:val="00CF259B"/>
    <w:rsid w:val="00CF2F4F"/>
    <w:rsid w:val="00CF39D0"/>
    <w:rsid w:val="00CF3DFB"/>
    <w:rsid w:val="00CF4037"/>
    <w:rsid w:val="00CF4067"/>
    <w:rsid w:val="00CF44A6"/>
    <w:rsid w:val="00CF4827"/>
    <w:rsid w:val="00CF5AA7"/>
    <w:rsid w:val="00CF5F6A"/>
    <w:rsid w:val="00CF5FB5"/>
    <w:rsid w:val="00CF6820"/>
    <w:rsid w:val="00CF6B75"/>
    <w:rsid w:val="00CF77E4"/>
    <w:rsid w:val="00CF79FB"/>
    <w:rsid w:val="00CF7AA7"/>
    <w:rsid w:val="00CF7BF4"/>
    <w:rsid w:val="00CF7CB5"/>
    <w:rsid w:val="00D007B0"/>
    <w:rsid w:val="00D01B5C"/>
    <w:rsid w:val="00D02074"/>
    <w:rsid w:val="00D027C5"/>
    <w:rsid w:val="00D028FF"/>
    <w:rsid w:val="00D03307"/>
    <w:rsid w:val="00D03EE3"/>
    <w:rsid w:val="00D045DE"/>
    <w:rsid w:val="00D0548A"/>
    <w:rsid w:val="00D056ED"/>
    <w:rsid w:val="00D05930"/>
    <w:rsid w:val="00D05C42"/>
    <w:rsid w:val="00D05C72"/>
    <w:rsid w:val="00D06102"/>
    <w:rsid w:val="00D0718E"/>
    <w:rsid w:val="00D07472"/>
    <w:rsid w:val="00D10347"/>
    <w:rsid w:val="00D10929"/>
    <w:rsid w:val="00D11B21"/>
    <w:rsid w:val="00D126CD"/>
    <w:rsid w:val="00D12815"/>
    <w:rsid w:val="00D139D0"/>
    <w:rsid w:val="00D13E42"/>
    <w:rsid w:val="00D14206"/>
    <w:rsid w:val="00D1446A"/>
    <w:rsid w:val="00D147F6"/>
    <w:rsid w:val="00D14D52"/>
    <w:rsid w:val="00D14D75"/>
    <w:rsid w:val="00D14E30"/>
    <w:rsid w:val="00D14EFC"/>
    <w:rsid w:val="00D14F9F"/>
    <w:rsid w:val="00D15402"/>
    <w:rsid w:val="00D15892"/>
    <w:rsid w:val="00D159EE"/>
    <w:rsid w:val="00D15BBB"/>
    <w:rsid w:val="00D15FD3"/>
    <w:rsid w:val="00D15FE3"/>
    <w:rsid w:val="00D16013"/>
    <w:rsid w:val="00D162A7"/>
    <w:rsid w:val="00D162B2"/>
    <w:rsid w:val="00D16C31"/>
    <w:rsid w:val="00D17273"/>
    <w:rsid w:val="00D17642"/>
    <w:rsid w:val="00D17A8F"/>
    <w:rsid w:val="00D17BA2"/>
    <w:rsid w:val="00D17DBB"/>
    <w:rsid w:val="00D17E1C"/>
    <w:rsid w:val="00D20252"/>
    <w:rsid w:val="00D209D0"/>
    <w:rsid w:val="00D20EFF"/>
    <w:rsid w:val="00D21CF0"/>
    <w:rsid w:val="00D222C6"/>
    <w:rsid w:val="00D23578"/>
    <w:rsid w:val="00D242DE"/>
    <w:rsid w:val="00D242E0"/>
    <w:rsid w:val="00D246F2"/>
    <w:rsid w:val="00D24E8B"/>
    <w:rsid w:val="00D2509F"/>
    <w:rsid w:val="00D25150"/>
    <w:rsid w:val="00D254CB"/>
    <w:rsid w:val="00D2578B"/>
    <w:rsid w:val="00D2590C"/>
    <w:rsid w:val="00D25BE6"/>
    <w:rsid w:val="00D25FDE"/>
    <w:rsid w:val="00D263D1"/>
    <w:rsid w:val="00D2678A"/>
    <w:rsid w:val="00D268A0"/>
    <w:rsid w:val="00D27131"/>
    <w:rsid w:val="00D273E7"/>
    <w:rsid w:val="00D277DF"/>
    <w:rsid w:val="00D277F0"/>
    <w:rsid w:val="00D2785A"/>
    <w:rsid w:val="00D278E2"/>
    <w:rsid w:val="00D3135E"/>
    <w:rsid w:val="00D31542"/>
    <w:rsid w:val="00D32086"/>
    <w:rsid w:val="00D324B5"/>
    <w:rsid w:val="00D32A8B"/>
    <w:rsid w:val="00D32E31"/>
    <w:rsid w:val="00D337FF"/>
    <w:rsid w:val="00D33EE7"/>
    <w:rsid w:val="00D34150"/>
    <w:rsid w:val="00D343FA"/>
    <w:rsid w:val="00D34E68"/>
    <w:rsid w:val="00D34EF2"/>
    <w:rsid w:val="00D3537C"/>
    <w:rsid w:val="00D355BF"/>
    <w:rsid w:val="00D35848"/>
    <w:rsid w:val="00D35C37"/>
    <w:rsid w:val="00D35EB8"/>
    <w:rsid w:val="00D36B3C"/>
    <w:rsid w:val="00D372CB"/>
    <w:rsid w:val="00D3736C"/>
    <w:rsid w:val="00D3776E"/>
    <w:rsid w:val="00D3780C"/>
    <w:rsid w:val="00D40B04"/>
    <w:rsid w:val="00D40CE1"/>
    <w:rsid w:val="00D4158B"/>
    <w:rsid w:val="00D418FF"/>
    <w:rsid w:val="00D41BD7"/>
    <w:rsid w:val="00D424CD"/>
    <w:rsid w:val="00D4461F"/>
    <w:rsid w:val="00D44C30"/>
    <w:rsid w:val="00D46077"/>
    <w:rsid w:val="00D4628B"/>
    <w:rsid w:val="00D4691C"/>
    <w:rsid w:val="00D47005"/>
    <w:rsid w:val="00D473EB"/>
    <w:rsid w:val="00D477D2"/>
    <w:rsid w:val="00D47EB1"/>
    <w:rsid w:val="00D504D9"/>
    <w:rsid w:val="00D506C0"/>
    <w:rsid w:val="00D50934"/>
    <w:rsid w:val="00D515D8"/>
    <w:rsid w:val="00D529C2"/>
    <w:rsid w:val="00D52C56"/>
    <w:rsid w:val="00D52D42"/>
    <w:rsid w:val="00D54954"/>
    <w:rsid w:val="00D54D90"/>
    <w:rsid w:val="00D54E17"/>
    <w:rsid w:val="00D5500B"/>
    <w:rsid w:val="00D5506E"/>
    <w:rsid w:val="00D55396"/>
    <w:rsid w:val="00D55415"/>
    <w:rsid w:val="00D554E4"/>
    <w:rsid w:val="00D55E49"/>
    <w:rsid w:val="00D564EF"/>
    <w:rsid w:val="00D566AB"/>
    <w:rsid w:val="00D57468"/>
    <w:rsid w:val="00D57606"/>
    <w:rsid w:val="00D57D88"/>
    <w:rsid w:val="00D60184"/>
    <w:rsid w:val="00D60422"/>
    <w:rsid w:val="00D61148"/>
    <w:rsid w:val="00D61557"/>
    <w:rsid w:val="00D618FE"/>
    <w:rsid w:val="00D61C6E"/>
    <w:rsid w:val="00D622F3"/>
    <w:rsid w:val="00D62384"/>
    <w:rsid w:val="00D625CF"/>
    <w:rsid w:val="00D63833"/>
    <w:rsid w:val="00D63BA2"/>
    <w:rsid w:val="00D64CC3"/>
    <w:rsid w:val="00D6580C"/>
    <w:rsid w:val="00D65B68"/>
    <w:rsid w:val="00D65C76"/>
    <w:rsid w:val="00D65E47"/>
    <w:rsid w:val="00D66789"/>
    <w:rsid w:val="00D6710C"/>
    <w:rsid w:val="00D6719B"/>
    <w:rsid w:val="00D67580"/>
    <w:rsid w:val="00D70B7F"/>
    <w:rsid w:val="00D70EA6"/>
    <w:rsid w:val="00D7138B"/>
    <w:rsid w:val="00D71430"/>
    <w:rsid w:val="00D717C8"/>
    <w:rsid w:val="00D71EE7"/>
    <w:rsid w:val="00D7234A"/>
    <w:rsid w:val="00D7257C"/>
    <w:rsid w:val="00D72724"/>
    <w:rsid w:val="00D72946"/>
    <w:rsid w:val="00D72CBD"/>
    <w:rsid w:val="00D7305E"/>
    <w:rsid w:val="00D734C7"/>
    <w:rsid w:val="00D73C69"/>
    <w:rsid w:val="00D74774"/>
    <w:rsid w:val="00D7517E"/>
    <w:rsid w:val="00D752E1"/>
    <w:rsid w:val="00D7542B"/>
    <w:rsid w:val="00D75BB0"/>
    <w:rsid w:val="00D767A9"/>
    <w:rsid w:val="00D76A67"/>
    <w:rsid w:val="00D77F18"/>
    <w:rsid w:val="00D80417"/>
    <w:rsid w:val="00D80AFB"/>
    <w:rsid w:val="00D80E1F"/>
    <w:rsid w:val="00D810D2"/>
    <w:rsid w:val="00D81149"/>
    <w:rsid w:val="00D817F2"/>
    <w:rsid w:val="00D81987"/>
    <w:rsid w:val="00D8252D"/>
    <w:rsid w:val="00D82616"/>
    <w:rsid w:val="00D829B9"/>
    <w:rsid w:val="00D82BBD"/>
    <w:rsid w:val="00D82FDE"/>
    <w:rsid w:val="00D8307B"/>
    <w:rsid w:val="00D8312B"/>
    <w:rsid w:val="00D8351F"/>
    <w:rsid w:val="00D83938"/>
    <w:rsid w:val="00D84195"/>
    <w:rsid w:val="00D843CA"/>
    <w:rsid w:val="00D84C26"/>
    <w:rsid w:val="00D854A4"/>
    <w:rsid w:val="00D85532"/>
    <w:rsid w:val="00D86112"/>
    <w:rsid w:val="00D87525"/>
    <w:rsid w:val="00D900A1"/>
    <w:rsid w:val="00D90294"/>
    <w:rsid w:val="00D902DB"/>
    <w:rsid w:val="00D914DD"/>
    <w:rsid w:val="00D919B3"/>
    <w:rsid w:val="00D91A12"/>
    <w:rsid w:val="00D91AC7"/>
    <w:rsid w:val="00D91B4B"/>
    <w:rsid w:val="00D91B69"/>
    <w:rsid w:val="00D91FCA"/>
    <w:rsid w:val="00D920D6"/>
    <w:rsid w:val="00D92139"/>
    <w:rsid w:val="00D925B1"/>
    <w:rsid w:val="00D926FA"/>
    <w:rsid w:val="00D92CAB"/>
    <w:rsid w:val="00D9312C"/>
    <w:rsid w:val="00D93699"/>
    <w:rsid w:val="00D9382B"/>
    <w:rsid w:val="00D94194"/>
    <w:rsid w:val="00D9495E"/>
    <w:rsid w:val="00D94CA1"/>
    <w:rsid w:val="00D94CBE"/>
    <w:rsid w:val="00D9541A"/>
    <w:rsid w:val="00D9562C"/>
    <w:rsid w:val="00D958B4"/>
    <w:rsid w:val="00D96C53"/>
    <w:rsid w:val="00D971B8"/>
    <w:rsid w:val="00DA09A8"/>
    <w:rsid w:val="00DA0FDF"/>
    <w:rsid w:val="00DA1189"/>
    <w:rsid w:val="00DA1D32"/>
    <w:rsid w:val="00DA2099"/>
    <w:rsid w:val="00DA2308"/>
    <w:rsid w:val="00DA27F8"/>
    <w:rsid w:val="00DA2BA5"/>
    <w:rsid w:val="00DA2F73"/>
    <w:rsid w:val="00DA3441"/>
    <w:rsid w:val="00DA34A1"/>
    <w:rsid w:val="00DA3543"/>
    <w:rsid w:val="00DA3623"/>
    <w:rsid w:val="00DA3AD1"/>
    <w:rsid w:val="00DA4469"/>
    <w:rsid w:val="00DA4869"/>
    <w:rsid w:val="00DA48B5"/>
    <w:rsid w:val="00DA4BFA"/>
    <w:rsid w:val="00DA50D4"/>
    <w:rsid w:val="00DA524C"/>
    <w:rsid w:val="00DA5477"/>
    <w:rsid w:val="00DA629F"/>
    <w:rsid w:val="00DA67A4"/>
    <w:rsid w:val="00DA7093"/>
    <w:rsid w:val="00DA71AC"/>
    <w:rsid w:val="00DA725C"/>
    <w:rsid w:val="00DA77C1"/>
    <w:rsid w:val="00DA7A55"/>
    <w:rsid w:val="00DB028F"/>
    <w:rsid w:val="00DB043F"/>
    <w:rsid w:val="00DB057B"/>
    <w:rsid w:val="00DB0677"/>
    <w:rsid w:val="00DB0840"/>
    <w:rsid w:val="00DB0A82"/>
    <w:rsid w:val="00DB0C00"/>
    <w:rsid w:val="00DB13FC"/>
    <w:rsid w:val="00DB1791"/>
    <w:rsid w:val="00DB1ABD"/>
    <w:rsid w:val="00DB1B65"/>
    <w:rsid w:val="00DB21E7"/>
    <w:rsid w:val="00DB2306"/>
    <w:rsid w:val="00DB2A31"/>
    <w:rsid w:val="00DB3F14"/>
    <w:rsid w:val="00DB426F"/>
    <w:rsid w:val="00DB4507"/>
    <w:rsid w:val="00DB4CDA"/>
    <w:rsid w:val="00DB4DD4"/>
    <w:rsid w:val="00DB52AF"/>
    <w:rsid w:val="00DB61E8"/>
    <w:rsid w:val="00DB659E"/>
    <w:rsid w:val="00DB6791"/>
    <w:rsid w:val="00DB6AF3"/>
    <w:rsid w:val="00DB7441"/>
    <w:rsid w:val="00DB7A24"/>
    <w:rsid w:val="00DB7BAE"/>
    <w:rsid w:val="00DB7CC8"/>
    <w:rsid w:val="00DC02CC"/>
    <w:rsid w:val="00DC0E87"/>
    <w:rsid w:val="00DC22D8"/>
    <w:rsid w:val="00DC261E"/>
    <w:rsid w:val="00DC2F7E"/>
    <w:rsid w:val="00DC307B"/>
    <w:rsid w:val="00DC3243"/>
    <w:rsid w:val="00DC343B"/>
    <w:rsid w:val="00DC38BF"/>
    <w:rsid w:val="00DC38F1"/>
    <w:rsid w:val="00DC3FBC"/>
    <w:rsid w:val="00DC462F"/>
    <w:rsid w:val="00DC4854"/>
    <w:rsid w:val="00DC485D"/>
    <w:rsid w:val="00DC499A"/>
    <w:rsid w:val="00DC4BEA"/>
    <w:rsid w:val="00DC613F"/>
    <w:rsid w:val="00DC6569"/>
    <w:rsid w:val="00DC6656"/>
    <w:rsid w:val="00DC680B"/>
    <w:rsid w:val="00DC6B12"/>
    <w:rsid w:val="00DC73E4"/>
    <w:rsid w:val="00DC73FE"/>
    <w:rsid w:val="00DC7A9A"/>
    <w:rsid w:val="00DC7B1A"/>
    <w:rsid w:val="00DD04DF"/>
    <w:rsid w:val="00DD060C"/>
    <w:rsid w:val="00DD064E"/>
    <w:rsid w:val="00DD089F"/>
    <w:rsid w:val="00DD098C"/>
    <w:rsid w:val="00DD0A49"/>
    <w:rsid w:val="00DD152B"/>
    <w:rsid w:val="00DD1B0C"/>
    <w:rsid w:val="00DD1C3F"/>
    <w:rsid w:val="00DD2428"/>
    <w:rsid w:val="00DD2437"/>
    <w:rsid w:val="00DD2636"/>
    <w:rsid w:val="00DD2C3C"/>
    <w:rsid w:val="00DD308A"/>
    <w:rsid w:val="00DD3A0D"/>
    <w:rsid w:val="00DD5133"/>
    <w:rsid w:val="00DD6A21"/>
    <w:rsid w:val="00DD6AEE"/>
    <w:rsid w:val="00DD7012"/>
    <w:rsid w:val="00DD7DB5"/>
    <w:rsid w:val="00DE0544"/>
    <w:rsid w:val="00DE15CC"/>
    <w:rsid w:val="00DE18A7"/>
    <w:rsid w:val="00DE1F0D"/>
    <w:rsid w:val="00DE2039"/>
    <w:rsid w:val="00DE2180"/>
    <w:rsid w:val="00DE22E4"/>
    <w:rsid w:val="00DE2746"/>
    <w:rsid w:val="00DE2EFB"/>
    <w:rsid w:val="00DE5ED9"/>
    <w:rsid w:val="00DE60CA"/>
    <w:rsid w:val="00DE6614"/>
    <w:rsid w:val="00DE6730"/>
    <w:rsid w:val="00DE6C9C"/>
    <w:rsid w:val="00DE7736"/>
    <w:rsid w:val="00DE7A2F"/>
    <w:rsid w:val="00DF049C"/>
    <w:rsid w:val="00DF0859"/>
    <w:rsid w:val="00DF175F"/>
    <w:rsid w:val="00DF2247"/>
    <w:rsid w:val="00DF2BA4"/>
    <w:rsid w:val="00DF2C67"/>
    <w:rsid w:val="00DF30DE"/>
    <w:rsid w:val="00DF3583"/>
    <w:rsid w:val="00DF3BE2"/>
    <w:rsid w:val="00DF3BEB"/>
    <w:rsid w:val="00DF48A6"/>
    <w:rsid w:val="00DF4FF0"/>
    <w:rsid w:val="00DF5761"/>
    <w:rsid w:val="00DF5E6F"/>
    <w:rsid w:val="00DF6812"/>
    <w:rsid w:val="00DF6AB3"/>
    <w:rsid w:val="00DF729D"/>
    <w:rsid w:val="00E00621"/>
    <w:rsid w:val="00E01706"/>
    <w:rsid w:val="00E017D3"/>
    <w:rsid w:val="00E02517"/>
    <w:rsid w:val="00E028F6"/>
    <w:rsid w:val="00E02D16"/>
    <w:rsid w:val="00E0305C"/>
    <w:rsid w:val="00E03D66"/>
    <w:rsid w:val="00E03FFF"/>
    <w:rsid w:val="00E0487C"/>
    <w:rsid w:val="00E051E2"/>
    <w:rsid w:val="00E06732"/>
    <w:rsid w:val="00E06776"/>
    <w:rsid w:val="00E0680A"/>
    <w:rsid w:val="00E0706E"/>
    <w:rsid w:val="00E11055"/>
    <w:rsid w:val="00E1199B"/>
    <w:rsid w:val="00E11A6A"/>
    <w:rsid w:val="00E12807"/>
    <w:rsid w:val="00E130BE"/>
    <w:rsid w:val="00E1336E"/>
    <w:rsid w:val="00E13E83"/>
    <w:rsid w:val="00E141A4"/>
    <w:rsid w:val="00E143AB"/>
    <w:rsid w:val="00E1474C"/>
    <w:rsid w:val="00E147D6"/>
    <w:rsid w:val="00E14833"/>
    <w:rsid w:val="00E1499D"/>
    <w:rsid w:val="00E14E91"/>
    <w:rsid w:val="00E1513C"/>
    <w:rsid w:val="00E15BEF"/>
    <w:rsid w:val="00E1675F"/>
    <w:rsid w:val="00E16778"/>
    <w:rsid w:val="00E17A75"/>
    <w:rsid w:val="00E200AF"/>
    <w:rsid w:val="00E22080"/>
    <w:rsid w:val="00E2214A"/>
    <w:rsid w:val="00E22231"/>
    <w:rsid w:val="00E22396"/>
    <w:rsid w:val="00E2377E"/>
    <w:rsid w:val="00E237BE"/>
    <w:rsid w:val="00E23F50"/>
    <w:rsid w:val="00E243B5"/>
    <w:rsid w:val="00E248D7"/>
    <w:rsid w:val="00E24938"/>
    <w:rsid w:val="00E24B22"/>
    <w:rsid w:val="00E24FA3"/>
    <w:rsid w:val="00E254F3"/>
    <w:rsid w:val="00E25E6D"/>
    <w:rsid w:val="00E2610E"/>
    <w:rsid w:val="00E26154"/>
    <w:rsid w:val="00E26188"/>
    <w:rsid w:val="00E26482"/>
    <w:rsid w:val="00E266BB"/>
    <w:rsid w:val="00E266C1"/>
    <w:rsid w:val="00E26832"/>
    <w:rsid w:val="00E26B06"/>
    <w:rsid w:val="00E26B28"/>
    <w:rsid w:val="00E26B30"/>
    <w:rsid w:val="00E26C92"/>
    <w:rsid w:val="00E26E99"/>
    <w:rsid w:val="00E27673"/>
    <w:rsid w:val="00E2795A"/>
    <w:rsid w:val="00E27D14"/>
    <w:rsid w:val="00E27E61"/>
    <w:rsid w:val="00E302EE"/>
    <w:rsid w:val="00E30467"/>
    <w:rsid w:val="00E30A98"/>
    <w:rsid w:val="00E30AC7"/>
    <w:rsid w:val="00E31465"/>
    <w:rsid w:val="00E31916"/>
    <w:rsid w:val="00E31CFB"/>
    <w:rsid w:val="00E32381"/>
    <w:rsid w:val="00E328CD"/>
    <w:rsid w:val="00E33233"/>
    <w:rsid w:val="00E3364D"/>
    <w:rsid w:val="00E338F2"/>
    <w:rsid w:val="00E344C7"/>
    <w:rsid w:val="00E3489E"/>
    <w:rsid w:val="00E34A58"/>
    <w:rsid w:val="00E34CD7"/>
    <w:rsid w:val="00E34EF1"/>
    <w:rsid w:val="00E34FF2"/>
    <w:rsid w:val="00E355F1"/>
    <w:rsid w:val="00E35D6B"/>
    <w:rsid w:val="00E362F0"/>
    <w:rsid w:val="00E364F3"/>
    <w:rsid w:val="00E368CF"/>
    <w:rsid w:val="00E36920"/>
    <w:rsid w:val="00E36B80"/>
    <w:rsid w:val="00E36B95"/>
    <w:rsid w:val="00E36D10"/>
    <w:rsid w:val="00E371D5"/>
    <w:rsid w:val="00E4003F"/>
    <w:rsid w:val="00E40FD0"/>
    <w:rsid w:val="00E4140F"/>
    <w:rsid w:val="00E416D9"/>
    <w:rsid w:val="00E41BBE"/>
    <w:rsid w:val="00E41BDD"/>
    <w:rsid w:val="00E41DD5"/>
    <w:rsid w:val="00E41E53"/>
    <w:rsid w:val="00E41F04"/>
    <w:rsid w:val="00E422CF"/>
    <w:rsid w:val="00E42769"/>
    <w:rsid w:val="00E4300D"/>
    <w:rsid w:val="00E436BB"/>
    <w:rsid w:val="00E43A37"/>
    <w:rsid w:val="00E441E4"/>
    <w:rsid w:val="00E44A37"/>
    <w:rsid w:val="00E450B3"/>
    <w:rsid w:val="00E458F6"/>
    <w:rsid w:val="00E45954"/>
    <w:rsid w:val="00E46689"/>
    <w:rsid w:val="00E46704"/>
    <w:rsid w:val="00E46F98"/>
    <w:rsid w:val="00E50788"/>
    <w:rsid w:val="00E509DB"/>
    <w:rsid w:val="00E50A7C"/>
    <w:rsid w:val="00E50C7E"/>
    <w:rsid w:val="00E51D3A"/>
    <w:rsid w:val="00E51F85"/>
    <w:rsid w:val="00E520B3"/>
    <w:rsid w:val="00E5254B"/>
    <w:rsid w:val="00E527A2"/>
    <w:rsid w:val="00E52AB1"/>
    <w:rsid w:val="00E52D25"/>
    <w:rsid w:val="00E53546"/>
    <w:rsid w:val="00E535F2"/>
    <w:rsid w:val="00E537A8"/>
    <w:rsid w:val="00E53B7C"/>
    <w:rsid w:val="00E5430C"/>
    <w:rsid w:val="00E54FE0"/>
    <w:rsid w:val="00E5536F"/>
    <w:rsid w:val="00E55392"/>
    <w:rsid w:val="00E553A2"/>
    <w:rsid w:val="00E55F24"/>
    <w:rsid w:val="00E5684C"/>
    <w:rsid w:val="00E57740"/>
    <w:rsid w:val="00E57B8F"/>
    <w:rsid w:val="00E57DF4"/>
    <w:rsid w:val="00E57DFC"/>
    <w:rsid w:val="00E603E8"/>
    <w:rsid w:val="00E609A9"/>
    <w:rsid w:val="00E61859"/>
    <w:rsid w:val="00E61E42"/>
    <w:rsid w:val="00E620D4"/>
    <w:rsid w:val="00E62A88"/>
    <w:rsid w:val="00E633A7"/>
    <w:rsid w:val="00E644C8"/>
    <w:rsid w:val="00E6503B"/>
    <w:rsid w:val="00E6546B"/>
    <w:rsid w:val="00E6590B"/>
    <w:rsid w:val="00E65C8B"/>
    <w:rsid w:val="00E661E9"/>
    <w:rsid w:val="00E66563"/>
    <w:rsid w:val="00E66FC4"/>
    <w:rsid w:val="00E67D7B"/>
    <w:rsid w:val="00E70158"/>
    <w:rsid w:val="00E70277"/>
    <w:rsid w:val="00E707CA"/>
    <w:rsid w:val="00E70CE5"/>
    <w:rsid w:val="00E71105"/>
    <w:rsid w:val="00E71206"/>
    <w:rsid w:val="00E71B46"/>
    <w:rsid w:val="00E7219E"/>
    <w:rsid w:val="00E73264"/>
    <w:rsid w:val="00E73857"/>
    <w:rsid w:val="00E73B7B"/>
    <w:rsid w:val="00E73CD3"/>
    <w:rsid w:val="00E73ED8"/>
    <w:rsid w:val="00E745BA"/>
    <w:rsid w:val="00E746F7"/>
    <w:rsid w:val="00E74937"/>
    <w:rsid w:val="00E74A32"/>
    <w:rsid w:val="00E74F4E"/>
    <w:rsid w:val="00E754BB"/>
    <w:rsid w:val="00E75586"/>
    <w:rsid w:val="00E75F5C"/>
    <w:rsid w:val="00E75FDC"/>
    <w:rsid w:val="00E76FF1"/>
    <w:rsid w:val="00E77530"/>
    <w:rsid w:val="00E77881"/>
    <w:rsid w:val="00E77A08"/>
    <w:rsid w:val="00E80955"/>
    <w:rsid w:val="00E80BC6"/>
    <w:rsid w:val="00E80DA0"/>
    <w:rsid w:val="00E810CD"/>
    <w:rsid w:val="00E81124"/>
    <w:rsid w:val="00E8116E"/>
    <w:rsid w:val="00E81CC9"/>
    <w:rsid w:val="00E81DE9"/>
    <w:rsid w:val="00E82230"/>
    <w:rsid w:val="00E82794"/>
    <w:rsid w:val="00E828E1"/>
    <w:rsid w:val="00E82966"/>
    <w:rsid w:val="00E82B4A"/>
    <w:rsid w:val="00E835ED"/>
    <w:rsid w:val="00E83655"/>
    <w:rsid w:val="00E839BE"/>
    <w:rsid w:val="00E839CF"/>
    <w:rsid w:val="00E83EC5"/>
    <w:rsid w:val="00E83F8F"/>
    <w:rsid w:val="00E84DAA"/>
    <w:rsid w:val="00E84E4D"/>
    <w:rsid w:val="00E84FE2"/>
    <w:rsid w:val="00E852DE"/>
    <w:rsid w:val="00E85AD9"/>
    <w:rsid w:val="00E85E4C"/>
    <w:rsid w:val="00E865FD"/>
    <w:rsid w:val="00E868A9"/>
    <w:rsid w:val="00E86E5B"/>
    <w:rsid w:val="00E90FEB"/>
    <w:rsid w:val="00E92083"/>
    <w:rsid w:val="00E9258B"/>
    <w:rsid w:val="00E92851"/>
    <w:rsid w:val="00E928E0"/>
    <w:rsid w:val="00E92B94"/>
    <w:rsid w:val="00E92F83"/>
    <w:rsid w:val="00E93AC3"/>
    <w:rsid w:val="00E941A9"/>
    <w:rsid w:val="00E942FE"/>
    <w:rsid w:val="00E94318"/>
    <w:rsid w:val="00E943A4"/>
    <w:rsid w:val="00E95A80"/>
    <w:rsid w:val="00E95BF1"/>
    <w:rsid w:val="00E96036"/>
    <w:rsid w:val="00E96546"/>
    <w:rsid w:val="00E96BF7"/>
    <w:rsid w:val="00E97DD2"/>
    <w:rsid w:val="00E97F2A"/>
    <w:rsid w:val="00EA0120"/>
    <w:rsid w:val="00EA0AF1"/>
    <w:rsid w:val="00EA112C"/>
    <w:rsid w:val="00EA1FB8"/>
    <w:rsid w:val="00EA2653"/>
    <w:rsid w:val="00EA3059"/>
    <w:rsid w:val="00EA32B8"/>
    <w:rsid w:val="00EA32F6"/>
    <w:rsid w:val="00EA345E"/>
    <w:rsid w:val="00EA3B09"/>
    <w:rsid w:val="00EA3BCE"/>
    <w:rsid w:val="00EA3D48"/>
    <w:rsid w:val="00EA44D9"/>
    <w:rsid w:val="00EA4832"/>
    <w:rsid w:val="00EA4901"/>
    <w:rsid w:val="00EA5023"/>
    <w:rsid w:val="00EA5995"/>
    <w:rsid w:val="00EA5D09"/>
    <w:rsid w:val="00EA5E7A"/>
    <w:rsid w:val="00EA65E1"/>
    <w:rsid w:val="00EA6EF2"/>
    <w:rsid w:val="00EA7182"/>
    <w:rsid w:val="00EA754C"/>
    <w:rsid w:val="00EA7709"/>
    <w:rsid w:val="00EA7824"/>
    <w:rsid w:val="00EB06EA"/>
    <w:rsid w:val="00EB0A71"/>
    <w:rsid w:val="00EB1764"/>
    <w:rsid w:val="00EB1C07"/>
    <w:rsid w:val="00EB218B"/>
    <w:rsid w:val="00EB24C8"/>
    <w:rsid w:val="00EB26CB"/>
    <w:rsid w:val="00EB2E74"/>
    <w:rsid w:val="00EB31C8"/>
    <w:rsid w:val="00EB33E1"/>
    <w:rsid w:val="00EB3520"/>
    <w:rsid w:val="00EB3754"/>
    <w:rsid w:val="00EB3849"/>
    <w:rsid w:val="00EB3C76"/>
    <w:rsid w:val="00EB49B5"/>
    <w:rsid w:val="00EB5095"/>
    <w:rsid w:val="00EB56CD"/>
    <w:rsid w:val="00EB6017"/>
    <w:rsid w:val="00EB63FF"/>
    <w:rsid w:val="00EB666B"/>
    <w:rsid w:val="00EB6A76"/>
    <w:rsid w:val="00EB73EE"/>
    <w:rsid w:val="00EB7814"/>
    <w:rsid w:val="00EB7903"/>
    <w:rsid w:val="00EB7BBB"/>
    <w:rsid w:val="00EB7D64"/>
    <w:rsid w:val="00EB7D94"/>
    <w:rsid w:val="00EC0570"/>
    <w:rsid w:val="00EC0AF7"/>
    <w:rsid w:val="00EC0B15"/>
    <w:rsid w:val="00EC0CC3"/>
    <w:rsid w:val="00EC11E1"/>
    <w:rsid w:val="00EC1680"/>
    <w:rsid w:val="00EC1817"/>
    <w:rsid w:val="00EC1BF9"/>
    <w:rsid w:val="00EC1EB2"/>
    <w:rsid w:val="00EC266F"/>
    <w:rsid w:val="00EC2AB0"/>
    <w:rsid w:val="00EC2CB9"/>
    <w:rsid w:val="00EC3416"/>
    <w:rsid w:val="00EC36D6"/>
    <w:rsid w:val="00EC36EB"/>
    <w:rsid w:val="00EC3ED3"/>
    <w:rsid w:val="00EC3F83"/>
    <w:rsid w:val="00EC3FD7"/>
    <w:rsid w:val="00EC44DB"/>
    <w:rsid w:val="00EC475E"/>
    <w:rsid w:val="00EC4CDB"/>
    <w:rsid w:val="00EC5062"/>
    <w:rsid w:val="00EC51BC"/>
    <w:rsid w:val="00EC563F"/>
    <w:rsid w:val="00EC58FF"/>
    <w:rsid w:val="00EC5B13"/>
    <w:rsid w:val="00EC5CCD"/>
    <w:rsid w:val="00EC60B8"/>
    <w:rsid w:val="00EC6D51"/>
    <w:rsid w:val="00EC6E60"/>
    <w:rsid w:val="00EC771C"/>
    <w:rsid w:val="00EC78E6"/>
    <w:rsid w:val="00ED0092"/>
    <w:rsid w:val="00ED0405"/>
    <w:rsid w:val="00ED045E"/>
    <w:rsid w:val="00ED0AE3"/>
    <w:rsid w:val="00ED0C67"/>
    <w:rsid w:val="00ED12FC"/>
    <w:rsid w:val="00ED1803"/>
    <w:rsid w:val="00ED187E"/>
    <w:rsid w:val="00ED1962"/>
    <w:rsid w:val="00ED2066"/>
    <w:rsid w:val="00ED20E1"/>
    <w:rsid w:val="00ED2776"/>
    <w:rsid w:val="00ED3A31"/>
    <w:rsid w:val="00ED3A3F"/>
    <w:rsid w:val="00ED440D"/>
    <w:rsid w:val="00ED456E"/>
    <w:rsid w:val="00ED4B28"/>
    <w:rsid w:val="00ED5945"/>
    <w:rsid w:val="00ED5BC3"/>
    <w:rsid w:val="00ED5F17"/>
    <w:rsid w:val="00ED6C69"/>
    <w:rsid w:val="00ED7560"/>
    <w:rsid w:val="00ED76AC"/>
    <w:rsid w:val="00EE010E"/>
    <w:rsid w:val="00EE01DD"/>
    <w:rsid w:val="00EE17D3"/>
    <w:rsid w:val="00EE1E2D"/>
    <w:rsid w:val="00EE1E35"/>
    <w:rsid w:val="00EE2459"/>
    <w:rsid w:val="00EE27D4"/>
    <w:rsid w:val="00EE2E9A"/>
    <w:rsid w:val="00EE2F6B"/>
    <w:rsid w:val="00EE2F7E"/>
    <w:rsid w:val="00EE3375"/>
    <w:rsid w:val="00EE3597"/>
    <w:rsid w:val="00EE3660"/>
    <w:rsid w:val="00EE3C15"/>
    <w:rsid w:val="00EE3FDB"/>
    <w:rsid w:val="00EE4947"/>
    <w:rsid w:val="00EE55E7"/>
    <w:rsid w:val="00EE684A"/>
    <w:rsid w:val="00EE6BEE"/>
    <w:rsid w:val="00EE6BF1"/>
    <w:rsid w:val="00EE6F17"/>
    <w:rsid w:val="00EF093E"/>
    <w:rsid w:val="00EF0D80"/>
    <w:rsid w:val="00EF1A4B"/>
    <w:rsid w:val="00EF1CDF"/>
    <w:rsid w:val="00EF2192"/>
    <w:rsid w:val="00EF29B9"/>
    <w:rsid w:val="00EF2B2E"/>
    <w:rsid w:val="00EF33A8"/>
    <w:rsid w:val="00EF3814"/>
    <w:rsid w:val="00EF3C3B"/>
    <w:rsid w:val="00EF4444"/>
    <w:rsid w:val="00EF4A3C"/>
    <w:rsid w:val="00EF4F41"/>
    <w:rsid w:val="00EF5B91"/>
    <w:rsid w:val="00EF5D09"/>
    <w:rsid w:val="00EF5FF5"/>
    <w:rsid w:val="00EF61A0"/>
    <w:rsid w:val="00EF6B85"/>
    <w:rsid w:val="00EF70E6"/>
    <w:rsid w:val="00EF7470"/>
    <w:rsid w:val="00EF751B"/>
    <w:rsid w:val="00EF76D5"/>
    <w:rsid w:val="00EF7744"/>
    <w:rsid w:val="00EF7C05"/>
    <w:rsid w:val="00EF7CA4"/>
    <w:rsid w:val="00F00154"/>
    <w:rsid w:val="00F002DA"/>
    <w:rsid w:val="00F00558"/>
    <w:rsid w:val="00F00B88"/>
    <w:rsid w:val="00F01335"/>
    <w:rsid w:val="00F014C2"/>
    <w:rsid w:val="00F01935"/>
    <w:rsid w:val="00F01A21"/>
    <w:rsid w:val="00F0255C"/>
    <w:rsid w:val="00F0295F"/>
    <w:rsid w:val="00F0305D"/>
    <w:rsid w:val="00F0314D"/>
    <w:rsid w:val="00F0381A"/>
    <w:rsid w:val="00F04FBD"/>
    <w:rsid w:val="00F05266"/>
    <w:rsid w:val="00F05433"/>
    <w:rsid w:val="00F05510"/>
    <w:rsid w:val="00F0627A"/>
    <w:rsid w:val="00F06F84"/>
    <w:rsid w:val="00F07933"/>
    <w:rsid w:val="00F0799D"/>
    <w:rsid w:val="00F10196"/>
    <w:rsid w:val="00F10312"/>
    <w:rsid w:val="00F10531"/>
    <w:rsid w:val="00F107A0"/>
    <w:rsid w:val="00F10829"/>
    <w:rsid w:val="00F11C66"/>
    <w:rsid w:val="00F11F70"/>
    <w:rsid w:val="00F122D7"/>
    <w:rsid w:val="00F12495"/>
    <w:rsid w:val="00F1267B"/>
    <w:rsid w:val="00F127A8"/>
    <w:rsid w:val="00F12DCD"/>
    <w:rsid w:val="00F12EE9"/>
    <w:rsid w:val="00F13C03"/>
    <w:rsid w:val="00F13C88"/>
    <w:rsid w:val="00F13E3C"/>
    <w:rsid w:val="00F1406D"/>
    <w:rsid w:val="00F14172"/>
    <w:rsid w:val="00F1488E"/>
    <w:rsid w:val="00F14C6D"/>
    <w:rsid w:val="00F15146"/>
    <w:rsid w:val="00F15246"/>
    <w:rsid w:val="00F1543F"/>
    <w:rsid w:val="00F15C30"/>
    <w:rsid w:val="00F1603E"/>
    <w:rsid w:val="00F16A91"/>
    <w:rsid w:val="00F17208"/>
    <w:rsid w:val="00F1739E"/>
    <w:rsid w:val="00F17A77"/>
    <w:rsid w:val="00F2158D"/>
    <w:rsid w:val="00F217E5"/>
    <w:rsid w:val="00F2190E"/>
    <w:rsid w:val="00F21C19"/>
    <w:rsid w:val="00F220A5"/>
    <w:rsid w:val="00F22CCF"/>
    <w:rsid w:val="00F230F6"/>
    <w:rsid w:val="00F23A13"/>
    <w:rsid w:val="00F24855"/>
    <w:rsid w:val="00F24BF1"/>
    <w:rsid w:val="00F25014"/>
    <w:rsid w:val="00F25231"/>
    <w:rsid w:val="00F2559F"/>
    <w:rsid w:val="00F2602F"/>
    <w:rsid w:val="00F2608F"/>
    <w:rsid w:val="00F26185"/>
    <w:rsid w:val="00F2654F"/>
    <w:rsid w:val="00F2673E"/>
    <w:rsid w:val="00F273E9"/>
    <w:rsid w:val="00F3078C"/>
    <w:rsid w:val="00F31652"/>
    <w:rsid w:val="00F31741"/>
    <w:rsid w:val="00F31A96"/>
    <w:rsid w:val="00F31BF8"/>
    <w:rsid w:val="00F31C04"/>
    <w:rsid w:val="00F31F80"/>
    <w:rsid w:val="00F3221A"/>
    <w:rsid w:val="00F32BE6"/>
    <w:rsid w:val="00F3326C"/>
    <w:rsid w:val="00F33BD1"/>
    <w:rsid w:val="00F33C1F"/>
    <w:rsid w:val="00F34362"/>
    <w:rsid w:val="00F34BC9"/>
    <w:rsid w:val="00F34EB1"/>
    <w:rsid w:val="00F352FF"/>
    <w:rsid w:val="00F35C94"/>
    <w:rsid w:val="00F3641B"/>
    <w:rsid w:val="00F36948"/>
    <w:rsid w:val="00F37077"/>
    <w:rsid w:val="00F371EF"/>
    <w:rsid w:val="00F375E4"/>
    <w:rsid w:val="00F3780E"/>
    <w:rsid w:val="00F40396"/>
    <w:rsid w:val="00F407D0"/>
    <w:rsid w:val="00F40BF3"/>
    <w:rsid w:val="00F4132E"/>
    <w:rsid w:val="00F41CEE"/>
    <w:rsid w:val="00F426C9"/>
    <w:rsid w:val="00F429EE"/>
    <w:rsid w:val="00F42CEA"/>
    <w:rsid w:val="00F43AB9"/>
    <w:rsid w:val="00F44989"/>
    <w:rsid w:val="00F44FD7"/>
    <w:rsid w:val="00F47283"/>
    <w:rsid w:val="00F47B3B"/>
    <w:rsid w:val="00F5007F"/>
    <w:rsid w:val="00F5020D"/>
    <w:rsid w:val="00F50571"/>
    <w:rsid w:val="00F513AE"/>
    <w:rsid w:val="00F513D9"/>
    <w:rsid w:val="00F51F98"/>
    <w:rsid w:val="00F5207B"/>
    <w:rsid w:val="00F522D5"/>
    <w:rsid w:val="00F5255B"/>
    <w:rsid w:val="00F52828"/>
    <w:rsid w:val="00F52C48"/>
    <w:rsid w:val="00F532B2"/>
    <w:rsid w:val="00F53D7F"/>
    <w:rsid w:val="00F54860"/>
    <w:rsid w:val="00F54C6F"/>
    <w:rsid w:val="00F56451"/>
    <w:rsid w:val="00F56B36"/>
    <w:rsid w:val="00F57752"/>
    <w:rsid w:val="00F57A1A"/>
    <w:rsid w:val="00F57B5E"/>
    <w:rsid w:val="00F57CB7"/>
    <w:rsid w:val="00F60EA6"/>
    <w:rsid w:val="00F611DC"/>
    <w:rsid w:val="00F614E8"/>
    <w:rsid w:val="00F6167A"/>
    <w:rsid w:val="00F6237A"/>
    <w:rsid w:val="00F639BE"/>
    <w:rsid w:val="00F63B35"/>
    <w:rsid w:val="00F63C6C"/>
    <w:rsid w:val="00F64A51"/>
    <w:rsid w:val="00F650F8"/>
    <w:rsid w:val="00F6510C"/>
    <w:rsid w:val="00F6532C"/>
    <w:rsid w:val="00F6550C"/>
    <w:rsid w:val="00F65519"/>
    <w:rsid w:val="00F656A3"/>
    <w:rsid w:val="00F65716"/>
    <w:rsid w:val="00F66109"/>
    <w:rsid w:val="00F66480"/>
    <w:rsid w:val="00F6725D"/>
    <w:rsid w:val="00F67EA0"/>
    <w:rsid w:val="00F7014B"/>
    <w:rsid w:val="00F701C2"/>
    <w:rsid w:val="00F705BE"/>
    <w:rsid w:val="00F71442"/>
    <w:rsid w:val="00F71B4E"/>
    <w:rsid w:val="00F71E49"/>
    <w:rsid w:val="00F72467"/>
    <w:rsid w:val="00F72560"/>
    <w:rsid w:val="00F72765"/>
    <w:rsid w:val="00F728B7"/>
    <w:rsid w:val="00F728C9"/>
    <w:rsid w:val="00F72BFD"/>
    <w:rsid w:val="00F72C36"/>
    <w:rsid w:val="00F73182"/>
    <w:rsid w:val="00F73647"/>
    <w:rsid w:val="00F73AB8"/>
    <w:rsid w:val="00F7519D"/>
    <w:rsid w:val="00F758A0"/>
    <w:rsid w:val="00F75A56"/>
    <w:rsid w:val="00F75C2E"/>
    <w:rsid w:val="00F75C73"/>
    <w:rsid w:val="00F76346"/>
    <w:rsid w:val="00F76917"/>
    <w:rsid w:val="00F76DB4"/>
    <w:rsid w:val="00F7789D"/>
    <w:rsid w:val="00F77D83"/>
    <w:rsid w:val="00F803D5"/>
    <w:rsid w:val="00F8105B"/>
    <w:rsid w:val="00F81485"/>
    <w:rsid w:val="00F81726"/>
    <w:rsid w:val="00F81B80"/>
    <w:rsid w:val="00F8208A"/>
    <w:rsid w:val="00F8302E"/>
    <w:rsid w:val="00F83690"/>
    <w:rsid w:val="00F8376F"/>
    <w:rsid w:val="00F83C5E"/>
    <w:rsid w:val="00F83F95"/>
    <w:rsid w:val="00F8410F"/>
    <w:rsid w:val="00F84550"/>
    <w:rsid w:val="00F849FC"/>
    <w:rsid w:val="00F84A4E"/>
    <w:rsid w:val="00F84B68"/>
    <w:rsid w:val="00F84C11"/>
    <w:rsid w:val="00F84D90"/>
    <w:rsid w:val="00F86021"/>
    <w:rsid w:val="00F8627C"/>
    <w:rsid w:val="00F86653"/>
    <w:rsid w:val="00F869BB"/>
    <w:rsid w:val="00F86BC1"/>
    <w:rsid w:val="00F86C05"/>
    <w:rsid w:val="00F86D58"/>
    <w:rsid w:val="00F86DAB"/>
    <w:rsid w:val="00F871FE"/>
    <w:rsid w:val="00F87261"/>
    <w:rsid w:val="00F87983"/>
    <w:rsid w:val="00F87B52"/>
    <w:rsid w:val="00F91706"/>
    <w:rsid w:val="00F91A34"/>
    <w:rsid w:val="00F9230A"/>
    <w:rsid w:val="00F92632"/>
    <w:rsid w:val="00F926F2"/>
    <w:rsid w:val="00F9308E"/>
    <w:rsid w:val="00F945D1"/>
    <w:rsid w:val="00F94C1E"/>
    <w:rsid w:val="00F95754"/>
    <w:rsid w:val="00F958F4"/>
    <w:rsid w:val="00F96074"/>
    <w:rsid w:val="00F960EF"/>
    <w:rsid w:val="00F966FD"/>
    <w:rsid w:val="00F97641"/>
    <w:rsid w:val="00F97932"/>
    <w:rsid w:val="00F97A31"/>
    <w:rsid w:val="00FA0643"/>
    <w:rsid w:val="00FA0723"/>
    <w:rsid w:val="00FA0AF6"/>
    <w:rsid w:val="00FA163B"/>
    <w:rsid w:val="00FA22CD"/>
    <w:rsid w:val="00FA237C"/>
    <w:rsid w:val="00FA2797"/>
    <w:rsid w:val="00FA2D08"/>
    <w:rsid w:val="00FA2ED9"/>
    <w:rsid w:val="00FA36DC"/>
    <w:rsid w:val="00FA3EDF"/>
    <w:rsid w:val="00FA3FC3"/>
    <w:rsid w:val="00FA4024"/>
    <w:rsid w:val="00FA45E0"/>
    <w:rsid w:val="00FA45EE"/>
    <w:rsid w:val="00FA4916"/>
    <w:rsid w:val="00FA4FB3"/>
    <w:rsid w:val="00FA524B"/>
    <w:rsid w:val="00FA5987"/>
    <w:rsid w:val="00FA598F"/>
    <w:rsid w:val="00FA5D73"/>
    <w:rsid w:val="00FA6DB1"/>
    <w:rsid w:val="00FA6FD7"/>
    <w:rsid w:val="00FA6FE9"/>
    <w:rsid w:val="00FA75BE"/>
    <w:rsid w:val="00FA7A8D"/>
    <w:rsid w:val="00FA7E5C"/>
    <w:rsid w:val="00FB029B"/>
    <w:rsid w:val="00FB02B1"/>
    <w:rsid w:val="00FB067C"/>
    <w:rsid w:val="00FB06E7"/>
    <w:rsid w:val="00FB088A"/>
    <w:rsid w:val="00FB0E12"/>
    <w:rsid w:val="00FB0F82"/>
    <w:rsid w:val="00FB149B"/>
    <w:rsid w:val="00FB193D"/>
    <w:rsid w:val="00FB1FD6"/>
    <w:rsid w:val="00FB20EF"/>
    <w:rsid w:val="00FB2AFE"/>
    <w:rsid w:val="00FB3422"/>
    <w:rsid w:val="00FB394F"/>
    <w:rsid w:val="00FB3B95"/>
    <w:rsid w:val="00FB4642"/>
    <w:rsid w:val="00FB4BA2"/>
    <w:rsid w:val="00FB4C10"/>
    <w:rsid w:val="00FB4DC4"/>
    <w:rsid w:val="00FB4F65"/>
    <w:rsid w:val="00FB5265"/>
    <w:rsid w:val="00FB552F"/>
    <w:rsid w:val="00FB5C61"/>
    <w:rsid w:val="00FB5FF9"/>
    <w:rsid w:val="00FB6912"/>
    <w:rsid w:val="00FB6DA4"/>
    <w:rsid w:val="00FB734F"/>
    <w:rsid w:val="00FB7356"/>
    <w:rsid w:val="00FB7E79"/>
    <w:rsid w:val="00FB7FA6"/>
    <w:rsid w:val="00FC0422"/>
    <w:rsid w:val="00FC0528"/>
    <w:rsid w:val="00FC0630"/>
    <w:rsid w:val="00FC0AAE"/>
    <w:rsid w:val="00FC0ABB"/>
    <w:rsid w:val="00FC0C62"/>
    <w:rsid w:val="00FC1845"/>
    <w:rsid w:val="00FC251D"/>
    <w:rsid w:val="00FC27B8"/>
    <w:rsid w:val="00FC27C4"/>
    <w:rsid w:val="00FC28DA"/>
    <w:rsid w:val="00FC2BB9"/>
    <w:rsid w:val="00FC2F35"/>
    <w:rsid w:val="00FC2F42"/>
    <w:rsid w:val="00FC450C"/>
    <w:rsid w:val="00FC461E"/>
    <w:rsid w:val="00FC56D4"/>
    <w:rsid w:val="00FC5F68"/>
    <w:rsid w:val="00FC78BC"/>
    <w:rsid w:val="00FC7C35"/>
    <w:rsid w:val="00FD01B5"/>
    <w:rsid w:val="00FD03E5"/>
    <w:rsid w:val="00FD0595"/>
    <w:rsid w:val="00FD0603"/>
    <w:rsid w:val="00FD0679"/>
    <w:rsid w:val="00FD0975"/>
    <w:rsid w:val="00FD1364"/>
    <w:rsid w:val="00FD15EA"/>
    <w:rsid w:val="00FD1836"/>
    <w:rsid w:val="00FD19F4"/>
    <w:rsid w:val="00FD1DDF"/>
    <w:rsid w:val="00FD1FC3"/>
    <w:rsid w:val="00FD2631"/>
    <w:rsid w:val="00FD26A7"/>
    <w:rsid w:val="00FD380A"/>
    <w:rsid w:val="00FD3828"/>
    <w:rsid w:val="00FD40C9"/>
    <w:rsid w:val="00FD44D5"/>
    <w:rsid w:val="00FD4A7C"/>
    <w:rsid w:val="00FD4AD6"/>
    <w:rsid w:val="00FD52A3"/>
    <w:rsid w:val="00FD586D"/>
    <w:rsid w:val="00FD59C7"/>
    <w:rsid w:val="00FD5B16"/>
    <w:rsid w:val="00FD5BF0"/>
    <w:rsid w:val="00FD5E5B"/>
    <w:rsid w:val="00FD5FCA"/>
    <w:rsid w:val="00FD622D"/>
    <w:rsid w:val="00FD6CCD"/>
    <w:rsid w:val="00FD6D13"/>
    <w:rsid w:val="00FD707A"/>
    <w:rsid w:val="00FD74C7"/>
    <w:rsid w:val="00FE0952"/>
    <w:rsid w:val="00FE0968"/>
    <w:rsid w:val="00FE1B32"/>
    <w:rsid w:val="00FE3190"/>
    <w:rsid w:val="00FE3657"/>
    <w:rsid w:val="00FE4449"/>
    <w:rsid w:val="00FE4533"/>
    <w:rsid w:val="00FE52AF"/>
    <w:rsid w:val="00FE5684"/>
    <w:rsid w:val="00FE585A"/>
    <w:rsid w:val="00FE5CF1"/>
    <w:rsid w:val="00FE5DD8"/>
    <w:rsid w:val="00FE6D0A"/>
    <w:rsid w:val="00FE7069"/>
    <w:rsid w:val="00FE7280"/>
    <w:rsid w:val="00FE7D81"/>
    <w:rsid w:val="00FE7E6D"/>
    <w:rsid w:val="00FF00D1"/>
    <w:rsid w:val="00FF01C6"/>
    <w:rsid w:val="00FF06DD"/>
    <w:rsid w:val="00FF0EA1"/>
    <w:rsid w:val="00FF162E"/>
    <w:rsid w:val="00FF1799"/>
    <w:rsid w:val="00FF3B34"/>
    <w:rsid w:val="00FF3F61"/>
    <w:rsid w:val="00FF4FF2"/>
    <w:rsid w:val="00FF52C5"/>
    <w:rsid w:val="00FF5795"/>
    <w:rsid w:val="00FF5C68"/>
    <w:rsid w:val="00FF5EE3"/>
    <w:rsid w:val="00FF618A"/>
    <w:rsid w:val="00FF6263"/>
    <w:rsid w:val="00FF6622"/>
    <w:rsid w:val="00FF6E72"/>
    <w:rsid w:val="00FF70EE"/>
    <w:rsid w:val="00FF7B80"/>
    <w:rsid w:val="00FF7BD0"/>
    <w:rsid w:val="00FF7BE7"/>
    <w:rsid w:val="00FF7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3EFF"/>
  <w15:chartTrackingRefBased/>
  <w15:docId w15:val="{8B6666F1-010D-45F9-ADE7-4F74BA59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8A09EB"/>
    <w:pPr>
      <w:tabs>
        <w:tab w:val="right" w:leader="dot" w:pos="9060"/>
      </w:tabs>
      <w:spacing w:after="0"/>
      <w:ind w:left="720" w:hanging="720"/>
    </w:pPr>
    <w:rPr>
      <w:b/>
      <w:noProof/>
    </w:rPr>
  </w:style>
  <w:style w:type="paragraph" w:styleId="TOC2">
    <w:name w:val="toc 2"/>
    <w:basedOn w:val="Normal"/>
    <w:next w:val="Normal"/>
    <w:autoRedefine/>
    <w:uiPriority w:val="39"/>
    <w:locked/>
    <w:rsid w:val="00BE3278"/>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151D0E"/>
    <w:rPr>
      <w:color w:val="605E5C"/>
      <w:shd w:val="clear" w:color="auto" w:fill="E1DFDD"/>
    </w:rPr>
  </w:style>
  <w:style w:type="paragraph" w:styleId="Revision">
    <w:name w:val="Revision"/>
    <w:hidden/>
    <w:uiPriority w:val="99"/>
    <w:semiHidden/>
    <w:rsid w:val="000C1A8B"/>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233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53765025">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107316224">
      <w:bodyDiv w:val="1"/>
      <w:marLeft w:val="0"/>
      <w:marRight w:val="0"/>
      <w:marTop w:val="0"/>
      <w:marBottom w:val="0"/>
      <w:divBdr>
        <w:top w:val="none" w:sz="0" w:space="0" w:color="auto"/>
        <w:left w:val="none" w:sz="0" w:space="0" w:color="auto"/>
        <w:bottom w:val="none" w:sz="0" w:space="0" w:color="auto"/>
        <w:right w:val="none" w:sz="0" w:space="0" w:color="auto"/>
      </w:divBdr>
    </w:div>
    <w:div w:id="1208375210">
      <w:bodyDiv w:val="1"/>
      <w:marLeft w:val="0"/>
      <w:marRight w:val="0"/>
      <w:marTop w:val="0"/>
      <w:marBottom w:val="0"/>
      <w:divBdr>
        <w:top w:val="none" w:sz="0" w:space="0" w:color="auto"/>
        <w:left w:val="none" w:sz="0" w:space="0" w:color="auto"/>
        <w:bottom w:val="none" w:sz="0" w:space="0" w:color="auto"/>
        <w:right w:val="none" w:sz="0" w:space="0" w:color="auto"/>
      </w:divBdr>
    </w:div>
    <w:div w:id="1457871715">
      <w:bodyDiv w:val="1"/>
      <w:marLeft w:val="0"/>
      <w:marRight w:val="0"/>
      <w:marTop w:val="0"/>
      <w:marBottom w:val="0"/>
      <w:divBdr>
        <w:top w:val="none" w:sz="0" w:space="0" w:color="auto"/>
        <w:left w:val="none" w:sz="0" w:space="0" w:color="auto"/>
        <w:bottom w:val="none" w:sz="0" w:space="0" w:color="auto"/>
        <w:right w:val="none" w:sz="0" w:space="0" w:color="auto"/>
      </w:divBdr>
    </w:div>
    <w:div w:id="1627733005">
      <w:bodyDiv w:val="1"/>
      <w:marLeft w:val="0"/>
      <w:marRight w:val="0"/>
      <w:marTop w:val="0"/>
      <w:marBottom w:val="0"/>
      <w:divBdr>
        <w:top w:val="none" w:sz="0" w:space="0" w:color="auto"/>
        <w:left w:val="none" w:sz="0" w:space="0" w:color="auto"/>
        <w:bottom w:val="none" w:sz="0" w:space="0" w:color="auto"/>
        <w:right w:val="none" w:sz="0" w:space="0" w:color="auto"/>
      </w:divBdr>
    </w:div>
    <w:div w:id="21278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Parliamentary_Business/Committees/Joint/Intelligence_and_Security/HRTOBill/Implementation_Plan" TargetMode="External"/><Relationship Id="rId13" Type="http://schemas.openxmlformats.org/officeDocument/2006/relationships/hyperlink" Target="https://www.sentencingcouncil.vic.gov.au/sites/default/files/2019-08/High_Risk_Offenders_Final_Report.pdf" TargetMode="External"/><Relationship Id="rId3" Type="http://schemas.openxmlformats.org/officeDocument/2006/relationships/hyperlink" Target="https://www.inslm.gov.au/sites/default/files/11-australian-human-rights-commission.pdf" TargetMode="External"/><Relationship Id="rId7" Type="http://schemas.openxmlformats.org/officeDocument/2006/relationships/hyperlink" Target="https://www.aph.gov.au/Parliamentary_Business/Committees/Joint/Intelligence_and_Security/HRTOBill/Report-PDF" TargetMode="External"/><Relationship Id="rId12" Type="http://schemas.openxmlformats.org/officeDocument/2006/relationships/hyperlink" Target="https://www.aic.gov.au/publications/special/special-14" TargetMode="External"/><Relationship Id="rId2" Type="http://schemas.openxmlformats.org/officeDocument/2006/relationships/hyperlink" Target="https://www.aph.gov.au/DocumentStore.ashx?id=32397a66-a179-4a07-a5fb-ab60b776676f&amp;subId=414693" TargetMode="External"/><Relationship Id="rId16" Type="http://schemas.openxmlformats.org/officeDocument/2006/relationships/hyperlink" Target="https://www.rma.scot/research/rated/" TargetMode="External"/><Relationship Id="rId1" Type="http://schemas.openxmlformats.org/officeDocument/2006/relationships/hyperlink" Target="https://www.inslm.gov.au/sites/default/files/2022-03/11-australian-human-rights-commission.pdf" TargetMode="External"/><Relationship Id="rId6" Type="http://schemas.openxmlformats.org/officeDocument/2006/relationships/hyperlink" Target="https://www.aph.gov.au/Parliamentary_Business/Committees/Joint/Intelligence_and_Security/HRTOBill/Report-PDF" TargetMode="External"/><Relationship Id="rId11" Type="http://schemas.openxmlformats.org/officeDocument/2006/relationships/hyperlink" Target="https://www.homeaffairs.gov.au/foi/files/2023/fa-230400097-document-released-part-2.PDF" TargetMode="External"/><Relationship Id="rId5" Type="http://schemas.openxmlformats.org/officeDocument/2006/relationships/hyperlink" Target="https://www.aph.gov.au/DocumentStore.ashx?id=dccdea26-8e64-433f-8cdd-51430e028cf3&amp;subId=695306" TargetMode="External"/><Relationship Id="rId15" Type="http://schemas.openxmlformats.org/officeDocument/2006/relationships/hyperlink" Target="https://www.inslm.gov.au/sites/default/files/2022-03/11-australian-human-rights-commission.pdf" TargetMode="External"/><Relationship Id="rId10" Type="http://schemas.openxmlformats.org/officeDocument/2006/relationships/hyperlink" Target="https://www.homeaffairs.gov.au/foi/files/2023/fa-230400097-document-released-part-1.PDF" TargetMode="External"/><Relationship Id="rId4" Type="http://schemas.openxmlformats.org/officeDocument/2006/relationships/hyperlink" Target="https://www.aph.gov.au/DocumentStore.ashx?id=b2a784cc-435f-4cbd-b5c7-6831eeb05e81&amp;subId=691580" TargetMode="External"/><Relationship Id="rId9" Type="http://schemas.openxmlformats.org/officeDocument/2006/relationships/hyperlink" Target="https://www.aph.gov.au/-/media/02_Parliamentary_Business/24_Committees/244_Joint_Committees/PJCIS/45th_Parl_HRTO_Bill/HRTO_Report_June_2017.pdf?la=en&amp;hash=788CFDF0020D3F05C8017A36AF0A64F64558A16A" TargetMode="External"/><Relationship Id="rId14" Type="http://schemas.openxmlformats.org/officeDocument/2006/relationships/hyperlink" Target="http://www.sentencingcouncil.justice.nsw.gov.au/Documents/Sentencing_Serious_Violent_Offenders/online%20final%20report%20hrv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Submission</Divider>
    <TaxCatchAll xmlns="6500fe01-343b-4fb9-a1b0-68ac19d62e01" xsi:nil="true"/>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Subdivider>
    <_dlc_DocId xmlns="6500fe01-343b-4fb9-a1b0-68ac19d62e01">DGE6U7RJ2EFV-31920988-9277</_dlc_DocId>
    <_dlc_DocIdUrl xmlns="6500fe01-343b-4fb9-a1b0-68ac19d62e01">
      <Url>https://australianhrc.sharepoint.com/sites/LegalServicesWorkspace/_layouts/15/DocIdRedir.aspx?ID=DGE6U7RJ2EFV-31920988-9277</Url>
      <Description>DGE6U7RJ2EFV-31920988-9277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ffc2f7cdcae2c6c73dae3c38c3f5a5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fb90f7555212531d8a8d3ef0b61deffa"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60ED25-C488-4C65-A70C-3622D49124C6}">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2.xml><?xml version="1.0" encoding="utf-8"?>
<ds:datastoreItem xmlns:ds="http://schemas.openxmlformats.org/officeDocument/2006/customXml" ds:itemID="{57B75889-2323-46B0-98FD-52535A488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9C6BB-992F-4927-85E1-ECAC5B229DBB}">
  <ds:schemaRefs>
    <ds:schemaRef ds:uri="Microsoft.SharePoint.Taxonomy.ContentTypeSync"/>
  </ds:schemaRefs>
</ds:datastoreItem>
</file>

<file path=customXml/itemProps4.xml><?xml version="1.0" encoding="utf-8"?>
<ds:datastoreItem xmlns:ds="http://schemas.openxmlformats.org/officeDocument/2006/customXml" ds:itemID="{BDA8B4B1-8D90-4C91-AC31-3E765BD79C3C}">
  <ds:schemaRefs>
    <ds:schemaRef ds:uri="http://schemas.microsoft.com/sharepoint/v3/contenttype/forms"/>
  </ds:schemaRefs>
</ds:datastoreItem>
</file>

<file path=customXml/itemProps5.xml><?xml version="1.0" encoding="utf-8"?>
<ds:datastoreItem xmlns:ds="http://schemas.openxmlformats.org/officeDocument/2006/customXml" ds:itemID="{82049372-6F42-488C-8423-CE8D8A74E76F}">
  <ds:schemaRefs>
    <ds:schemaRef ds:uri="http://schemas.microsoft.com/office/2006/metadata/customXsn"/>
  </ds:schemaRefs>
</ds:datastoreItem>
</file>

<file path=customXml/itemProps6.xml><?xml version="1.0" encoding="utf-8"?>
<ds:datastoreItem xmlns:ds="http://schemas.openxmlformats.org/officeDocument/2006/customXml" ds:itemID="{5EACC4C6-76F1-4C4D-A32D-C54197DC0864}">
  <ds:schemaRefs>
    <ds:schemaRef ds:uri="http://schemas.openxmlformats.org/officeDocument/2006/bibliography"/>
  </ds:schemaRefs>
</ds:datastoreItem>
</file>

<file path=customXml/itemProps7.xml><?xml version="1.0" encoding="utf-8"?>
<ds:datastoreItem xmlns:ds="http://schemas.openxmlformats.org/officeDocument/2006/customXml" ds:itemID="{17FE400F-9C67-448D-AC81-C580DF5206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6319</TotalTime>
  <Pages>27</Pages>
  <Words>6733</Words>
  <Characters>38381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45024</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dc:description/>
  <cp:lastModifiedBy>Graeme Edgerton</cp:lastModifiedBy>
  <cp:revision>914</cp:revision>
  <cp:lastPrinted>2023-06-23T01:06:00Z</cp:lastPrinted>
  <dcterms:created xsi:type="dcterms:W3CDTF">2023-05-29T04:51:00Z</dcterms:created>
  <dcterms:modified xsi:type="dcterms:W3CDTF">2023-06-23T01:06:00Z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a728d5ef-767d-4c2a-b1c6-524aad980465</vt:lpwstr>
  </property>
</Properties>
</file>