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1F19" w14:textId="650D5F8A" w:rsidR="002750B1" w:rsidRDefault="00972C72" w:rsidP="002750B1">
      <w:pPr>
        <w:pStyle w:val="MainTitle"/>
      </w:pPr>
      <w:r>
        <w:t xml:space="preserve">Review of </w:t>
      </w:r>
      <w:r w:rsidR="002750B1">
        <w:t>National Emergency Declaration Act 2020</w:t>
      </w:r>
      <w:r w:rsidR="0075061D">
        <w:t xml:space="preserve"> (Cth)</w:t>
      </w:r>
    </w:p>
    <w:p w14:paraId="432C9820" w14:textId="54796261" w:rsidR="002750B1" w:rsidRDefault="002750B1" w:rsidP="002750B1">
      <w:pPr>
        <w:pStyle w:val="Subtitle"/>
      </w:pPr>
      <w:bookmarkStart w:id="0" w:name="_Toc515873205"/>
      <w:bookmarkStart w:id="1" w:name="_Toc61512562"/>
      <w:bookmarkStart w:id="2" w:name="_Toc66835744"/>
      <w:bookmarkStart w:id="3" w:name="_Toc66889059"/>
      <w:bookmarkStart w:id="4" w:name="_Toc66891154"/>
      <w:bookmarkStart w:id="5" w:name="_Toc66911298"/>
      <w:bookmarkStart w:id="6" w:name="_Toc66911344"/>
      <w:bookmarkStart w:id="7" w:name="_Toc66911813"/>
      <w:bookmarkStart w:id="8" w:name="_Toc67052953"/>
      <w:bookmarkStart w:id="9" w:name="_Toc67489485"/>
      <w:bookmarkStart w:id="10" w:name="_Toc67495691"/>
      <w:r>
        <w:t xml:space="preserve">Submission to the </w:t>
      </w:r>
      <w:bookmarkEnd w:id="0"/>
      <w:bookmarkEnd w:id="1"/>
      <w:r w:rsidR="00972C72">
        <w:t>Senate Legal and Constitutional Affairs Legislation Committee</w:t>
      </w:r>
      <w:bookmarkEnd w:id="2"/>
      <w:bookmarkEnd w:id="3"/>
      <w:bookmarkEnd w:id="4"/>
      <w:bookmarkEnd w:id="5"/>
      <w:bookmarkEnd w:id="6"/>
      <w:bookmarkEnd w:id="7"/>
      <w:bookmarkEnd w:id="8"/>
      <w:bookmarkEnd w:id="9"/>
      <w:bookmarkEnd w:id="10"/>
    </w:p>
    <w:p w14:paraId="20D4E4CF" w14:textId="6EAFFE6D" w:rsidR="002750B1" w:rsidRPr="00817C73" w:rsidRDefault="00B613C6" w:rsidP="002750B1">
      <w:pPr>
        <w:pStyle w:val="Date"/>
      </w:pPr>
      <w:r>
        <w:t>2</w:t>
      </w:r>
      <w:r w:rsidR="00FA5DF4">
        <w:t>4</w:t>
      </w:r>
      <w:r w:rsidR="002750B1">
        <w:t xml:space="preserve"> March 2021</w:t>
      </w:r>
    </w:p>
    <w:p w14:paraId="225AA33B" w14:textId="77777777" w:rsidR="002750B1" w:rsidRDefault="002750B1" w:rsidP="002750B1"/>
    <w:p w14:paraId="0A34D399" w14:textId="77777777" w:rsidR="002750B1" w:rsidRPr="00AC636D" w:rsidRDefault="002750B1" w:rsidP="002750B1">
      <w:pPr>
        <w:sectPr w:rsidR="002750B1" w:rsidRPr="00AC636D" w:rsidSect="002750B1">
          <w:headerReference w:type="even" r:id="rId8"/>
          <w:headerReference w:type="default" r:id="rId9"/>
          <w:headerReference w:type="first" r:id="rId10"/>
          <w:footerReference w:type="first" r:id="rId11"/>
          <w:pgSz w:w="11906" w:h="16838" w:code="9"/>
          <w:pgMar w:top="228" w:right="1700" w:bottom="1134" w:left="1418" w:header="277" w:footer="1361" w:gutter="0"/>
          <w:pgNumType w:start="2"/>
          <w:cols w:space="708"/>
          <w:titlePg/>
          <w:docGrid w:linePitch="360"/>
        </w:sectPr>
      </w:pPr>
    </w:p>
    <w:p w14:paraId="7B879251" w14:textId="77777777" w:rsidR="00E16B9C" w:rsidRDefault="002750B1" w:rsidP="002750B1">
      <w:pPr>
        <w:pStyle w:val="TOC1"/>
      </w:pPr>
      <w:bookmarkStart w:id="11" w:name="_Toc209316062"/>
      <w:bookmarkEnd w:id="11"/>
      <w:r>
        <w:lastRenderedPageBreak/>
        <w:t>Contents</w:t>
      </w:r>
      <w:r w:rsidRPr="000465F1">
        <w:fldChar w:fldCharType="begin"/>
      </w:r>
      <w:r>
        <w:instrText xml:space="preserve"> TOC \o "1-3" \h \z \u </w:instrText>
      </w:r>
      <w:r w:rsidRPr="000465F1">
        <w:fldChar w:fldCharType="separate"/>
      </w:r>
    </w:p>
    <w:p w14:paraId="30A02C11" w14:textId="5A8A69EF" w:rsidR="00E16B9C" w:rsidRDefault="00225F83">
      <w:pPr>
        <w:pStyle w:val="TOC1"/>
        <w:rPr>
          <w:rFonts w:asciiTheme="minorHAnsi" w:eastAsiaTheme="minorEastAsia" w:hAnsiTheme="minorHAnsi" w:cstheme="minorBidi"/>
          <w:b w:val="0"/>
          <w:sz w:val="22"/>
          <w:szCs w:val="22"/>
        </w:rPr>
      </w:pPr>
      <w:hyperlink w:anchor="_Toc67495692" w:history="1">
        <w:r w:rsidR="00E16B9C" w:rsidRPr="0007242B">
          <w:rPr>
            <w:rStyle w:val="Hyperlink"/>
          </w:rPr>
          <w:t>1</w:t>
        </w:r>
        <w:r w:rsidR="00E16B9C">
          <w:rPr>
            <w:rFonts w:asciiTheme="minorHAnsi" w:eastAsiaTheme="minorEastAsia" w:hAnsiTheme="minorHAnsi" w:cstheme="minorBidi"/>
            <w:b w:val="0"/>
            <w:sz w:val="22"/>
            <w:szCs w:val="22"/>
          </w:rPr>
          <w:tab/>
        </w:r>
        <w:r w:rsidR="00E16B9C" w:rsidRPr="0007242B">
          <w:rPr>
            <w:rStyle w:val="Hyperlink"/>
          </w:rPr>
          <w:t>Introduction</w:t>
        </w:r>
        <w:r w:rsidR="00E16B9C">
          <w:rPr>
            <w:webHidden/>
          </w:rPr>
          <w:tab/>
        </w:r>
        <w:r w:rsidR="00E16B9C">
          <w:rPr>
            <w:webHidden/>
          </w:rPr>
          <w:fldChar w:fldCharType="begin"/>
        </w:r>
        <w:r w:rsidR="00E16B9C">
          <w:rPr>
            <w:webHidden/>
          </w:rPr>
          <w:instrText xml:space="preserve"> PAGEREF _Toc67495692 \h </w:instrText>
        </w:r>
        <w:r w:rsidR="00E16B9C">
          <w:rPr>
            <w:webHidden/>
          </w:rPr>
        </w:r>
        <w:r w:rsidR="00E16B9C">
          <w:rPr>
            <w:webHidden/>
          </w:rPr>
          <w:fldChar w:fldCharType="separate"/>
        </w:r>
        <w:r w:rsidR="00E16B9C">
          <w:rPr>
            <w:webHidden/>
          </w:rPr>
          <w:t>3</w:t>
        </w:r>
        <w:r w:rsidR="00E16B9C">
          <w:rPr>
            <w:webHidden/>
          </w:rPr>
          <w:fldChar w:fldCharType="end"/>
        </w:r>
      </w:hyperlink>
    </w:p>
    <w:p w14:paraId="0BC7580E" w14:textId="15F660B3" w:rsidR="00E16B9C" w:rsidRDefault="00225F83">
      <w:pPr>
        <w:pStyle w:val="TOC1"/>
        <w:rPr>
          <w:rFonts w:asciiTheme="minorHAnsi" w:eastAsiaTheme="minorEastAsia" w:hAnsiTheme="minorHAnsi" w:cstheme="minorBidi"/>
          <w:b w:val="0"/>
          <w:sz w:val="22"/>
          <w:szCs w:val="22"/>
        </w:rPr>
      </w:pPr>
      <w:hyperlink w:anchor="_Toc67495693" w:history="1">
        <w:r w:rsidR="00E16B9C" w:rsidRPr="0007242B">
          <w:rPr>
            <w:rStyle w:val="Hyperlink"/>
          </w:rPr>
          <w:t>2</w:t>
        </w:r>
        <w:r w:rsidR="00E16B9C">
          <w:rPr>
            <w:rFonts w:asciiTheme="minorHAnsi" w:eastAsiaTheme="minorEastAsia" w:hAnsiTheme="minorHAnsi" w:cstheme="minorBidi"/>
            <w:b w:val="0"/>
            <w:sz w:val="22"/>
            <w:szCs w:val="22"/>
          </w:rPr>
          <w:tab/>
        </w:r>
        <w:r w:rsidR="00E16B9C" w:rsidRPr="0007242B">
          <w:rPr>
            <w:rStyle w:val="Hyperlink"/>
          </w:rPr>
          <w:t>Recommendations</w:t>
        </w:r>
        <w:r w:rsidR="00E16B9C">
          <w:rPr>
            <w:webHidden/>
          </w:rPr>
          <w:tab/>
        </w:r>
        <w:r w:rsidR="00E16B9C">
          <w:rPr>
            <w:webHidden/>
          </w:rPr>
          <w:fldChar w:fldCharType="begin"/>
        </w:r>
        <w:r w:rsidR="00E16B9C">
          <w:rPr>
            <w:webHidden/>
          </w:rPr>
          <w:instrText xml:space="preserve"> PAGEREF _Toc67495693 \h </w:instrText>
        </w:r>
        <w:r w:rsidR="00E16B9C">
          <w:rPr>
            <w:webHidden/>
          </w:rPr>
        </w:r>
        <w:r w:rsidR="00E16B9C">
          <w:rPr>
            <w:webHidden/>
          </w:rPr>
          <w:fldChar w:fldCharType="separate"/>
        </w:r>
        <w:r w:rsidR="00E16B9C">
          <w:rPr>
            <w:webHidden/>
          </w:rPr>
          <w:t>4</w:t>
        </w:r>
        <w:r w:rsidR="00E16B9C">
          <w:rPr>
            <w:webHidden/>
          </w:rPr>
          <w:fldChar w:fldCharType="end"/>
        </w:r>
      </w:hyperlink>
    </w:p>
    <w:p w14:paraId="7989B652" w14:textId="4F2B66E3" w:rsidR="00E16B9C" w:rsidRDefault="00225F83">
      <w:pPr>
        <w:pStyle w:val="TOC1"/>
        <w:rPr>
          <w:rFonts w:asciiTheme="minorHAnsi" w:eastAsiaTheme="minorEastAsia" w:hAnsiTheme="minorHAnsi" w:cstheme="minorBidi"/>
          <w:b w:val="0"/>
          <w:sz w:val="22"/>
          <w:szCs w:val="22"/>
        </w:rPr>
      </w:pPr>
      <w:hyperlink w:anchor="_Toc67495694" w:history="1">
        <w:r w:rsidR="00E16B9C" w:rsidRPr="0007242B">
          <w:rPr>
            <w:rStyle w:val="Hyperlink"/>
          </w:rPr>
          <w:t>3</w:t>
        </w:r>
        <w:r w:rsidR="00E16B9C">
          <w:rPr>
            <w:rFonts w:asciiTheme="minorHAnsi" w:eastAsiaTheme="minorEastAsia" w:hAnsiTheme="minorHAnsi" w:cstheme="minorBidi"/>
            <w:b w:val="0"/>
            <w:sz w:val="22"/>
            <w:szCs w:val="22"/>
          </w:rPr>
          <w:tab/>
        </w:r>
        <w:r w:rsidR="00E16B9C" w:rsidRPr="0007242B">
          <w:rPr>
            <w:rStyle w:val="Hyperlink"/>
          </w:rPr>
          <w:t>Background</w:t>
        </w:r>
        <w:r w:rsidR="00E16B9C">
          <w:rPr>
            <w:webHidden/>
          </w:rPr>
          <w:tab/>
        </w:r>
        <w:r w:rsidR="00E16B9C">
          <w:rPr>
            <w:webHidden/>
          </w:rPr>
          <w:fldChar w:fldCharType="begin"/>
        </w:r>
        <w:r w:rsidR="00E16B9C">
          <w:rPr>
            <w:webHidden/>
          </w:rPr>
          <w:instrText xml:space="preserve"> PAGEREF _Toc67495694 \h </w:instrText>
        </w:r>
        <w:r w:rsidR="00E16B9C">
          <w:rPr>
            <w:webHidden/>
          </w:rPr>
        </w:r>
        <w:r w:rsidR="00E16B9C">
          <w:rPr>
            <w:webHidden/>
          </w:rPr>
          <w:fldChar w:fldCharType="separate"/>
        </w:r>
        <w:r w:rsidR="00E16B9C">
          <w:rPr>
            <w:webHidden/>
          </w:rPr>
          <w:t>5</w:t>
        </w:r>
        <w:r w:rsidR="00E16B9C">
          <w:rPr>
            <w:webHidden/>
          </w:rPr>
          <w:fldChar w:fldCharType="end"/>
        </w:r>
      </w:hyperlink>
    </w:p>
    <w:p w14:paraId="3324728F" w14:textId="6A8C3A2C" w:rsidR="00E16B9C" w:rsidRDefault="00225F83">
      <w:pPr>
        <w:pStyle w:val="TOC1"/>
        <w:rPr>
          <w:rFonts w:asciiTheme="minorHAnsi" w:eastAsiaTheme="minorEastAsia" w:hAnsiTheme="minorHAnsi" w:cstheme="minorBidi"/>
          <w:b w:val="0"/>
          <w:sz w:val="22"/>
          <w:szCs w:val="22"/>
        </w:rPr>
      </w:pPr>
      <w:hyperlink w:anchor="_Toc67495695" w:history="1">
        <w:r w:rsidR="00E16B9C" w:rsidRPr="0007242B">
          <w:rPr>
            <w:rStyle w:val="Hyperlink"/>
          </w:rPr>
          <w:t>4</w:t>
        </w:r>
        <w:r w:rsidR="00E16B9C">
          <w:rPr>
            <w:rFonts w:asciiTheme="minorHAnsi" w:eastAsiaTheme="minorEastAsia" w:hAnsiTheme="minorHAnsi" w:cstheme="minorBidi"/>
            <w:b w:val="0"/>
            <w:sz w:val="22"/>
            <w:szCs w:val="22"/>
          </w:rPr>
          <w:tab/>
        </w:r>
        <w:r w:rsidR="00E16B9C" w:rsidRPr="0007242B">
          <w:rPr>
            <w:rStyle w:val="Hyperlink"/>
          </w:rPr>
          <w:t>Duration of declarations</w:t>
        </w:r>
        <w:r w:rsidR="00E16B9C">
          <w:rPr>
            <w:webHidden/>
          </w:rPr>
          <w:tab/>
        </w:r>
        <w:r w:rsidR="00E16B9C">
          <w:rPr>
            <w:webHidden/>
          </w:rPr>
          <w:fldChar w:fldCharType="begin"/>
        </w:r>
        <w:r w:rsidR="00E16B9C">
          <w:rPr>
            <w:webHidden/>
          </w:rPr>
          <w:instrText xml:space="preserve"> PAGEREF _Toc67495695 \h </w:instrText>
        </w:r>
        <w:r w:rsidR="00E16B9C">
          <w:rPr>
            <w:webHidden/>
          </w:rPr>
        </w:r>
        <w:r w:rsidR="00E16B9C">
          <w:rPr>
            <w:webHidden/>
          </w:rPr>
          <w:fldChar w:fldCharType="separate"/>
        </w:r>
        <w:r w:rsidR="00E16B9C">
          <w:rPr>
            <w:webHidden/>
          </w:rPr>
          <w:t>8</w:t>
        </w:r>
        <w:r w:rsidR="00E16B9C">
          <w:rPr>
            <w:webHidden/>
          </w:rPr>
          <w:fldChar w:fldCharType="end"/>
        </w:r>
      </w:hyperlink>
    </w:p>
    <w:p w14:paraId="184B9AB7" w14:textId="4FB3E38F" w:rsidR="00E16B9C" w:rsidRDefault="00225F83">
      <w:pPr>
        <w:pStyle w:val="TOC1"/>
        <w:rPr>
          <w:rFonts w:asciiTheme="minorHAnsi" w:eastAsiaTheme="minorEastAsia" w:hAnsiTheme="minorHAnsi" w:cstheme="minorBidi"/>
          <w:b w:val="0"/>
          <w:sz w:val="22"/>
          <w:szCs w:val="22"/>
        </w:rPr>
      </w:pPr>
      <w:hyperlink w:anchor="_Toc67495696" w:history="1">
        <w:r w:rsidR="00E16B9C" w:rsidRPr="0007242B">
          <w:rPr>
            <w:rStyle w:val="Hyperlink"/>
          </w:rPr>
          <w:t>5</w:t>
        </w:r>
        <w:r w:rsidR="00E16B9C">
          <w:rPr>
            <w:rFonts w:asciiTheme="minorHAnsi" w:eastAsiaTheme="minorEastAsia" w:hAnsiTheme="minorHAnsi" w:cstheme="minorBidi"/>
            <w:b w:val="0"/>
            <w:sz w:val="22"/>
            <w:szCs w:val="22"/>
          </w:rPr>
          <w:tab/>
        </w:r>
        <w:r w:rsidR="00E16B9C" w:rsidRPr="0007242B">
          <w:rPr>
            <w:rStyle w:val="Hyperlink"/>
          </w:rPr>
          <w:t>Definitions of ‘emergency’ and ‘Commonwealth interests’</w:t>
        </w:r>
        <w:r w:rsidR="00E16B9C">
          <w:rPr>
            <w:webHidden/>
          </w:rPr>
          <w:tab/>
        </w:r>
        <w:r w:rsidR="00E16B9C">
          <w:rPr>
            <w:webHidden/>
          </w:rPr>
          <w:fldChar w:fldCharType="begin"/>
        </w:r>
        <w:r w:rsidR="00E16B9C">
          <w:rPr>
            <w:webHidden/>
          </w:rPr>
          <w:instrText xml:space="preserve"> PAGEREF _Toc67495696 \h </w:instrText>
        </w:r>
        <w:r w:rsidR="00E16B9C">
          <w:rPr>
            <w:webHidden/>
          </w:rPr>
        </w:r>
        <w:r w:rsidR="00E16B9C">
          <w:rPr>
            <w:webHidden/>
          </w:rPr>
          <w:fldChar w:fldCharType="separate"/>
        </w:r>
        <w:r w:rsidR="00E16B9C">
          <w:rPr>
            <w:webHidden/>
          </w:rPr>
          <w:t>10</w:t>
        </w:r>
        <w:r w:rsidR="00E16B9C">
          <w:rPr>
            <w:webHidden/>
          </w:rPr>
          <w:fldChar w:fldCharType="end"/>
        </w:r>
      </w:hyperlink>
    </w:p>
    <w:p w14:paraId="277B0BE4" w14:textId="7FCF705C" w:rsidR="00E16B9C" w:rsidRDefault="00225F83">
      <w:pPr>
        <w:pStyle w:val="TOC1"/>
        <w:rPr>
          <w:rFonts w:asciiTheme="minorHAnsi" w:eastAsiaTheme="minorEastAsia" w:hAnsiTheme="minorHAnsi" w:cstheme="minorBidi"/>
          <w:b w:val="0"/>
          <w:sz w:val="22"/>
          <w:szCs w:val="22"/>
        </w:rPr>
      </w:pPr>
      <w:hyperlink w:anchor="_Toc67495697" w:history="1">
        <w:r w:rsidR="00E16B9C" w:rsidRPr="0007242B">
          <w:rPr>
            <w:rStyle w:val="Hyperlink"/>
          </w:rPr>
          <w:t>6</w:t>
        </w:r>
        <w:r w:rsidR="00E16B9C">
          <w:rPr>
            <w:rFonts w:asciiTheme="minorHAnsi" w:eastAsiaTheme="minorEastAsia" w:hAnsiTheme="minorHAnsi" w:cstheme="minorBidi"/>
            <w:b w:val="0"/>
            <w:sz w:val="22"/>
            <w:szCs w:val="22"/>
          </w:rPr>
          <w:tab/>
        </w:r>
        <w:r w:rsidR="00E16B9C" w:rsidRPr="0007242B">
          <w:rPr>
            <w:rStyle w:val="Hyperlink"/>
          </w:rPr>
          <w:t>Modification of primary legislation through delegated legislation</w:t>
        </w:r>
        <w:r w:rsidR="00E16B9C">
          <w:rPr>
            <w:webHidden/>
          </w:rPr>
          <w:tab/>
        </w:r>
        <w:r w:rsidR="00E16B9C">
          <w:rPr>
            <w:webHidden/>
          </w:rPr>
          <w:fldChar w:fldCharType="begin"/>
        </w:r>
        <w:r w:rsidR="00E16B9C">
          <w:rPr>
            <w:webHidden/>
          </w:rPr>
          <w:instrText xml:space="preserve"> PAGEREF _Toc67495697 \h </w:instrText>
        </w:r>
        <w:r w:rsidR="00E16B9C">
          <w:rPr>
            <w:webHidden/>
          </w:rPr>
        </w:r>
        <w:r w:rsidR="00E16B9C">
          <w:rPr>
            <w:webHidden/>
          </w:rPr>
          <w:fldChar w:fldCharType="separate"/>
        </w:r>
        <w:r w:rsidR="00E16B9C">
          <w:rPr>
            <w:webHidden/>
          </w:rPr>
          <w:t>14</w:t>
        </w:r>
        <w:r w:rsidR="00E16B9C">
          <w:rPr>
            <w:webHidden/>
          </w:rPr>
          <w:fldChar w:fldCharType="end"/>
        </w:r>
      </w:hyperlink>
    </w:p>
    <w:p w14:paraId="3683E027" w14:textId="3953F805" w:rsidR="00E16B9C" w:rsidRDefault="00225F83">
      <w:pPr>
        <w:pStyle w:val="TOC1"/>
        <w:rPr>
          <w:rFonts w:asciiTheme="minorHAnsi" w:eastAsiaTheme="minorEastAsia" w:hAnsiTheme="minorHAnsi" w:cstheme="minorBidi"/>
          <w:b w:val="0"/>
          <w:sz w:val="22"/>
          <w:szCs w:val="22"/>
        </w:rPr>
      </w:pPr>
      <w:hyperlink w:anchor="_Toc67495698" w:history="1">
        <w:r w:rsidR="00E16B9C" w:rsidRPr="0007242B">
          <w:rPr>
            <w:rStyle w:val="Hyperlink"/>
          </w:rPr>
          <w:t>7</w:t>
        </w:r>
        <w:r w:rsidR="00E16B9C">
          <w:rPr>
            <w:rFonts w:asciiTheme="minorHAnsi" w:eastAsiaTheme="minorEastAsia" w:hAnsiTheme="minorHAnsi" w:cstheme="minorBidi"/>
            <w:b w:val="0"/>
            <w:sz w:val="22"/>
            <w:szCs w:val="22"/>
          </w:rPr>
          <w:tab/>
        </w:r>
        <w:r w:rsidR="00E16B9C" w:rsidRPr="0007242B">
          <w:rPr>
            <w:rStyle w:val="Hyperlink"/>
          </w:rPr>
          <w:t>Exemptions from disallowance</w:t>
        </w:r>
        <w:r w:rsidR="00E16B9C">
          <w:rPr>
            <w:webHidden/>
          </w:rPr>
          <w:tab/>
        </w:r>
        <w:r w:rsidR="00E16B9C">
          <w:rPr>
            <w:webHidden/>
          </w:rPr>
          <w:fldChar w:fldCharType="begin"/>
        </w:r>
        <w:r w:rsidR="00E16B9C">
          <w:rPr>
            <w:webHidden/>
          </w:rPr>
          <w:instrText xml:space="preserve"> PAGEREF _Toc67495698 \h </w:instrText>
        </w:r>
        <w:r w:rsidR="00E16B9C">
          <w:rPr>
            <w:webHidden/>
          </w:rPr>
        </w:r>
        <w:r w:rsidR="00E16B9C">
          <w:rPr>
            <w:webHidden/>
          </w:rPr>
          <w:fldChar w:fldCharType="separate"/>
        </w:r>
        <w:r w:rsidR="00E16B9C">
          <w:rPr>
            <w:webHidden/>
          </w:rPr>
          <w:t>17</w:t>
        </w:r>
        <w:r w:rsidR="00E16B9C">
          <w:rPr>
            <w:webHidden/>
          </w:rPr>
          <w:fldChar w:fldCharType="end"/>
        </w:r>
      </w:hyperlink>
    </w:p>
    <w:p w14:paraId="0CDD372F" w14:textId="77777777" w:rsidR="005330AE" w:rsidRDefault="002750B1" w:rsidP="005330AE">
      <w:pPr>
        <w:pStyle w:val="HeaderDocumentDate"/>
      </w:pPr>
      <w:r w:rsidRPr="000465F1">
        <w:fldChar w:fldCharType="end"/>
      </w:r>
      <w:bookmarkStart w:id="12" w:name="_Toc207761830"/>
      <w:bookmarkStart w:id="13" w:name="_Toc209578266"/>
      <w:bookmarkStart w:id="14" w:name="_Toc209941766"/>
    </w:p>
    <w:p w14:paraId="606FD2A2" w14:textId="77777777" w:rsidR="005330AE" w:rsidRDefault="005330AE">
      <w:pPr>
        <w:rPr>
          <w:rFonts w:ascii="Open Sans" w:eastAsia="MS Mincho" w:hAnsi="Open Sans" w:cs="Times New Roman"/>
          <w:b/>
          <w:bCs/>
          <w:sz w:val="36"/>
          <w:szCs w:val="28"/>
          <w:lang w:eastAsia="en-AU"/>
        </w:rPr>
      </w:pPr>
      <w:r>
        <w:br w:type="page"/>
      </w:r>
    </w:p>
    <w:p w14:paraId="4BEDD5AA" w14:textId="46840227" w:rsidR="002750B1" w:rsidRDefault="002750B1" w:rsidP="002750B1">
      <w:pPr>
        <w:pStyle w:val="Heading1"/>
      </w:pPr>
      <w:bookmarkStart w:id="15" w:name="_Toc67495692"/>
      <w:r w:rsidRPr="009E08D1">
        <w:lastRenderedPageBreak/>
        <w:t>Introduction</w:t>
      </w:r>
      <w:bookmarkEnd w:id="12"/>
      <w:bookmarkEnd w:id="13"/>
      <w:bookmarkEnd w:id="14"/>
      <w:bookmarkEnd w:id="15"/>
    </w:p>
    <w:p w14:paraId="7E2AAB9A" w14:textId="0E832C57" w:rsidR="002750B1" w:rsidRPr="0036121D" w:rsidRDefault="002750B1" w:rsidP="002750B1">
      <w:pPr>
        <w:pStyle w:val="ListNumber"/>
        <w:numPr>
          <w:ilvl w:val="0"/>
          <w:numId w:val="3"/>
        </w:numPr>
        <w:tabs>
          <w:tab w:val="num" w:pos="993"/>
          <w:tab w:val="left" w:pos="1418"/>
        </w:tabs>
        <w:spacing w:before="240" w:after="240"/>
        <w:ind w:left="709" w:hanging="567"/>
        <w:rPr>
          <w:rFonts w:cs="Open Sans"/>
        </w:rPr>
      </w:pPr>
      <w:r w:rsidRPr="00BF2102">
        <w:rPr>
          <w:rFonts w:cs="Open Sans"/>
        </w:rPr>
        <w:t xml:space="preserve">The Australian Human Rights Commission </w:t>
      </w:r>
      <w:r w:rsidR="00972C72">
        <w:rPr>
          <w:rFonts w:cs="Open Sans"/>
        </w:rPr>
        <w:t xml:space="preserve">(Commission) </w:t>
      </w:r>
      <w:r w:rsidRPr="00BF2102">
        <w:rPr>
          <w:rFonts w:cs="Open Sans"/>
        </w:rPr>
        <w:t>make</w:t>
      </w:r>
      <w:r>
        <w:rPr>
          <w:rFonts w:cs="Open Sans"/>
        </w:rPr>
        <w:t>s</w:t>
      </w:r>
      <w:r w:rsidRPr="00BF2102">
        <w:rPr>
          <w:rFonts w:cs="Open Sans"/>
        </w:rPr>
        <w:t xml:space="preserve"> this submission to</w:t>
      </w:r>
      <w:r>
        <w:rPr>
          <w:rFonts w:cs="Open Sans"/>
        </w:rPr>
        <w:t xml:space="preserve"> the </w:t>
      </w:r>
      <w:r w:rsidR="007A4A29">
        <w:t xml:space="preserve">Senate Legal and Constitutional Affairs Legislation Committee (SLCALC) in relation to its review of </w:t>
      </w:r>
      <w:r w:rsidR="00F57214">
        <w:t xml:space="preserve">the </w:t>
      </w:r>
      <w:r w:rsidR="007A4A29">
        <w:t xml:space="preserve">operation of the </w:t>
      </w:r>
      <w:r w:rsidR="007A4A29" w:rsidRPr="007A4A29">
        <w:rPr>
          <w:i/>
          <w:iCs/>
        </w:rPr>
        <w:t>National Emergency Declaration Act 2020</w:t>
      </w:r>
      <w:r w:rsidR="007A4A29">
        <w:t xml:space="preserve"> (Cth)</w:t>
      </w:r>
      <w:r w:rsidR="00731EA2">
        <w:t xml:space="preserve"> (the Act).</w:t>
      </w:r>
    </w:p>
    <w:p w14:paraId="7CF6340A" w14:textId="2FD7440C" w:rsidR="007A4A29" w:rsidRDefault="00731EA2" w:rsidP="002750B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This is a statutory review </w:t>
      </w:r>
      <w:r w:rsidR="008B33C0">
        <w:rPr>
          <w:rFonts w:cs="Open Sans"/>
          <w:color w:val="000000" w:themeColor="text1"/>
        </w:rPr>
        <w:t xml:space="preserve">of </w:t>
      </w:r>
      <w:r>
        <w:rPr>
          <w:rFonts w:cs="Open Sans"/>
          <w:color w:val="000000" w:themeColor="text1"/>
        </w:rPr>
        <w:t xml:space="preserve">the </w:t>
      </w:r>
      <w:r w:rsidRPr="00731EA2">
        <w:rPr>
          <w:rFonts w:cs="Open Sans"/>
          <w:color w:val="000000" w:themeColor="text1"/>
        </w:rPr>
        <w:t>operation of</w:t>
      </w:r>
      <w:r>
        <w:rPr>
          <w:rFonts w:cs="Open Sans"/>
          <w:color w:val="000000" w:themeColor="text1"/>
        </w:rPr>
        <w:t xml:space="preserve"> the Act</w:t>
      </w:r>
      <w:r w:rsidR="008B33C0">
        <w:rPr>
          <w:rFonts w:cs="Open Sans"/>
          <w:color w:val="000000" w:themeColor="text1"/>
        </w:rPr>
        <w:t xml:space="preserve"> pursuant to s 18(a) of the Act</w:t>
      </w:r>
      <w:r>
        <w:rPr>
          <w:rFonts w:cs="Open Sans"/>
          <w:color w:val="000000" w:themeColor="text1"/>
        </w:rPr>
        <w:t>. The SLCALC is required to conduct its review and report its findings to the Senate by 30 June 2021.</w:t>
      </w:r>
      <w:r w:rsidR="00F57214">
        <w:rPr>
          <w:rFonts w:cs="Open Sans"/>
          <w:color w:val="000000" w:themeColor="text1"/>
        </w:rPr>
        <w:t xml:space="preserve"> </w:t>
      </w:r>
    </w:p>
    <w:p w14:paraId="5B19207E" w14:textId="29E609C4" w:rsidR="00731EA2" w:rsidRDefault="00731EA2" w:rsidP="002750B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Commission welcomes the opportunity to make a submission to this review. </w:t>
      </w:r>
    </w:p>
    <w:p w14:paraId="49BFD291" w14:textId="6D92BE66" w:rsidR="008B33C0" w:rsidRDefault="000E00C7" w:rsidP="002750B1">
      <w:pPr>
        <w:pStyle w:val="ListNumber"/>
        <w:numPr>
          <w:ilvl w:val="0"/>
          <w:numId w:val="3"/>
        </w:numPr>
        <w:tabs>
          <w:tab w:val="num" w:pos="993"/>
          <w:tab w:val="left" w:pos="1418"/>
        </w:tabs>
        <w:spacing w:after="240"/>
        <w:ind w:left="709" w:hanging="567"/>
        <w:rPr>
          <w:rFonts w:cs="Open Sans"/>
          <w:color w:val="000000" w:themeColor="text1"/>
        </w:rPr>
      </w:pPr>
      <w:r w:rsidRPr="000E00C7">
        <w:rPr>
          <w:rFonts w:cs="Open Sans"/>
          <w:color w:val="000000" w:themeColor="text1"/>
        </w:rPr>
        <w:t xml:space="preserve">States of emergency in Australia are </w:t>
      </w:r>
      <w:r w:rsidR="009B7FC7">
        <w:rPr>
          <w:rFonts w:cs="Open Sans"/>
          <w:color w:val="000000" w:themeColor="text1"/>
        </w:rPr>
        <w:t xml:space="preserve">primarily </w:t>
      </w:r>
      <w:r w:rsidRPr="000E00C7">
        <w:rPr>
          <w:rFonts w:cs="Open Sans"/>
          <w:color w:val="000000" w:themeColor="text1"/>
        </w:rPr>
        <w:t xml:space="preserve">managed by the governments of the </w:t>
      </w:r>
      <w:r w:rsidR="00C80BE7">
        <w:rPr>
          <w:rFonts w:cs="Open Sans"/>
          <w:color w:val="000000" w:themeColor="text1"/>
        </w:rPr>
        <w:t>S</w:t>
      </w:r>
      <w:r w:rsidRPr="000E00C7">
        <w:rPr>
          <w:rFonts w:cs="Open Sans"/>
          <w:color w:val="000000" w:themeColor="text1"/>
        </w:rPr>
        <w:t xml:space="preserve">tates and </w:t>
      </w:r>
      <w:r w:rsidR="00C80BE7">
        <w:rPr>
          <w:rFonts w:cs="Open Sans"/>
          <w:color w:val="000000" w:themeColor="text1"/>
        </w:rPr>
        <w:t>T</w:t>
      </w:r>
      <w:r w:rsidRPr="000E00C7">
        <w:rPr>
          <w:rFonts w:cs="Open Sans"/>
          <w:color w:val="000000" w:themeColor="text1"/>
        </w:rPr>
        <w:t>erritories of Australia. However, the Commonwealth has powers and functions in various Commonwealth laws which may be exercised during states of emergency</w:t>
      </w:r>
      <w:r w:rsidR="00D02130">
        <w:rPr>
          <w:rFonts w:cs="Open Sans"/>
          <w:color w:val="000000" w:themeColor="text1"/>
        </w:rPr>
        <w:t xml:space="preserve"> </w:t>
      </w:r>
      <w:r w:rsidR="008B33C0">
        <w:rPr>
          <w:rFonts w:cs="Open Sans"/>
          <w:color w:val="000000" w:themeColor="text1"/>
        </w:rPr>
        <w:t xml:space="preserve">to assist the </w:t>
      </w:r>
      <w:r w:rsidR="00C80BE7">
        <w:rPr>
          <w:rFonts w:cs="Open Sans"/>
          <w:color w:val="000000" w:themeColor="text1"/>
        </w:rPr>
        <w:t>S</w:t>
      </w:r>
      <w:r w:rsidR="008B33C0">
        <w:rPr>
          <w:rFonts w:cs="Open Sans"/>
          <w:color w:val="000000" w:themeColor="text1"/>
        </w:rPr>
        <w:t xml:space="preserve">tates and </w:t>
      </w:r>
      <w:r w:rsidR="00C80BE7">
        <w:rPr>
          <w:rFonts w:cs="Open Sans"/>
          <w:color w:val="000000" w:themeColor="text1"/>
        </w:rPr>
        <w:t>T</w:t>
      </w:r>
      <w:r w:rsidR="008B33C0">
        <w:rPr>
          <w:rFonts w:cs="Open Sans"/>
          <w:color w:val="000000" w:themeColor="text1"/>
        </w:rPr>
        <w:t>erritories in responding to and managing the emergency</w:t>
      </w:r>
      <w:r w:rsidRPr="000E00C7">
        <w:rPr>
          <w:rFonts w:cs="Open Sans"/>
          <w:color w:val="000000" w:themeColor="text1"/>
        </w:rPr>
        <w:t xml:space="preserve">. </w:t>
      </w:r>
    </w:p>
    <w:p w14:paraId="79115E92" w14:textId="319F539B" w:rsidR="005059B0" w:rsidRDefault="000E3777" w:rsidP="002750B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Act aims </w:t>
      </w:r>
      <w:r w:rsidR="000E00C7" w:rsidRPr="000E00C7">
        <w:rPr>
          <w:rFonts w:cs="Open Sans"/>
          <w:color w:val="000000" w:themeColor="text1"/>
        </w:rPr>
        <w:t xml:space="preserve">to clarify and consolidate </w:t>
      </w:r>
      <w:r w:rsidR="008B33C0">
        <w:rPr>
          <w:rFonts w:cs="Open Sans"/>
          <w:color w:val="000000" w:themeColor="text1"/>
        </w:rPr>
        <w:t xml:space="preserve">the Commonwealth’s various emergency </w:t>
      </w:r>
      <w:r w:rsidR="000E00C7" w:rsidRPr="000E00C7">
        <w:rPr>
          <w:rFonts w:cs="Open Sans"/>
          <w:color w:val="000000" w:themeColor="text1"/>
        </w:rPr>
        <w:t xml:space="preserve">powers and functions </w:t>
      </w:r>
      <w:r w:rsidR="008B33C0">
        <w:rPr>
          <w:rFonts w:cs="Open Sans"/>
          <w:color w:val="000000" w:themeColor="text1"/>
        </w:rPr>
        <w:t>and establish a framework by which the Governor-General</w:t>
      </w:r>
      <w:r w:rsidR="00396B70">
        <w:rPr>
          <w:rFonts w:cs="Open Sans"/>
          <w:color w:val="000000" w:themeColor="text1"/>
        </w:rPr>
        <w:t xml:space="preserve">, on </w:t>
      </w:r>
      <w:r w:rsidR="00162F3A">
        <w:rPr>
          <w:rFonts w:cs="Open Sans"/>
          <w:color w:val="000000" w:themeColor="text1"/>
        </w:rPr>
        <w:t xml:space="preserve">the </w:t>
      </w:r>
      <w:r w:rsidR="00396B70">
        <w:rPr>
          <w:rFonts w:cs="Open Sans"/>
          <w:color w:val="000000" w:themeColor="text1"/>
        </w:rPr>
        <w:t xml:space="preserve">advice </w:t>
      </w:r>
      <w:r w:rsidR="00162F3A">
        <w:rPr>
          <w:rFonts w:cs="Open Sans"/>
          <w:color w:val="000000" w:themeColor="text1"/>
        </w:rPr>
        <w:t>of</w:t>
      </w:r>
      <w:r w:rsidR="00396B70">
        <w:rPr>
          <w:rFonts w:cs="Open Sans"/>
          <w:color w:val="000000" w:themeColor="text1"/>
        </w:rPr>
        <w:t xml:space="preserve"> the Prime Minister</w:t>
      </w:r>
      <w:r w:rsidR="00DA4FA4">
        <w:rPr>
          <w:rFonts w:cs="Open Sans"/>
          <w:color w:val="000000" w:themeColor="text1"/>
        </w:rPr>
        <w:t>,</w:t>
      </w:r>
      <w:r w:rsidR="008B33C0">
        <w:rPr>
          <w:rFonts w:cs="Open Sans"/>
          <w:color w:val="000000" w:themeColor="text1"/>
        </w:rPr>
        <w:t xml:space="preserve"> </w:t>
      </w:r>
      <w:r w:rsidR="00E322B1">
        <w:rPr>
          <w:rFonts w:cs="Open Sans"/>
          <w:color w:val="000000" w:themeColor="text1"/>
        </w:rPr>
        <w:t xml:space="preserve">may </w:t>
      </w:r>
      <w:r w:rsidR="00891D69">
        <w:rPr>
          <w:rFonts w:cs="Open Sans"/>
          <w:color w:val="000000" w:themeColor="text1"/>
        </w:rPr>
        <w:t>declare</w:t>
      </w:r>
      <w:r w:rsidR="008B33C0">
        <w:rPr>
          <w:rFonts w:cs="Open Sans"/>
          <w:color w:val="000000" w:themeColor="text1"/>
        </w:rPr>
        <w:t xml:space="preserve"> a national emergency</w:t>
      </w:r>
      <w:r w:rsidR="00891D69">
        <w:rPr>
          <w:rFonts w:cs="Open Sans"/>
          <w:color w:val="000000" w:themeColor="text1"/>
        </w:rPr>
        <w:t xml:space="preserve">, triggering the Commonwealth’s ability to exercise its emergency powers and perform its emergency functions. </w:t>
      </w:r>
      <w:r w:rsidR="00B0527C">
        <w:rPr>
          <w:rFonts w:cs="Open Sans"/>
          <w:color w:val="000000" w:themeColor="text1"/>
        </w:rPr>
        <w:t xml:space="preserve">The Prime Minister must be satisfied of certain criteria prescribed in the Act before a national emergency may be declared. </w:t>
      </w:r>
    </w:p>
    <w:p w14:paraId="58C8D54A" w14:textId="6BC69B9A" w:rsidR="00CF42D6" w:rsidRPr="00530FDB" w:rsidRDefault="00651179" w:rsidP="00BB0F16">
      <w:pPr>
        <w:pStyle w:val="ListNumber"/>
        <w:numPr>
          <w:ilvl w:val="0"/>
          <w:numId w:val="3"/>
        </w:numPr>
        <w:tabs>
          <w:tab w:val="num" w:pos="993"/>
          <w:tab w:val="left" w:pos="1418"/>
        </w:tabs>
        <w:spacing w:after="240"/>
        <w:ind w:left="709" w:hanging="567"/>
        <w:rPr>
          <w:rFonts w:cs="Open Sans"/>
          <w:color w:val="000000" w:themeColor="text1"/>
        </w:rPr>
      </w:pPr>
      <w:r w:rsidRPr="00530FDB">
        <w:rPr>
          <w:rFonts w:cs="Open Sans"/>
          <w:color w:val="000000" w:themeColor="text1"/>
        </w:rPr>
        <w:t>T</w:t>
      </w:r>
      <w:r w:rsidR="000E3777" w:rsidRPr="00530FDB">
        <w:rPr>
          <w:rFonts w:cs="Open Sans"/>
          <w:color w:val="000000" w:themeColor="text1"/>
        </w:rPr>
        <w:t xml:space="preserve">he Commission </w:t>
      </w:r>
      <w:r w:rsidR="00891D69" w:rsidRPr="00530FDB">
        <w:rPr>
          <w:rFonts w:cs="Open Sans"/>
          <w:color w:val="000000" w:themeColor="text1"/>
        </w:rPr>
        <w:t>welcomes clarification of the Commonwealth’s powers during states of national emergency</w:t>
      </w:r>
      <w:r w:rsidR="00A87BDC">
        <w:rPr>
          <w:rFonts w:cs="Open Sans"/>
          <w:color w:val="000000" w:themeColor="text1"/>
        </w:rPr>
        <w:t>.</w:t>
      </w:r>
      <w:r w:rsidR="00891D69" w:rsidRPr="00530FDB">
        <w:rPr>
          <w:rFonts w:cs="Open Sans"/>
          <w:color w:val="000000" w:themeColor="text1"/>
        </w:rPr>
        <w:t xml:space="preserve"> </w:t>
      </w:r>
      <w:r w:rsidR="00A87BDC">
        <w:rPr>
          <w:rFonts w:cs="Open Sans"/>
          <w:color w:val="000000" w:themeColor="text1"/>
        </w:rPr>
        <w:t>H</w:t>
      </w:r>
      <w:r w:rsidR="00891D69" w:rsidRPr="00530FDB">
        <w:rPr>
          <w:rFonts w:cs="Open Sans"/>
          <w:color w:val="000000" w:themeColor="text1"/>
        </w:rPr>
        <w:t>owever</w:t>
      </w:r>
      <w:r w:rsidR="00A87BDC">
        <w:rPr>
          <w:rFonts w:cs="Open Sans"/>
          <w:color w:val="000000" w:themeColor="text1"/>
        </w:rPr>
        <w:t>, the Commission</w:t>
      </w:r>
      <w:r w:rsidR="00891D69" w:rsidRPr="00530FDB">
        <w:rPr>
          <w:rFonts w:cs="Open Sans"/>
          <w:color w:val="000000" w:themeColor="text1"/>
        </w:rPr>
        <w:t xml:space="preserve"> is concerned that the Act confers </w:t>
      </w:r>
      <w:r w:rsidR="00873931">
        <w:rPr>
          <w:rFonts w:cs="Open Sans"/>
          <w:color w:val="000000" w:themeColor="text1"/>
        </w:rPr>
        <w:t>largely uncontrol</w:t>
      </w:r>
      <w:r w:rsidR="00762920">
        <w:rPr>
          <w:rFonts w:cs="Open Sans"/>
          <w:color w:val="000000" w:themeColor="text1"/>
        </w:rPr>
        <w:t>l</w:t>
      </w:r>
      <w:r w:rsidR="00343E78">
        <w:rPr>
          <w:rFonts w:cs="Open Sans"/>
          <w:color w:val="000000" w:themeColor="text1"/>
        </w:rPr>
        <w:t xml:space="preserve">ed </w:t>
      </w:r>
      <w:r w:rsidR="00891D69" w:rsidRPr="00530FDB">
        <w:rPr>
          <w:rFonts w:cs="Open Sans"/>
          <w:color w:val="000000" w:themeColor="text1"/>
        </w:rPr>
        <w:t xml:space="preserve">power on the </w:t>
      </w:r>
      <w:r w:rsidR="00E322B1">
        <w:rPr>
          <w:rFonts w:cs="Open Sans"/>
          <w:color w:val="000000" w:themeColor="text1"/>
        </w:rPr>
        <w:t>E</w:t>
      </w:r>
      <w:r w:rsidR="00891D69" w:rsidRPr="00530FDB">
        <w:rPr>
          <w:rFonts w:cs="Open Sans"/>
          <w:color w:val="000000" w:themeColor="text1"/>
        </w:rPr>
        <w:t xml:space="preserve">xecutive </w:t>
      </w:r>
      <w:r w:rsidR="0049237B" w:rsidRPr="00530FDB">
        <w:rPr>
          <w:rFonts w:cs="Open Sans"/>
          <w:color w:val="000000" w:themeColor="text1"/>
        </w:rPr>
        <w:t>during a period in which a national emergency declaration is in force</w:t>
      </w:r>
      <w:r w:rsidR="00343E78">
        <w:rPr>
          <w:rFonts w:cs="Open Sans"/>
          <w:color w:val="000000" w:themeColor="text1"/>
        </w:rPr>
        <w:t xml:space="preserve">. That is, </w:t>
      </w:r>
      <w:r w:rsidR="002F16B1">
        <w:rPr>
          <w:rFonts w:cs="Open Sans"/>
          <w:color w:val="000000" w:themeColor="text1"/>
        </w:rPr>
        <w:t>the Act does not provide sufficiently</w:t>
      </w:r>
      <w:r w:rsidR="00211C7B">
        <w:rPr>
          <w:rFonts w:cs="Open Sans"/>
          <w:color w:val="000000" w:themeColor="text1"/>
        </w:rPr>
        <w:t xml:space="preserve"> </w:t>
      </w:r>
      <w:r w:rsidR="00E322B1">
        <w:rPr>
          <w:rFonts w:cs="Open Sans"/>
          <w:color w:val="000000" w:themeColor="text1"/>
        </w:rPr>
        <w:t xml:space="preserve">for scrutiny or </w:t>
      </w:r>
      <w:r w:rsidR="0049237B" w:rsidRPr="00530FDB">
        <w:rPr>
          <w:rFonts w:cs="Open Sans"/>
          <w:color w:val="000000" w:themeColor="text1"/>
        </w:rPr>
        <w:t xml:space="preserve">accountability. </w:t>
      </w:r>
      <w:r w:rsidR="009D4714">
        <w:t>The Act does not define a number of key terms, which establish the boundaries of the Governor-General’s powers to make or extend a declaration of national emergency on the advice of the Prime Minister</w:t>
      </w:r>
      <w:r w:rsidR="00CF42D6" w:rsidRPr="00530FDB">
        <w:rPr>
          <w:rFonts w:cs="Open Sans"/>
          <w:color w:val="000000" w:themeColor="text1"/>
        </w:rPr>
        <w:t>.</w:t>
      </w:r>
      <w:r w:rsidR="00530FDB" w:rsidRPr="00530FDB">
        <w:rPr>
          <w:rFonts w:cs="Open Sans"/>
          <w:color w:val="000000" w:themeColor="text1"/>
        </w:rPr>
        <w:t xml:space="preserve"> Declarations made by the Governor-General, and variations and revocations of those declarations, are exempt from disallowance under the Act, </w:t>
      </w:r>
      <w:r w:rsidR="009D4714">
        <w:rPr>
          <w:rFonts w:cs="Open Sans"/>
          <w:color w:val="000000" w:themeColor="text1"/>
        </w:rPr>
        <w:t>significantly decreasing the capacity for parliamentary scrutiny of</w:t>
      </w:r>
      <w:r w:rsidR="00530FDB" w:rsidRPr="00530FDB">
        <w:rPr>
          <w:rFonts w:cs="Open Sans"/>
          <w:color w:val="000000" w:themeColor="text1"/>
        </w:rPr>
        <w:t xml:space="preserve"> these legislative instruments. Further, Ministers administering national emergency laws are conferred with power under </w:t>
      </w:r>
      <w:r w:rsidR="00CF42D6" w:rsidRPr="00530FDB">
        <w:rPr>
          <w:rFonts w:cs="Open Sans"/>
          <w:color w:val="000000" w:themeColor="text1"/>
        </w:rPr>
        <w:t xml:space="preserve">the Act </w:t>
      </w:r>
      <w:r w:rsidR="00530FDB" w:rsidRPr="00530FDB">
        <w:rPr>
          <w:rFonts w:cs="Open Sans"/>
          <w:color w:val="000000" w:themeColor="text1"/>
        </w:rPr>
        <w:t xml:space="preserve">to </w:t>
      </w:r>
      <w:r w:rsidR="00CF42D6" w:rsidRPr="00530FDB">
        <w:rPr>
          <w:rFonts w:cs="Open Sans"/>
          <w:color w:val="000000" w:themeColor="text1"/>
        </w:rPr>
        <w:t xml:space="preserve">vary, replace or dispense with </w:t>
      </w:r>
      <w:r w:rsidR="00695329">
        <w:rPr>
          <w:rFonts w:cs="Open Sans"/>
          <w:color w:val="000000" w:themeColor="text1"/>
        </w:rPr>
        <w:t>regulatory</w:t>
      </w:r>
      <w:r w:rsidR="00695329" w:rsidRPr="00530FDB">
        <w:rPr>
          <w:rFonts w:cs="Open Sans"/>
          <w:color w:val="000000" w:themeColor="text1"/>
        </w:rPr>
        <w:t xml:space="preserve"> </w:t>
      </w:r>
      <w:r w:rsidR="00CF42D6" w:rsidRPr="00530FDB">
        <w:rPr>
          <w:rFonts w:cs="Open Sans"/>
          <w:color w:val="000000" w:themeColor="text1"/>
        </w:rPr>
        <w:t>requirements with very little scrutiny</w:t>
      </w:r>
      <w:r w:rsidR="00530FDB" w:rsidRPr="00530FDB">
        <w:rPr>
          <w:rFonts w:cs="Open Sans"/>
          <w:color w:val="000000" w:themeColor="text1"/>
        </w:rPr>
        <w:t xml:space="preserve">. </w:t>
      </w:r>
    </w:p>
    <w:p w14:paraId="16B84C68" w14:textId="59A73511" w:rsidR="002750B1" w:rsidRDefault="002750B1" w:rsidP="002750B1">
      <w:pPr>
        <w:pStyle w:val="Heading1"/>
      </w:pPr>
      <w:bookmarkStart w:id="16" w:name="_Toc67495693"/>
      <w:r>
        <w:lastRenderedPageBreak/>
        <w:t>Recommendations</w:t>
      </w:r>
      <w:bookmarkEnd w:id="16"/>
    </w:p>
    <w:p w14:paraId="1BD6C33F" w14:textId="607FB938" w:rsidR="005059B0" w:rsidRDefault="005059B0" w:rsidP="005059B0">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Commission makes the following recommendations. </w:t>
      </w:r>
    </w:p>
    <w:p w14:paraId="3757E7F5" w14:textId="77777777" w:rsidR="002750B1" w:rsidRPr="005059B0" w:rsidRDefault="002750B1" w:rsidP="005059B0">
      <w:pPr>
        <w:pStyle w:val="ListNumber"/>
        <w:keepNext/>
        <w:numPr>
          <w:ilvl w:val="0"/>
          <w:numId w:val="0"/>
        </w:numPr>
        <w:tabs>
          <w:tab w:val="left" w:pos="1418"/>
        </w:tabs>
        <w:spacing w:after="240"/>
        <w:ind w:left="709"/>
        <w:rPr>
          <w:rFonts w:cs="Open Sans"/>
          <w:b/>
          <w:bCs/>
          <w:color w:val="000000" w:themeColor="text1"/>
        </w:rPr>
      </w:pPr>
      <w:r w:rsidRPr="005059B0">
        <w:rPr>
          <w:rFonts w:cs="Open Sans"/>
          <w:b/>
          <w:bCs/>
          <w:color w:val="000000" w:themeColor="text1"/>
        </w:rPr>
        <w:t>Recommendation 1</w:t>
      </w:r>
    </w:p>
    <w:p w14:paraId="426A61FE" w14:textId="32B32686" w:rsidR="002750B1" w:rsidRDefault="00FA059C" w:rsidP="005059B0">
      <w:pPr>
        <w:pStyle w:val="ListNumber"/>
        <w:numPr>
          <w:ilvl w:val="0"/>
          <w:numId w:val="0"/>
        </w:numPr>
        <w:tabs>
          <w:tab w:val="left" w:pos="1418"/>
        </w:tabs>
        <w:spacing w:after="240"/>
        <w:ind w:left="709"/>
        <w:rPr>
          <w:rFonts w:cs="Open Sans"/>
          <w:color w:val="000000" w:themeColor="text1"/>
        </w:rPr>
      </w:pPr>
      <w:r w:rsidRPr="00F06E07">
        <w:rPr>
          <w:rFonts w:cs="Open Sans"/>
          <w:color w:val="000000" w:themeColor="text1"/>
        </w:rPr>
        <w:t xml:space="preserve">Section 12 of the Act </w:t>
      </w:r>
      <w:r w:rsidR="00192744" w:rsidRPr="00F06E07">
        <w:rPr>
          <w:rFonts w:cs="Open Sans"/>
          <w:color w:val="000000" w:themeColor="text1"/>
        </w:rPr>
        <w:t xml:space="preserve">should </w:t>
      </w:r>
      <w:r w:rsidRPr="00F06E07">
        <w:rPr>
          <w:rFonts w:cs="Open Sans"/>
          <w:color w:val="000000" w:themeColor="text1"/>
        </w:rPr>
        <w:t>be amended to limit the number of extensions of a national emergency declaration which can be made by the Governor-General</w:t>
      </w:r>
      <w:r w:rsidR="00F06E07">
        <w:rPr>
          <w:rFonts w:cs="Open Sans"/>
          <w:color w:val="000000" w:themeColor="text1"/>
        </w:rPr>
        <w:t xml:space="preserve"> </w:t>
      </w:r>
      <w:r w:rsidR="0075061D">
        <w:rPr>
          <w:rFonts w:cs="Open Sans"/>
          <w:color w:val="000000" w:themeColor="text1"/>
        </w:rPr>
        <w:t>and</w:t>
      </w:r>
      <w:r w:rsidR="00F06E07" w:rsidRPr="00DE0C22">
        <w:rPr>
          <w:rFonts w:cs="Open Sans"/>
          <w:color w:val="000000" w:themeColor="text1"/>
        </w:rPr>
        <w:t xml:space="preserve"> </w:t>
      </w:r>
      <w:r w:rsidR="0075061D" w:rsidRPr="00DE0C22">
        <w:rPr>
          <w:rFonts w:cs="Open Sans"/>
          <w:color w:val="000000" w:themeColor="text1"/>
        </w:rPr>
        <w:t xml:space="preserve">s 14A of the Act should be amended </w:t>
      </w:r>
      <w:r w:rsidR="00F06E07" w:rsidRPr="00DE0C22">
        <w:rPr>
          <w:rFonts w:cs="Open Sans"/>
          <w:color w:val="000000" w:themeColor="text1"/>
        </w:rPr>
        <w:t xml:space="preserve">to </w:t>
      </w:r>
      <w:r w:rsidR="0075061D" w:rsidRPr="00DE0C22">
        <w:rPr>
          <w:rFonts w:cs="Open Sans"/>
          <w:color w:val="000000" w:themeColor="text1"/>
        </w:rPr>
        <w:t>require</w:t>
      </w:r>
      <w:r w:rsidR="00F06E07" w:rsidRPr="00DE0C22">
        <w:rPr>
          <w:rFonts w:cs="Open Sans"/>
          <w:color w:val="000000" w:themeColor="text1"/>
        </w:rPr>
        <w:t xml:space="preserve"> a</w:t>
      </w:r>
      <w:r w:rsidR="0075061D" w:rsidRPr="00DE0C22">
        <w:rPr>
          <w:rFonts w:cs="Open Sans"/>
          <w:color w:val="000000" w:themeColor="text1"/>
        </w:rPr>
        <w:t>n immediate</w:t>
      </w:r>
      <w:r w:rsidR="00F06E07" w:rsidRPr="00DE0C22">
        <w:rPr>
          <w:rFonts w:cs="Open Sans"/>
          <w:color w:val="000000" w:themeColor="text1"/>
        </w:rPr>
        <w:t xml:space="preserve"> review of </w:t>
      </w:r>
      <w:r w:rsidR="0075061D" w:rsidRPr="00DE0C22">
        <w:rPr>
          <w:rFonts w:cs="Open Sans"/>
          <w:color w:val="000000" w:themeColor="text1"/>
        </w:rPr>
        <w:t xml:space="preserve">a </w:t>
      </w:r>
      <w:r w:rsidR="00F06E07" w:rsidRPr="00DE0C22">
        <w:rPr>
          <w:rFonts w:cs="Open Sans"/>
          <w:color w:val="000000" w:themeColor="text1"/>
        </w:rPr>
        <w:t xml:space="preserve">declaration of a national emergency </w:t>
      </w:r>
      <w:r w:rsidR="0075061D" w:rsidRPr="00DE0C22">
        <w:rPr>
          <w:rFonts w:cs="Open Sans"/>
          <w:color w:val="000000" w:themeColor="text1"/>
        </w:rPr>
        <w:t>if it is extended more than once</w:t>
      </w:r>
      <w:r w:rsidRPr="00F06E07">
        <w:rPr>
          <w:rFonts w:cs="Open Sans"/>
          <w:color w:val="000000" w:themeColor="text1"/>
        </w:rPr>
        <w:t>.</w:t>
      </w:r>
      <w:r>
        <w:rPr>
          <w:rFonts w:cs="Open Sans"/>
          <w:color w:val="000000" w:themeColor="text1"/>
        </w:rPr>
        <w:t xml:space="preserve"> </w:t>
      </w:r>
    </w:p>
    <w:p w14:paraId="063E2BC3" w14:textId="77777777" w:rsidR="002750B1" w:rsidRPr="00156F5C" w:rsidRDefault="002750B1" w:rsidP="005059B0">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t>Recommendation 2</w:t>
      </w:r>
    </w:p>
    <w:p w14:paraId="1A218D31" w14:textId="672796E7" w:rsidR="002750B1" w:rsidRPr="009C4F36" w:rsidRDefault="00FA059C" w:rsidP="005059B0">
      <w:pPr>
        <w:pStyle w:val="ListNumber"/>
        <w:numPr>
          <w:ilvl w:val="0"/>
          <w:numId w:val="0"/>
        </w:numPr>
        <w:tabs>
          <w:tab w:val="left" w:pos="1418"/>
        </w:tabs>
        <w:spacing w:after="240"/>
        <w:ind w:left="709"/>
        <w:rPr>
          <w:rFonts w:cs="Open Sans"/>
          <w:color w:val="000000" w:themeColor="text1"/>
        </w:rPr>
      </w:pPr>
      <w:r>
        <w:rPr>
          <w:rFonts w:cs="Open Sans"/>
          <w:color w:val="000000" w:themeColor="text1"/>
        </w:rPr>
        <w:t xml:space="preserve">Definitions </w:t>
      </w:r>
      <w:r w:rsidR="00192744">
        <w:rPr>
          <w:rFonts w:cs="Open Sans"/>
          <w:color w:val="000000" w:themeColor="text1"/>
        </w:rPr>
        <w:t>for</w:t>
      </w:r>
      <w:r>
        <w:rPr>
          <w:rFonts w:cs="Open Sans"/>
          <w:color w:val="000000" w:themeColor="text1"/>
        </w:rPr>
        <w:t xml:space="preserve"> the terms ‘emergency’ and ‘Commonwealth interests’ </w:t>
      </w:r>
      <w:r w:rsidR="00192744">
        <w:rPr>
          <w:rFonts w:cs="Open Sans"/>
          <w:color w:val="000000" w:themeColor="text1"/>
        </w:rPr>
        <w:t xml:space="preserve">should </w:t>
      </w:r>
      <w:r>
        <w:rPr>
          <w:rFonts w:cs="Open Sans"/>
          <w:color w:val="000000" w:themeColor="text1"/>
        </w:rPr>
        <w:t>be inserted into the Act</w:t>
      </w:r>
      <w:r w:rsidR="006E65E5">
        <w:rPr>
          <w:rFonts w:cs="Open Sans"/>
          <w:color w:val="000000" w:themeColor="text1"/>
        </w:rPr>
        <w:t xml:space="preserve"> and ‘emergency’ should be defined in similar terms to the definitions of ‘emergency’ and ‘disaster’ in the emergency management legislation enacted in each State </w:t>
      </w:r>
      <w:r w:rsidR="006E65E5" w:rsidRPr="00F556F2">
        <w:rPr>
          <w:rFonts w:cs="Open Sans"/>
          <w:color w:val="000000" w:themeColor="text1"/>
        </w:rPr>
        <w:t xml:space="preserve">and </w:t>
      </w:r>
      <w:r w:rsidR="006E65E5">
        <w:rPr>
          <w:rFonts w:cs="Open Sans"/>
          <w:color w:val="000000" w:themeColor="text1"/>
        </w:rPr>
        <w:t>T</w:t>
      </w:r>
      <w:r w:rsidR="006E65E5" w:rsidRPr="00F556F2">
        <w:rPr>
          <w:rFonts w:cs="Open Sans"/>
          <w:color w:val="000000" w:themeColor="text1"/>
        </w:rPr>
        <w:t>erritory</w:t>
      </w:r>
      <w:r>
        <w:rPr>
          <w:rFonts w:cs="Open Sans"/>
          <w:color w:val="000000" w:themeColor="text1"/>
        </w:rPr>
        <w:t xml:space="preserve">. </w:t>
      </w:r>
    </w:p>
    <w:p w14:paraId="143250DE" w14:textId="77777777" w:rsidR="002750B1" w:rsidRDefault="002750B1" w:rsidP="00307C58">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t>Recommendation 3</w:t>
      </w:r>
    </w:p>
    <w:p w14:paraId="6A3CDFC7" w14:textId="435EC04B" w:rsidR="00DE1050" w:rsidRPr="00192744" w:rsidRDefault="002C453E" w:rsidP="002C453E">
      <w:pPr>
        <w:pStyle w:val="ListNumber"/>
        <w:numPr>
          <w:ilvl w:val="0"/>
          <w:numId w:val="0"/>
        </w:numPr>
        <w:tabs>
          <w:tab w:val="left" w:pos="1418"/>
        </w:tabs>
        <w:spacing w:after="240"/>
        <w:ind w:left="709"/>
        <w:rPr>
          <w:rFonts w:cs="Open Sans"/>
          <w:color w:val="000000" w:themeColor="text1"/>
        </w:rPr>
      </w:pPr>
      <w:r w:rsidRPr="001857AC">
        <w:rPr>
          <w:rFonts w:cs="Open Sans"/>
          <w:color w:val="000000" w:themeColor="text1"/>
        </w:rPr>
        <w:t xml:space="preserve">Section 15 of the Act should be amended to include a condition that, before a Minister is able to make a determination </w:t>
      </w:r>
      <w:r>
        <w:rPr>
          <w:rFonts w:cs="Open Sans"/>
          <w:color w:val="000000" w:themeColor="text1"/>
        </w:rPr>
        <w:t>under s 15</w:t>
      </w:r>
      <w:r w:rsidRPr="001857AC">
        <w:rPr>
          <w:rFonts w:cs="Open Sans"/>
          <w:color w:val="000000" w:themeColor="text1"/>
        </w:rPr>
        <w:t>, the Minister must be satisfied that, by reason of the emergency, Parliament is unable to sit within a reasonable time</w:t>
      </w:r>
      <w:r>
        <w:rPr>
          <w:rFonts w:cs="Open Sans"/>
          <w:color w:val="000000" w:themeColor="text1"/>
        </w:rPr>
        <w:t xml:space="preserve"> of the commencement of the national emergency declaration</w:t>
      </w:r>
      <w:r w:rsidRPr="001857AC">
        <w:rPr>
          <w:rFonts w:cs="Open Sans"/>
          <w:color w:val="000000" w:themeColor="text1"/>
        </w:rPr>
        <w:t xml:space="preserve">. </w:t>
      </w:r>
      <w:r w:rsidR="00DE1050">
        <w:rPr>
          <w:rFonts w:cs="Open Sans"/>
          <w:color w:val="000000" w:themeColor="text1"/>
        </w:rPr>
        <w:t xml:space="preserve">It should also be amended to </w:t>
      </w:r>
      <w:r w:rsidR="00DE1050">
        <w:t xml:space="preserve">make clear that any exercise of this power by a Minister must be proportionate to the demonstrated need resulting from the emergency. </w:t>
      </w:r>
    </w:p>
    <w:p w14:paraId="53113BED" w14:textId="1CD8FD21" w:rsidR="00273415" w:rsidRDefault="002750B1" w:rsidP="00307C58">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t>Recommendation 4</w:t>
      </w:r>
    </w:p>
    <w:p w14:paraId="1E886300" w14:textId="25473C21" w:rsidR="00F66BD6" w:rsidRDefault="009405BA" w:rsidP="00F66BD6">
      <w:pPr>
        <w:pStyle w:val="ListNumber"/>
        <w:numPr>
          <w:ilvl w:val="0"/>
          <w:numId w:val="0"/>
        </w:numPr>
        <w:tabs>
          <w:tab w:val="left" w:pos="1418"/>
        </w:tabs>
        <w:spacing w:after="240"/>
        <w:ind w:left="709"/>
      </w:pPr>
      <w:r>
        <w:t xml:space="preserve">The Act should provide for the establishment of a </w:t>
      </w:r>
      <w:r w:rsidR="00F66BD6">
        <w:t xml:space="preserve">specialised committee upon the declaration of a national emergency by the Governor-General, focused on the exercise of the national emergency laws under the Act. </w:t>
      </w:r>
    </w:p>
    <w:p w14:paraId="6B24BAB5" w14:textId="46D71C7D" w:rsidR="00DE1050" w:rsidRPr="000E7D8A" w:rsidRDefault="00DE1050" w:rsidP="005059B0">
      <w:pPr>
        <w:pStyle w:val="ListNumber"/>
        <w:numPr>
          <w:ilvl w:val="0"/>
          <w:numId w:val="0"/>
        </w:numPr>
        <w:tabs>
          <w:tab w:val="left" w:pos="1418"/>
        </w:tabs>
        <w:spacing w:after="240"/>
        <w:ind w:left="709"/>
        <w:rPr>
          <w:rFonts w:cs="Open Sans"/>
          <w:b/>
          <w:bCs/>
          <w:color w:val="000000" w:themeColor="text1"/>
        </w:rPr>
      </w:pPr>
      <w:r w:rsidRPr="000E7D8A">
        <w:rPr>
          <w:rFonts w:cs="Open Sans"/>
          <w:b/>
          <w:bCs/>
          <w:color w:val="000000" w:themeColor="text1"/>
        </w:rPr>
        <w:t>Recommendation 5</w:t>
      </w:r>
    </w:p>
    <w:p w14:paraId="5E7E9571" w14:textId="3735ADD4" w:rsidR="00F66BD6" w:rsidRDefault="00F66BD6" w:rsidP="00F66BD6">
      <w:pPr>
        <w:pStyle w:val="ListNumber"/>
        <w:numPr>
          <w:ilvl w:val="0"/>
          <w:numId w:val="0"/>
        </w:numPr>
        <w:tabs>
          <w:tab w:val="left" w:pos="1418"/>
        </w:tabs>
        <w:spacing w:after="240"/>
        <w:ind w:left="709"/>
        <w:rPr>
          <w:rFonts w:cs="Open Sans"/>
          <w:color w:val="000000" w:themeColor="text1"/>
        </w:rPr>
      </w:pPr>
      <w:r>
        <w:rPr>
          <w:rFonts w:cs="Open Sans"/>
          <w:color w:val="000000" w:themeColor="text1"/>
        </w:rPr>
        <w:t>Sections 11(6), 12(5), 13(3) and 14(2) of the Act should be amended to remove the exemption from disallowance with respect to the relevant legislative instrument.</w:t>
      </w:r>
    </w:p>
    <w:p w14:paraId="69340658" w14:textId="0BE44539" w:rsidR="005059B0" w:rsidRDefault="005059B0" w:rsidP="002750B1">
      <w:pPr>
        <w:pStyle w:val="Heading1"/>
      </w:pPr>
      <w:bookmarkStart w:id="17" w:name="_Toc67495694"/>
      <w:r>
        <w:lastRenderedPageBreak/>
        <w:t>Background</w:t>
      </w:r>
      <w:bookmarkEnd w:id="17"/>
    </w:p>
    <w:p w14:paraId="4F405AB9" w14:textId="6777A713" w:rsidR="005059B0" w:rsidRDefault="005059B0" w:rsidP="005059B0">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Act was introduced into Parliament </w:t>
      </w:r>
      <w:r w:rsidR="009E1100">
        <w:rPr>
          <w:rFonts w:cs="Open Sans"/>
          <w:color w:val="000000" w:themeColor="text1"/>
        </w:rPr>
        <w:t xml:space="preserve">on 3 December 2020 and assented to, along with the </w:t>
      </w:r>
      <w:r w:rsidR="009E1100" w:rsidRPr="009E1100">
        <w:rPr>
          <w:rFonts w:cs="Open Sans"/>
          <w:i/>
          <w:iCs/>
          <w:color w:val="000000" w:themeColor="text1"/>
        </w:rPr>
        <w:t>National Emergency Declaration (Consequential Amendments) Act 2020</w:t>
      </w:r>
      <w:r w:rsidR="009E1100">
        <w:rPr>
          <w:rFonts w:cs="Open Sans"/>
          <w:color w:val="000000" w:themeColor="text1"/>
        </w:rPr>
        <w:t xml:space="preserve"> (Cth), on 15 December 2020. </w:t>
      </w:r>
    </w:p>
    <w:p w14:paraId="45F763D1" w14:textId="3D522DB8" w:rsidR="003C3B73" w:rsidRDefault="00895DC0" w:rsidP="003C3B73">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190E4A">
        <w:rPr>
          <w:rFonts w:cs="Open Sans"/>
          <w:color w:val="000000" w:themeColor="text1"/>
        </w:rPr>
        <w:t xml:space="preserve">Revised </w:t>
      </w:r>
      <w:r w:rsidR="00163B9A">
        <w:rPr>
          <w:rFonts w:cs="Open Sans"/>
          <w:color w:val="000000" w:themeColor="text1"/>
        </w:rPr>
        <w:t xml:space="preserve">Explanatory Memorandum provides that the </w:t>
      </w:r>
      <w:r>
        <w:rPr>
          <w:rFonts w:cs="Open Sans"/>
          <w:color w:val="000000" w:themeColor="text1"/>
        </w:rPr>
        <w:t xml:space="preserve">Act is intended to give effect to recommendation 5.1 of the </w:t>
      </w:r>
      <w:r w:rsidRPr="00205485">
        <w:rPr>
          <w:rFonts w:cs="Open Sans"/>
          <w:i/>
          <w:iCs/>
          <w:color w:val="000000" w:themeColor="text1"/>
        </w:rPr>
        <w:t>Royal Commission into National Natural Disaster Arrangements</w:t>
      </w:r>
      <w:r w:rsidR="009B7FC7">
        <w:rPr>
          <w:rFonts w:cs="Open Sans"/>
          <w:i/>
          <w:iCs/>
          <w:color w:val="000000" w:themeColor="text1"/>
        </w:rPr>
        <w:t>,</w:t>
      </w:r>
      <w:r>
        <w:rPr>
          <w:rFonts w:cs="Open Sans"/>
          <w:color w:val="000000" w:themeColor="text1"/>
        </w:rPr>
        <w:t xml:space="preserve"> reported on 28 October 2020.</w:t>
      </w:r>
      <w:r>
        <w:rPr>
          <w:rStyle w:val="EndnoteReference"/>
          <w:rFonts w:cs="Open Sans"/>
          <w:color w:val="000000" w:themeColor="text1"/>
        </w:rPr>
        <w:endnoteReference w:id="1"/>
      </w:r>
      <w:r w:rsidR="003C3B73">
        <w:rPr>
          <w:rFonts w:cs="Open Sans"/>
          <w:color w:val="000000" w:themeColor="text1"/>
        </w:rPr>
        <w:t xml:space="preserve"> That recommendation was to make legislative provision for a declaration of a state of emergency which </w:t>
      </w:r>
      <w:r w:rsidR="00D41EBE">
        <w:rPr>
          <w:rFonts w:cs="Open Sans"/>
          <w:color w:val="000000" w:themeColor="text1"/>
        </w:rPr>
        <w:t>provide</w:t>
      </w:r>
      <w:r w:rsidR="00A87BDC">
        <w:rPr>
          <w:rFonts w:cs="Open Sans"/>
          <w:color w:val="000000" w:themeColor="text1"/>
        </w:rPr>
        <w:t>s</w:t>
      </w:r>
      <w:r w:rsidR="00D41EBE">
        <w:rPr>
          <w:rFonts w:cs="Open Sans"/>
          <w:color w:val="000000" w:themeColor="text1"/>
        </w:rPr>
        <w:t xml:space="preserve"> for: </w:t>
      </w:r>
    </w:p>
    <w:p w14:paraId="754ED371" w14:textId="14B0B786" w:rsidR="00A16A9A" w:rsidRPr="00D41EBE" w:rsidRDefault="00A87BDC" w:rsidP="00D41EBE">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(a)</w:t>
      </w:r>
      <w:r w:rsidR="00A16A9A" w:rsidRPr="00D41EBE">
        <w:rPr>
          <w:rFonts w:cs="Open Sans"/>
          <w:color w:val="000000" w:themeColor="text1"/>
        </w:rPr>
        <w:t xml:space="preserve"> </w:t>
      </w:r>
      <w:r w:rsidR="00D41EBE">
        <w:rPr>
          <w:rFonts w:cs="Open Sans"/>
          <w:color w:val="000000" w:themeColor="text1"/>
        </w:rPr>
        <w:tab/>
      </w:r>
      <w:r w:rsidR="00A16A9A" w:rsidRPr="00D41EBE">
        <w:rPr>
          <w:rFonts w:cs="Open Sans"/>
          <w:color w:val="000000" w:themeColor="text1"/>
        </w:rPr>
        <w:t xml:space="preserve">the Australian Government to make a public declaration to communicate the seriousness of a natural disaster </w:t>
      </w:r>
    </w:p>
    <w:p w14:paraId="6C128192" w14:textId="51A25F39" w:rsidR="00A16A9A" w:rsidRPr="00D41EBE" w:rsidRDefault="00A87BDC" w:rsidP="00D41EBE">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(b)</w:t>
      </w:r>
      <w:r w:rsidR="00D41EBE">
        <w:rPr>
          <w:rFonts w:cs="Open Sans"/>
          <w:color w:val="000000" w:themeColor="text1"/>
        </w:rPr>
        <w:tab/>
      </w:r>
      <w:r w:rsidR="00A16A9A" w:rsidRPr="00D41EBE">
        <w:rPr>
          <w:rFonts w:cs="Open Sans"/>
          <w:color w:val="000000" w:themeColor="text1"/>
        </w:rPr>
        <w:t xml:space="preserve">processes to mobilise and activate Australian Government agencies quickly to support </w:t>
      </w:r>
      <w:r w:rsidR="00C80BE7">
        <w:rPr>
          <w:rFonts w:cs="Open Sans"/>
          <w:color w:val="000000" w:themeColor="text1"/>
        </w:rPr>
        <w:t>S</w:t>
      </w:r>
      <w:r w:rsidR="00A16A9A" w:rsidRPr="00D41EBE">
        <w:rPr>
          <w:rFonts w:cs="Open Sans"/>
          <w:color w:val="000000" w:themeColor="text1"/>
        </w:rPr>
        <w:t xml:space="preserve">tates and </w:t>
      </w:r>
      <w:r w:rsidR="00C80BE7">
        <w:rPr>
          <w:rFonts w:cs="Open Sans"/>
          <w:color w:val="000000" w:themeColor="text1"/>
        </w:rPr>
        <w:t>T</w:t>
      </w:r>
      <w:r w:rsidR="00A16A9A" w:rsidRPr="00D41EBE">
        <w:rPr>
          <w:rFonts w:cs="Open Sans"/>
          <w:color w:val="000000" w:themeColor="text1"/>
        </w:rPr>
        <w:t>erritories to respond to and recover from a natural disaster</w:t>
      </w:r>
    </w:p>
    <w:p w14:paraId="1D01B10E" w14:textId="20F3163E" w:rsidR="00A16A9A" w:rsidRPr="00D41EBE" w:rsidRDefault="00A87BDC" w:rsidP="00D41EBE">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(c)</w:t>
      </w:r>
      <w:r w:rsidR="00D41EBE">
        <w:rPr>
          <w:rFonts w:cs="Open Sans"/>
          <w:color w:val="000000" w:themeColor="text1"/>
        </w:rPr>
        <w:t xml:space="preserve"> </w:t>
      </w:r>
      <w:r w:rsidR="00D41EBE">
        <w:rPr>
          <w:rFonts w:cs="Open Sans"/>
          <w:color w:val="000000" w:themeColor="text1"/>
        </w:rPr>
        <w:tab/>
      </w:r>
      <w:r w:rsidR="00A16A9A" w:rsidRPr="00D41EBE">
        <w:rPr>
          <w:rFonts w:cs="Open Sans"/>
          <w:color w:val="000000" w:themeColor="text1"/>
        </w:rPr>
        <w:t xml:space="preserve">the power to take action without a </w:t>
      </w:r>
      <w:r w:rsidR="00C80BE7">
        <w:rPr>
          <w:rFonts w:cs="Open Sans"/>
          <w:color w:val="000000" w:themeColor="text1"/>
        </w:rPr>
        <w:t>S</w:t>
      </w:r>
      <w:r w:rsidR="00A16A9A" w:rsidRPr="00D41EBE">
        <w:rPr>
          <w:rFonts w:cs="Open Sans"/>
          <w:color w:val="000000" w:themeColor="text1"/>
        </w:rPr>
        <w:t xml:space="preserve">tate or </w:t>
      </w:r>
      <w:r w:rsidR="00C80BE7">
        <w:rPr>
          <w:rFonts w:cs="Open Sans"/>
          <w:color w:val="000000" w:themeColor="text1"/>
        </w:rPr>
        <w:t>T</w:t>
      </w:r>
      <w:r w:rsidR="00A16A9A" w:rsidRPr="00D41EBE">
        <w:rPr>
          <w:rFonts w:cs="Open Sans"/>
          <w:color w:val="000000" w:themeColor="text1"/>
        </w:rPr>
        <w:t>erritory request for assistance in clearly defined and limited circumstances.</w:t>
      </w:r>
      <w:r w:rsidR="00144003">
        <w:rPr>
          <w:rStyle w:val="EndnoteReference"/>
          <w:rFonts w:cs="Open Sans"/>
          <w:color w:val="000000" w:themeColor="text1"/>
        </w:rPr>
        <w:endnoteReference w:id="2"/>
      </w:r>
      <w:r w:rsidR="00A16A9A" w:rsidRPr="00D41EBE">
        <w:rPr>
          <w:rFonts w:cs="Open Sans"/>
          <w:color w:val="000000" w:themeColor="text1"/>
        </w:rPr>
        <w:t xml:space="preserve"> </w:t>
      </w:r>
    </w:p>
    <w:p w14:paraId="1F7E2601" w14:textId="5A7D54B0" w:rsidR="00A16A9A" w:rsidRDefault="00DD2F57" w:rsidP="00D41EB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Prior to the introduction of the Act, the Commonwealth had the ability through the Australian Government Crisis Management Framework</w:t>
      </w:r>
      <w:r w:rsidR="00D87F19">
        <w:rPr>
          <w:rFonts w:cs="Open Sans"/>
          <w:color w:val="000000" w:themeColor="text1"/>
        </w:rPr>
        <w:t xml:space="preserve"> and </w:t>
      </w:r>
      <w:r w:rsidR="007C7C17">
        <w:rPr>
          <w:rFonts w:cs="Open Sans"/>
          <w:color w:val="000000" w:themeColor="text1"/>
        </w:rPr>
        <w:t xml:space="preserve">associated </w:t>
      </w:r>
      <w:r w:rsidR="00D87F19">
        <w:rPr>
          <w:rFonts w:cs="Open Sans"/>
          <w:color w:val="000000" w:themeColor="text1"/>
        </w:rPr>
        <w:t xml:space="preserve">national plans and arrangements </w:t>
      </w:r>
      <w:r>
        <w:rPr>
          <w:rFonts w:cs="Open Sans"/>
          <w:color w:val="000000" w:themeColor="text1"/>
        </w:rPr>
        <w:t xml:space="preserve">to support the </w:t>
      </w:r>
      <w:r w:rsidR="00C80BE7">
        <w:rPr>
          <w:rFonts w:cs="Open Sans"/>
          <w:color w:val="000000" w:themeColor="text1"/>
        </w:rPr>
        <w:t>S</w:t>
      </w:r>
      <w:r>
        <w:rPr>
          <w:rFonts w:cs="Open Sans"/>
          <w:color w:val="000000" w:themeColor="text1"/>
        </w:rPr>
        <w:t>tate</w:t>
      </w:r>
      <w:r w:rsidR="00855CE4">
        <w:rPr>
          <w:rFonts w:cs="Open Sans"/>
          <w:color w:val="000000" w:themeColor="text1"/>
        </w:rPr>
        <w:t>s</w:t>
      </w:r>
      <w:r>
        <w:rPr>
          <w:rFonts w:cs="Open Sans"/>
          <w:color w:val="000000" w:themeColor="text1"/>
        </w:rPr>
        <w:t xml:space="preserve"> and </w:t>
      </w:r>
      <w:r w:rsidR="00C80BE7">
        <w:rPr>
          <w:rFonts w:cs="Open Sans"/>
          <w:color w:val="000000" w:themeColor="text1"/>
        </w:rPr>
        <w:t>T</w:t>
      </w:r>
      <w:r>
        <w:rPr>
          <w:rFonts w:cs="Open Sans"/>
          <w:color w:val="000000" w:themeColor="text1"/>
        </w:rPr>
        <w:t>erritories in any crisis that had the potential to affect, or ha</w:t>
      </w:r>
      <w:r w:rsidR="00855CE4">
        <w:rPr>
          <w:rFonts w:cs="Open Sans"/>
          <w:color w:val="000000" w:themeColor="text1"/>
        </w:rPr>
        <w:t>d</w:t>
      </w:r>
      <w:r>
        <w:rPr>
          <w:rFonts w:cs="Open Sans"/>
          <w:color w:val="000000" w:themeColor="text1"/>
        </w:rPr>
        <w:t xml:space="preserve"> affected, more than one jurisdiction, the broader </w:t>
      </w:r>
      <w:r w:rsidR="00C55B74">
        <w:rPr>
          <w:rFonts w:cs="Open Sans"/>
          <w:color w:val="000000" w:themeColor="text1"/>
        </w:rPr>
        <w:t>community,</w:t>
      </w:r>
      <w:r>
        <w:rPr>
          <w:rFonts w:cs="Open Sans"/>
          <w:color w:val="000000" w:themeColor="text1"/>
        </w:rPr>
        <w:t xml:space="preserve"> or an Australian Government area of responsibility</w:t>
      </w:r>
      <w:r w:rsidR="00D87F19">
        <w:rPr>
          <w:rFonts w:cs="Open Sans"/>
          <w:color w:val="000000" w:themeColor="text1"/>
        </w:rPr>
        <w:t xml:space="preserve">. Action could be taken by the Commonwealth upon the request of the affected </w:t>
      </w:r>
      <w:r w:rsidR="00C80BE7">
        <w:rPr>
          <w:rFonts w:cs="Open Sans"/>
          <w:color w:val="000000" w:themeColor="text1"/>
        </w:rPr>
        <w:t>S</w:t>
      </w:r>
      <w:r w:rsidR="00D87F19">
        <w:rPr>
          <w:rFonts w:cs="Open Sans"/>
          <w:color w:val="000000" w:themeColor="text1"/>
        </w:rPr>
        <w:t xml:space="preserve">tate or </w:t>
      </w:r>
      <w:r w:rsidR="00C80BE7">
        <w:rPr>
          <w:rFonts w:cs="Open Sans"/>
          <w:color w:val="000000" w:themeColor="text1"/>
        </w:rPr>
        <w:t>T</w:t>
      </w:r>
      <w:r w:rsidR="00D87F19">
        <w:rPr>
          <w:rFonts w:cs="Open Sans"/>
          <w:color w:val="000000" w:themeColor="text1"/>
        </w:rPr>
        <w:t xml:space="preserve">erritory </w:t>
      </w:r>
      <w:r w:rsidR="00855CE4">
        <w:rPr>
          <w:rFonts w:cs="Open Sans"/>
          <w:color w:val="000000" w:themeColor="text1"/>
        </w:rPr>
        <w:t>or</w:t>
      </w:r>
      <w:r w:rsidR="00864E5C">
        <w:rPr>
          <w:rFonts w:cs="Open Sans"/>
          <w:color w:val="000000" w:themeColor="text1"/>
        </w:rPr>
        <w:t xml:space="preserve"> </w:t>
      </w:r>
      <w:r w:rsidR="00D87F19">
        <w:rPr>
          <w:rFonts w:cs="Open Sans"/>
          <w:color w:val="000000" w:themeColor="text1"/>
        </w:rPr>
        <w:t>where</w:t>
      </w:r>
      <w:r w:rsidR="006D5BA4">
        <w:rPr>
          <w:rFonts w:cs="Open Sans"/>
          <w:color w:val="000000" w:themeColor="text1"/>
        </w:rPr>
        <w:t xml:space="preserve"> a request had not been made because</w:t>
      </w:r>
      <w:r w:rsidR="00D87F19">
        <w:rPr>
          <w:rFonts w:cs="Open Sans"/>
          <w:color w:val="000000" w:themeColor="text1"/>
        </w:rPr>
        <w:t xml:space="preserve"> </w:t>
      </w:r>
      <w:r w:rsidR="00864E5C">
        <w:rPr>
          <w:rFonts w:cs="Open Sans"/>
          <w:color w:val="000000" w:themeColor="text1"/>
        </w:rPr>
        <w:t xml:space="preserve">the government of the affected </w:t>
      </w:r>
      <w:r w:rsidR="00C80BE7">
        <w:rPr>
          <w:rFonts w:cs="Open Sans"/>
          <w:color w:val="000000" w:themeColor="text1"/>
        </w:rPr>
        <w:t>S</w:t>
      </w:r>
      <w:r w:rsidR="00864E5C">
        <w:rPr>
          <w:rFonts w:cs="Open Sans"/>
          <w:color w:val="000000" w:themeColor="text1"/>
        </w:rPr>
        <w:t xml:space="preserve">tate or </w:t>
      </w:r>
      <w:r w:rsidR="00C80BE7">
        <w:rPr>
          <w:rFonts w:cs="Open Sans"/>
          <w:color w:val="000000" w:themeColor="text1"/>
        </w:rPr>
        <w:t>T</w:t>
      </w:r>
      <w:r w:rsidR="00864E5C">
        <w:rPr>
          <w:rFonts w:cs="Open Sans"/>
          <w:color w:val="000000" w:themeColor="text1"/>
        </w:rPr>
        <w:t xml:space="preserve">erritory </w:t>
      </w:r>
      <w:r w:rsidR="00855CE4">
        <w:rPr>
          <w:rFonts w:cs="Open Sans"/>
          <w:color w:val="000000" w:themeColor="text1"/>
        </w:rPr>
        <w:t xml:space="preserve">was </w:t>
      </w:r>
      <w:r w:rsidR="00864E5C">
        <w:rPr>
          <w:rFonts w:cs="Open Sans"/>
          <w:color w:val="000000" w:themeColor="text1"/>
        </w:rPr>
        <w:t xml:space="preserve">temporarily incapacitated. </w:t>
      </w:r>
      <w:r w:rsidR="00963E95">
        <w:rPr>
          <w:rFonts w:cs="Open Sans"/>
          <w:color w:val="000000" w:themeColor="text1"/>
        </w:rPr>
        <w:t xml:space="preserve">The actions which could be undertaken by the Commonwealth were provided for in various pieces of Commonwealth legislation. </w:t>
      </w:r>
    </w:p>
    <w:p w14:paraId="1F7318F3" w14:textId="0BF799B3" w:rsidR="007E02B5" w:rsidRDefault="006D5BA4" w:rsidP="00D41EB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2F05DC">
        <w:rPr>
          <w:rFonts w:cs="Open Sans"/>
          <w:color w:val="000000" w:themeColor="text1"/>
        </w:rPr>
        <w:t xml:space="preserve">Act </w:t>
      </w:r>
      <w:r w:rsidR="00544836">
        <w:rPr>
          <w:rFonts w:cs="Open Sans"/>
          <w:color w:val="000000" w:themeColor="text1"/>
        </w:rPr>
        <w:t>was introduced to provide</w:t>
      </w:r>
      <w:r w:rsidR="002F05DC">
        <w:rPr>
          <w:rFonts w:cs="Open Sans"/>
          <w:color w:val="000000" w:themeColor="text1"/>
        </w:rPr>
        <w:t xml:space="preserve"> a framework </w:t>
      </w:r>
      <w:r w:rsidR="00122B82">
        <w:rPr>
          <w:rFonts w:cs="Open Sans"/>
          <w:color w:val="000000" w:themeColor="text1"/>
        </w:rPr>
        <w:t>for</w:t>
      </w:r>
      <w:r w:rsidR="002F05DC">
        <w:rPr>
          <w:rFonts w:cs="Open Sans"/>
          <w:color w:val="000000" w:themeColor="text1"/>
        </w:rPr>
        <w:t xml:space="preserve"> the Governor-General to declare a national emergency in the event that the Prime Minister is satisfied of certain requirements set out in s 11(1) of the Act</w:t>
      </w:r>
      <w:r w:rsidR="000F4963">
        <w:rPr>
          <w:rFonts w:cs="Open Sans"/>
          <w:color w:val="000000" w:themeColor="text1"/>
        </w:rPr>
        <w:t xml:space="preserve"> and to consolidate the Commonwealth’s powers during states of emergency</w:t>
      </w:r>
      <w:r w:rsidR="00544836">
        <w:rPr>
          <w:rFonts w:cs="Open Sans"/>
          <w:color w:val="000000" w:themeColor="text1"/>
        </w:rPr>
        <w:t xml:space="preserve">. </w:t>
      </w:r>
    </w:p>
    <w:p w14:paraId="1F5A28CE" w14:textId="5022376B" w:rsidR="00CD4107" w:rsidRDefault="002F05DC" w:rsidP="0014232A">
      <w:pPr>
        <w:pStyle w:val="ListNumber"/>
        <w:numPr>
          <w:ilvl w:val="0"/>
          <w:numId w:val="3"/>
        </w:numPr>
        <w:tabs>
          <w:tab w:val="num" w:pos="993"/>
          <w:tab w:val="left" w:pos="1418"/>
        </w:tabs>
        <w:spacing w:after="240"/>
        <w:ind w:left="709" w:hanging="567"/>
        <w:rPr>
          <w:rFonts w:cs="Open Sans"/>
          <w:color w:val="000000" w:themeColor="text1"/>
        </w:rPr>
      </w:pPr>
      <w:r w:rsidRPr="007E02B5">
        <w:rPr>
          <w:rFonts w:cs="Open Sans"/>
          <w:color w:val="000000" w:themeColor="text1"/>
        </w:rPr>
        <w:t xml:space="preserve">The </w:t>
      </w:r>
      <w:r w:rsidR="007C43CF">
        <w:rPr>
          <w:rFonts w:cs="Open Sans"/>
          <w:color w:val="000000" w:themeColor="text1"/>
        </w:rPr>
        <w:t xml:space="preserve">primary </w:t>
      </w:r>
      <w:r w:rsidRPr="007C43CF">
        <w:rPr>
          <w:rFonts w:cs="Open Sans"/>
          <w:color w:val="000000" w:themeColor="text1"/>
        </w:rPr>
        <w:t>effect</w:t>
      </w:r>
      <w:r w:rsidRPr="007E02B5">
        <w:rPr>
          <w:rFonts w:cs="Open Sans"/>
          <w:color w:val="000000" w:themeColor="text1"/>
        </w:rPr>
        <w:t xml:space="preserve"> of </w:t>
      </w:r>
      <w:r w:rsidR="00544836">
        <w:rPr>
          <w:rFonts w:cs="Open Sans"/>
          <w:color w:val="000000" w:themeColor="text1"/>
        </w:rPr>
        <w:t>a national emergency</w:t>
      </w:r>
      <w:r w:rsidRPr="007E02B5">
        <w:rPr>
          <w:rFonts w:cs="Open Sans"/>
          <w:color w:val="000000" w:themeColor="text1"/>
        </w:rPr>
        <w:t xml:space="preserve"> declaration is to empower the Commonwealth to exercise certain powers or </w:t>
      </w:r>
      <w:r w:rsidR="00C914B8" w:rsidRPr="007E02B5">
        <w:rPr>
          <w:rFonts w:cs="Open Sans"/>
          <w:color w:val="000000" w:themeColor="text1"/>
        </w:rPr>
        <w:t xml:space="preserve">perform certain </w:t>
      </w:r>
      <w:r w:rsidRPr="007E02B5">
        <w:rPr>
          <w:rFonts w:cs="Open Sans"/>
          <w:color w:val="000000" w:themeColor="text1"/>
        </w:rPr>
        <w:t>functions under other Commonwealth laws</w:t>
      </w:r>
      <w:r w:rsidR="00C914B8" w:rsidRPr="007E02B5">
        <w:rPr>
          <w:rFonts w:cs="Open Sans"/>
          <w:color w:val="000000" w:themeColor="text1"/>
        </w:rPr>
        <w:t xml:space="preserve">, referred to as </w:t>
      </w:r>
      <w:r w:rsidR="007E02B5" w:rsidRPr="007E02B5">
        <w:rPr>
          <w:rFonts w:cs="Open Sans"/>
          <w:color w:val="000000" w:themeColor="text1"/>
        </w:rPr>
        <w:t>‘</w:t>
      </w:r>
      <w:r w:rsidR="00C914B8" w:rsidRPr="007E02B5">
        <w:rPr>
          <w:rFonts w:cs="Open Sans"/>
          <w:color w:val="000000" w:themeColor="text1"/>
        </w:rPr>
        <w:t>national emergency laws</w:t>
      </w:r>
      <w:r w:rsidR="007E02B5" w:rsidRPr="007E02B5">
        <w:rPr>
          <w:rFonts w:cs="Open Sans"/>
          <w:color w:val="000000" w:themeColor="text1"/>
        </w:rPr>
        <w:t>’</w:t>
      </w:r>
      <w:r w:rsidR="00C914B8" w:rsidRPr="007E02B5">
        <w:rPr>
          <w:rFonts w:cs="Open Sans"/>
          <w:color w:val="000000" w:themeColor="text1"/>
        </w:rPr>
        <w:t>.</w:t>
      </w:r>
      <w:r w:rsidR="007E02B5" w:rsidRPr="007E02B5">
        <w:rPr>
          <w:rFonts w:cs="Open Sans"/>
          <w:color w:val="000000" w:themeColor="text1"/>
        </w:rPr>
        <w:t xml:space="preserve"> </w:t>
      </w:r>
      <w:r w:rsidR="007E02B5">
        <w:rPr>
          <w:rFonts w:cs="Open Sans"/>
          <w:color w:val="000000" w:themeColor="text1"/>
        </w:rPr>
        <w:t xml:space="preserve">The </w:t>
      </w:r>
      <w:r w:rsidR="00102999">
        <w:rPr>
          <w:rFonts w:cs="Open Sans"/>
          <w:color w:val="000000" w:themeColor="text1"/>
        </w:rPr>
        <w:t>definition of</w:t>
      </w:r>
      <w:r w:rsidR="007E02B5">
        <w:rPr>
          <w:rFonts w:cs="Open Sans"/>
          <w:color w:val="000000" w:themeColor="text1"/>
        </w:rPr>
        <w:t xml:space="preserve"> </w:t>
      </w:r>
      <w:r w:rsidR="00C914B8" w:rsidRPr="007E02B5">
        <w:rPr>
          <w:rFonts w:cs="Open Sans"/>
          <w:color w:val="000000" w:themeColor="text1"/>
        </w:rPr>
        <w:t>‘</w:t>
      </w:r>
      <w:r w:rsidR="007E02B5">
        <w:rPr>
          <w:rFonts w:cs="Open Sans"/>
          <w:color w:val="000000" w:themeColor="text1"/>
        </w:rPr>
        <w:t>n</w:t>
      </w:r>
      <w:r w:rsidR="00C914B8" w:rsidRPr="007E02B5">
        <w:rPr>
          <w:rFonts w:cs="Open Sans"/>
          <w:color w:val="000000" w:themeColor="text1"/>
        </w:rPr>
        <w:t xml:space="preserve">ational emergency laws’ </w:t>
      </w:r>
      <w:r w:rsidR="00102999">
        <w:rPr>
          <w:rFonts w:cs="Open Sans"/>
          <w:color w:val="000000" w:themeColor="text1"/>
        </w:rPr>
        <w:t xml:space="preserve">in s 10 of the Act </w:t>
      </w:r>
      <w:r w:rsidR="00544836">
        <w:rPr>
          <w:rFonts w:cs="Open Sans"/>
          <w:color w:val="000000" w:themeColor="text1"/>
        </w:rPr>
        <w:lastRenderedPageBreak/>
        <w:t xml:space="preserve">consolidates the powers and functions </w:t>
      </w:r>
      <w:r w:rsidR="00CD4107">
        <w:rPr>
          <w:rFonts w:cs="Open Sans"/>
          <w:color w:val="000000" w:themeColor="text1"/>
        </w:rPr>
        <w:t xml:space="preserve">currently </w:t>
      </w:r>
      <w:r w:rsidR="00544836">
        <w:rPr>
          <w:rFonts w:cs="Open Sans"/>
          <w:color w:val="000000" w:themeColor="text1"/>
        </w:rPr>
        <w:t>available to the Commonwealth during a national emergency by listing</w:t>
      </w:r>
      <w:r w:rsidR="00102999">
        <w:rPr>
          <w:rFonts w:cs="Open Sans"/>
          <w:color w:val="000000" w:themeColor="text1"/>
        </w:rPr>
        <w:t xml:space="preserve"> the relevant Commonwealth laws which are triggered by a national emergency declaration</w:t>
      </w:r>
      <w:r w:rsidR="00544836">
        <w:rPr>
          <w:rFonts w:cs="Open Sans"/>
          <w:color w:val="000000" w:themeColor="text1"/>
        </w:rPr>
        <w:t xml:space="preserve">. </w:t>
      </w:r>
    </w:p>
    <w:p w14:paraId="7BCC4821" w14:textId="074E9359" w:rsidR="00CD4107" w:rsidRDefault="00CD4107" w:rsidP="00CD4107">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These emergency powers make it easier for the Executive to respond to emergency situations. </w:t>
      </w:r>
      <w:r w:rsidR="00B43F1D">
        <w:rPr>
          <w:rFonts w:cs="Open Sans"/>
          <w:color w:val="000000" w:themeColor="text1"/>
        </w:rPr>
        <w:t>For example, emergency powers may be used to relax curfews at regional airports allowing aircraft carrying vital supplies to take off and land over a broader range of times</w:t>
      </w:r>
      <w:r w:rsidR="00B475AD">
        <w:rPr>
          <w:rFonts w:cs="Open Sans"/>
          <w:color w:val="000000" w:themeColor="text1"/>
        </w:rPr>
        <w:t>,</w:t>
      </w:r>
      <w:r w:rsidR="0071034A">
        <w:rPr>
          <w:rFonts w:cs="Open Sans"/>
          <w:color w:val="000000" w:themeColor="text1"/>
        </w:rPr>
        <w:t xml:space="preserve"> or </w:t>
      </w:r>
      <w:r w:rsidR="00B475AD">
        <w:rPr>
          <w:rFonts w:cs="Open Sans"/>
          <w:color w:val="000000" w:themeColor="text1"/>
        </w:rPr>
        <w:t xml:space="preserve">to </w:t>
      </w:r>
      <w:r w:rsidR="0071034A">
        <w:rPr>
          <w:rFonts w:cs="Open Sans"/>
          <w:color w:val="000000" w:themeColor="text1"/>
        </w:rPr>
        <w:t>take steps to ensure therapeutic goods are stockpiled quickly and can be made available urgently</w:t>
      </w:r>
      <w:r w:rsidR="00B43F1D">
        <w:rPr>
          <w:rFonts w:cs="Open Sans"/>
          <w:color w:val="000000" w:themeColor="text1"/>
        </w:rPr>
        <w:t xml:space="preserve">. </w:t>
      </w:r>
      <w:r>
        <w:rPr>
          <w:rFonts w:cs="Open Sans"/>
          <w:color w:val="000000" w:themeColor="text1"/>
        </w:rPr>
        <w:t>However, the exercise of some of these powers also come with costs. As a result, it is necessary to ensure that they are only used in situations of real emergency. For example</w:t>
      </w:r>
      <w:r w:rsidR="00A661B9">
        <w:rPr>
          <w:rFonts w:cs="Open Sans"/>
          <w:color w:val="000000" w:themeColor="text1"/>
        </w:rPr>
        <w:t>, during the period that a national emergency declaration is in force</w:t>
      </w:r>
      <w:r>
        <w:rPr>
          <w:rFonts w:cs="Open Sans"/>
          <w:color w:val="000000" w:themeColor="text1"/>
        </w:rPr>
        <w:t>:</w:t>
      </w:r>
    </w:p>
    <w:p w14:paraId="6A635C79" w14:textId="34D01AD4" w:rsidR="00CD4107" w:rsidRPr="00A661B9" w:rsidRDefault="00144003" w:rsidP="00B43F1D">
      <w:pPr>
        <w:pStyle w:val="ListNumber"/>
        <w:numPr>
          <w:ilvl w:val="0"/>
          <w:numId w:val="42"/>
        </w:numPr>
        <w:tabs>
          <w:tab w:val="left" w:pos="1418"/>
        </w:tabs>
        <w:spacing w:after="240"/>
        <w:rPr>
          <w:rFonts w:cs="Open Sans"/>
          <w:color w:val="000000" w:themeColor="text1"/>
        </w:rPr>
      </w:pPr>
      <w:r>
        <w:rPr>
          <w:rFonts w:cs="Open Sans"/>
          <w:color w:val="000000" w:themeColor="text1"/>
        </w:rPr>
        <w:t xml:space="preserve">The </w:t>
      </w:r>
      <w:r w:rsidR="0083499E">
        <w:rPr>
          <w:rFonts w:cs="Open Sans"/>
          <w:color w:val="000000" w:themeColor="text1"/>
        </w:rPr>
        <w:t>Governor-General may, on the advice of the Minister</w:t>
      </w:r>
      <w:r w:rsidR="0061178C">
        <w:rPr>
          <w:rFonts w:cs="Open Sans"/>
          <w:color w:val="000000" w:themeColor="text1"/>
        </w:rPr>
        <w:t xml:space="preserve"> in the event of a shortage or likely shortage of liquid fuel</w:t>
      </w:r>
      <w:r w:rsidR="0083499E">
        <w:rPr>
          <w:rFonts w:cs="Open Sans"/>
          <w:color w:val="000000" w:themeColor="text1"/>
        </w:rPr>
        <w:t xml:space="preserve">, declare a national liquid fuel emergency, under s 16 of the </w:t>
      </w:r>
      <w:r w:rsidR="0083499E" w:rsidRPr="00F15272">
        <w:rPr>
          <w:rFonts w:cs="Open Sans"/>
          <w:i/>
          <w:iCs/>
          <w:color w:val="000000" w:themeColor="text1"/>
        </w:rPr>
        <w:t>Liquid Fuel Emergency Act 1984</w:t>
      </w:r>
      <w:r w:rsidR="0083499E">
        <w:rPr>
          <w:rFonts w:cs="Open Sans"/>
          <w:color w:val="000000" w:themeColor="text1"/>
        </w:rPr>
        <w:t xml:space="preserve"> (Cth). Th</w:t>
      </w:r>
      <w:r w:rsidR="0061178C">
        <w:rPr>
          <w:rFonts w:cs="Open Sans"/>
          <w:color w:val="000000" w:themeColor="text1"/>
        </w:rPr>
        <w:t>is</w:t>
      </w:r>
      <w:r w:rsidR="0083499E">
        <w:rPr>
          <w:rFonts w:cs="Open Sans"/>
          <w:color w:val="000000" w:themeColor="text1"/>
        </w:rPr>
        <w:t xml:space="preserve"> declaration enlivens powers for the Minister to </w:t>
      </w:r>
      <w:r w:rsidR="0083499E" w:rsidRPr="00F15272">
        <w:rPr>
          <w:rFonts w:cs="Open Sans"/>
          <w:color w:val="000000" w:themeColor="text1"/>
        </w:rPr>
        <w:t xml:space="preserve">direct fuel industry corporations to </w:t>
      </w:r>
      <w:r w:rsidR="0083499E">
        <w:rPr>
          <w:rFonts w:cs="Open Sans"/>
          <w:color w:val="000000" w:themeColor="text1"/>
        </w:rPr>
        <w:t xml:space="preserve">take certain actions, including </w:t>
      </w:r>
      <w:r w:rsidR="0083499E" w:rsidRPr="00F15272">
        <w:rPr>
          <w:rFonts w:cs="Open Sans"/>
          <w:color w:val="000000" w:themeColor="text1"/>
        </w:rPr>
        <w:t>maintain</w:t>
      </w:r>
      <w:r w:rsidR="0083499E">
        <w:rPr>
          <w:rFonts w:cs="Open Sans"/>
          <w:color w:val="000000" w:themeColor="text1"/>
        </w:rPr>
        <w:t>ing</w:t>
      </w:r>
      <w:r w:rsidR="0083499E" w:rsidRPr="00F15272">
        <w:rPr>
          <w:rFonts w:cs="Open Sans"/>
          <w:color w:val="000000" w:themeColor="text1"/>
        </w:rPr>
        <w:t xml:space="preserve"> </w:t>
      </w:r>
      <w:r w:rsidR="0083499E">
        <w:rPr>
          <w:rFonts w:cs="Open Sans"/>
          <w:color w:val="000000" w:themeColor="text1"/>
        </w:rPr>
        <w:t xml:space="preserve">and transferring </w:t>
      </w:r>
      <w:r w:rsidR="0083499E" w:rsidRPr="00F15272">
        <w:rPr>
          <w:rFonts w:cs="Open Sans"/>
          <w:color w:val="000000" w:themeColor="text1"/>
        </w:rPr>
        <w:t>reserves</w:t>
      </w:r>
      <w:r w:rsidR="0083499E">
        <w:rPr>
          <w:rFonts w:cs="Open Sans"/>
          <w:color w:val="000000" w:themeColor="text1"/>
        </w:rPr>
        <w:t xml:space="preserve"> of</w:t>
      </w:r>
      <w:r w:rsidR="0083499E" w:rsidRPr="00F15272">
        <w:rPr>
          <w:rFonts w:cs="Open Sans"/>
          <w:color w:val="000000" w:themeColor="text1"/>
        </w:rPr>
        <w:t xml:space="preserve"> liquid fuel, </w:t>
      </w:r>
      <w:r w:rsidR="0083499E">
        <w:rPr>
          <w:rFonts w:cs="Open Sans"/>
          <w:color w:val="000000" w:themeColor="text1"/>
        </w:rPr>
        <w:t>requiring</w:t>
      </w:r>
      <w:r w:rsidR="0083499E" w:rsidRPr="00F15272">
        <w:rPr>
          <w:rFonts w:cs="Open Sans"/>
          <w:color w:val="000000" w:themeColor="text1"/>
        </w:rPr>
        <w:t xml:space="preserve"> liquid fuel </w:t>
      </w:r>
      <w:r w:rsidR="0083499E">
        <w:rPr>
          <w:rFonts w:cs="Open Sans"/>
          <w:color w:val="000000" w:themeColor="text1"/>
        </w:rPr>
        <w:t xml:space="preserve">to </w:t>
      </w:r>
      <w:r w:rsidR="0083499E" w:rsidRPr="00F15272">
        <w:rPr>
          <w:rFonts w:cs="Open Sans"/>
          <w:color w:val="000000" w:themeColor="text1"/>
        </w:rPr>
        <w:t xml:space="preserve">be made available for purchase, </w:t>
      </w:r>
      <w:r w:rsidR="0083499E">
        <w:rPr>
          <w:rFonts w:cs="Open Sans"/>
          <w:color w:val="000000" w:themeColor="text1"/>
        </w:rPr>
        <w:t xml:space="preserve">requiring a refinery to produce a specified amount of liquid fuel, and regulating or prohibiting </w:t>
      </w:r>
      <w:r w:rsidR="0083499E" w:rsidRPr="00F15272">
        <w:rPr>
          <w:rFonts w:cs="Open Sans"/>
          <w:color w:val="000000" w:themeColor="text1"/>
        </w:rPr>
        <w:t>supply of liquid fuel</w:t>
      </w:r>
      <w:r w:rsidR="0083499E">
        <w:rPr>
          <w:rFonts w:cs="Open Sans"/>
          <w:color w:val="000000" w:themeColor="text1"/>
        </w:rPr>
        <w:t xml:space="preserve"> in the course of trade</w:t>
      </w:r>
      <w:r w:rsidR="0083499E" w:rsidRPr="00F15272">
        <w:rPr>
          <w:rFonts w:cs="Open Sans"/>
          <w:color w:val="000000" w:themeColor="text1"/>
        </w:rPr>
        <w:t>.</w:t>
      </w:r>
      <w:r w:rsidR="00800B99">
        <w:rPr>
          <w:rStyle w:val="EndnoteReference"/>
          <w:rFonts w:cs="Open Sans"/>
          <w:color w:val="000000" w:themeColor="text1"/>
        </w:rPr>
        <w:endnoteReference w:id="3"/>
      </w:r>
      <w:r w:rsidR="0083499E" w:rsidRPr="00F15272">
        <w:rPr>
          <w:rFonts w:cs="Open Sans"/>
          <w:color w:val="000000" w:themeColor="text1"/>
        </w:rPr>
        <w:t xml:space="preserve"> </w:t>
      </w:r>
      <w:r w:rsidR="0083499E">
        <w:rPr>
          <w:rFonts w:cs="Open Sans"/>
          <w:color w:val="000000" w:themeColor="text1"/>
        </w:rPr>
        <w:t>While the Minister is prevented from regulating price</w:t>
      </w:r>
      <w:r w:rsidR="0083499E" w:rsidRPr="00F15272">
        <w:rPr>
          <w:rFonts w:cs="Open Sans"/>
          <w:color w:val="000000" w:themeColor="text1"/>
        </w:rPr>
        <w:t xml:space="preserve">, </w:t>
      </w:r>
      <w:r w:rsidR="0083499E">
        <w:rPr>
          <w:rFonts w:cs="Open Sans"/>
          <w:color w:val="000000" w:themeColor="text1"/>
        </w:rPr>
        <w:t>the degree of control the Minister is empowered to exercise over</w:t>
      </w:r>
      <w:r w:rsidR="00BA1174">
        <w:rPr>
          <w:rFonts w:cs="Open Sans"/>
          <w:color w:val="000000" w:themeColor="text1"/>
        </w:rPr>
        <w:t xml:space="preserve"> </w:t>
      </w:r>
      <w:r w:rsidR="0083499E">
        <w:rPr>
          <w:rFonts w:cs="Open Sans"/>
          <w:color w:val="000000" w:themeColor="text1"/>
        </w:rPr>
        <w:t>private industry</w:t>
      </w:r>
      <w:r w:rsidR="00BA1174">
        <w:rPr>
          <w:rFonts w:cs="Open Sans"/>
          <w:color w:val="000000" w:themeColor="text1"/>
        </w:rPr>
        <w:t xml:space="preserve"> production and</w:t>
      </w:r>
      <w:r w:rsidR="0083499E">
        <w:rPr>
          <w:rFonts w:cs="Open Sans"/>
          <w:color w:val="000000" w:themeColor="text1"/>
        </w:rPr>
        <w:t xml:space="preserve"> supply would necessarily </w:t>
      </w:r>
      <w:r w:rsidR="0061178C">
        <w:rPr>
          <w:rFonts w:cs="Open Sans"/>
          <w:color w:val="000000" w:themeColor="text1"/>
        </w:rPr>
        <w:t xml:space="preserve">have an </w:t>
      </w:r>
      <w:r w:rsidR="0083499E">
        <w:rPr>
          <w:rFonts w:cs="Open Sans"/>
          <w:color w:val="000000" w:themeColor="text1"/>
        </w:rPr>
        <w:t xml:space="preserve">impact on </w:t>
      </w:r>
      <w:r w:rsidR="00B475AD">
        <w:rPr>
          <w:rFonts w:cs="Open Sans"/>
          <w:color w:val="000000" w:themeColor="text1"/>
        </w:rPr>
        <w:t xml:space="preserve">competition and </w:t>
      </w:r>
      <w:r w:rsidR="0061178C">
        <w:rPr>
          <w:rFonts w:cs="Open Sans"/>
          <w:color w:val="000000" w:themeColor="text1"/>
        </w:rPr>
        <w:t xml:space="preserve">the market </w:t>
      </w:r>
      <w:r w:rsidR="0083499E" w:rsidRPr="00F15272">
        <w:rPr>
          <w:rFonts w:cs="Open Sans"/>
          <w:color w:val="000000" w:themeColor="text1"/>
        </w:rPr>
        <w:t>price</w:t>
      </w:r>
      <w:r w:rsidR="00E654F7">
        <w:rPr>
          <w:rFonts w:cs="Open Sans"/>
          <w:color w:val="000000" w:themeColor="text1"/>
        </w:rPr>
        <w:t xml:space="preserve"> of liquid fuel</w:t>
      </w:r>
      <w:r>
        <w:rPr>
          <w:rFonts w:cs="Open Sans"/>
          <w:color w:val="000000" w:themeColor="text1"/>
        </w:rPr>
        <w:t>.</w:t>
      </w:r>
      <w:r w:rsidR="0083499E" w:rsidRPr="00A661B9" w:rsidDel="0083499E">
        <w:rPr>
          <w:rFonts w:cs="Open Sans"/>
          <w:color w:val="000000" w:themeColor="text1"/>
        </w:rPr>
        <w:t xml:space="preserve"> </w:t>
      </w:r>
    </w:p>
    <w:p w14:paraId="47CDA4EC" w14:textId="2EA216B3" w:rsidR="00B43F1D" w:rsidRPr="00A661B9" w:rsidRDefault="00144003" w:rsidP="00B43F1D">
      <w:pPr>
        <w:pStyle w:val="ListNumber"/>
        <w:numPr>
          <w:ilvl w:val="0"/>
          <w:numId w:val="42"/>
        </w:numPr>
        <w:tabs>
          <w:tab w:val="left" w:pos="1418"/>
        </w:tabs>
        <w:spacing w:after="240"/>
        <w:rPr>
          <w:rFonts w:cs="Open Sans"/>
          <w:color w:val="000000" w:themeColor="text1"/>
        </w:rPr>
      </w:pPr>
      <w:r>
        <w:rPr>
          <w:rFonts w:cs="Open Sans"/>
          <w:color w:val="000000" w:themeColor="text1"/>
        </w:rPr>
        <w:t xml:space="preserve">The </w:t>
      </w:r>
      <w:r w:rsidR="0061178C">
        <w:rPr>
          <w:rFonts w:cs="Open Sans"/>
          <w:color w:val="000000" w:themeColor="text1"/>
        </w:rPr>
        <w:t xml:space="preserve">Australian Competition and Consumer Commission </w:t>
      </w:r>
      <w:r w:rsidR="00BA1174">
        <w:rPr>
          <w:rFonts w:cs="Open Sans"/>
          <w:color w:val="000000" w:themeColor="text1"/>
        </w:rPr>
        <w:t xml:space="preserve">(ACCC) </w:t>
      </w:r>
      <w:r w:rsidR="0061178C">
        <w:rPr>
          <w:rFonts w:cs="Open Sans"/>
          <w:color w:val="000000" w:themeColor="text1"/>
        </w:rPr>
        <w:t>may</w:t>
      </w:r>
      <w:r w:rsidR="005F487F">
        <w:rPr>
          <w:rFonts w:cs="Open Sans"/>
          <w:color w:val="000000" w:themeColor="text1"/>
        </w:rPr>
        <w:t>, on application,</w:t>
      </w:r>
      <w:r w:rsidR="0061178C">
        <w:rPr>
          <w:rFonts w:cs="Open Sans"/>
          <w:color w:val="000000" w:themeColor="text1"/>
        </w:rPr>
        <w:t xml:space="preserve"> make a determination authoris</w:t>
      </w:r>
      <w:r w:rsidR="005F487F">
        <w:rPr>
          <w:rFonts w:cs="Open Sans"/>
          <w:color w:val="000000" w:themeColor="text1"/>
        </w:rPr>
        <w:t>ing</w:t>
      </w:r>
      <w:r w:rsidR="0061178C">
        <w:rPr>
          <w:rFonts w:cs="Open Sans"/>
          <w:color w:val="000000" w:themeColor="text1"/>
        </w:rPr>
        <w:t xml:space="preserve"> </w:t>
      </w:r>
      <w:r w:rsidR="005F487F">
        <w:rPr>
          <w:rFonts w:cs="Open Sans"/>
          <w:color w:val="000000" w:themeColor="text1"/>
        </w:rPr>
        <w:t xml:space="preserve">conduct which otherwise would contravene Part IV of the </w:t>
      </w:r>
      <w:r w:rsidR="001C594B" w:rsidRPr="00F15272">
        <w:rPr>
          <w:rFonts w:cs="Open Sans"/>
          <w:i/>
          <w:iCs/>
          <w:color w:val="000000" w:themeColor="text1"/>
        </w:rPr>
        <w:t>Competition and Consumer Act 2010</w:t>
      </w:r>
      <w:r w:rsidR="001C594B">
        <w:rPr>
          <w:rFonts w:cs="Open Sans"/>
          <w:color w:val="000000" w:themeColor="text1"/>
        </w:rPr>
        <w:t xml:space="preserve"> (Cth) </w:t>
      </w:r>
      <w:r w:rsidR="005F487F">
        <w:rPr>
          <w:rFonts w:cs="Open Sans"/>
          <w:color w:val="000000" w:themeColor="text1"/>
        </w:rPr>
        <w:t xml:space="preserve">which relates to restrictive trade practices and includes </w:t>
      </w:r>
      <w:r w:rsidR="00CC6D69" w:rsidRPr="000850DD">
        <w:rPr>
          <w:rFonts w:cs="Open Sans"/>
          <w:color w:val="000000" w:themeColor="text1"/>
        </w:rPr>
        <w:t>conduct such as price fixing, market sharing and bid rigging</w:t>
      </w:r>
      <w:r w:rsidR="005F487F">
        <w:rPr>
          <w:rFonts w:cs="Open Sans"/>
          <w:color w:val="000000" w:themeColor="text1"/>
        </w:rPr>
        <w:t>.</w:t>
      </w:r>
      <w:r w:rsidR="001C594B">
        <w:rPr>
          <w:rStyle w:val="EndnoteReference"/>
          <w:rFonts w:cs="Open Sans"/>
          <w:color w:val="000000" w:themeColor="text1"/>
        </w:rPr>
        <w:endnoteReference w:id="4"/>
      </w:r>
      <w:r w:rsidR="005F487F">
        <w:rPr>
          <w:rFonts w:cs="Open Sans"/>
          <w:color w:val="000000" w:themeColor="text1"/>
        </w:rPr>
        <w:t xml:space="preserve"> </w:t>
      </w:r>
      <w:r w:rsidR="004C5150">
        <w:rPr>
          <w:rFonts w:cs="Open Sans"/>
          <w:color w:val="000000" w:themeColor="text1"/>
        </w:rPr>
        <w:t xml:space="preserve">While the ACCC must be satisfied that the conduct </w:t>
      </w:r>
      <w:r w:rsidR="00CC6D69">
        <w:rPr>
          <w:rFonts w:cs="Open Sans"/>
          <w:color w:val="000000" w:themeColor="text1"/>
        </w:rPr>
        <w:t xml:space="preserve">would assist in the response to the emergency and </w:t>
      </w:r>
      <w:r w:rsidR="00E13139">
        <w:rPr>
          <w:rFonts w:cs="Open Sans"/>
          <w:color w:val="000000" w:themeColor="text1"/>
        </w:rPr>
        <w:t>would result in a benefit to the public that outweighs any detriment of the conduct,</w:t>
      </w:r>
      <w:r w:rsidR="001C594B">
        <w:rPr>
          <w:rStyle w:val="EndnoteReference"/>
          <w:rFonts w:cs="Open Sans"/>
          <w:color w:val="000000" w:themeColor="text1"/>
        </w:rPr>
        <w:endnoteReference w:id="5"/>
      </w:r>
      <w:r w:rsidR="00E13139">
        <w:rPr>
          <w:rFonts w:cs="Open Sans"/>
          <w:color w:val="000000" w:themeColor="text1"/>
        </w:rPr>
        <w:t xml:space="preserve"> the allowance of a</w:t>
      </w:r>
      <w:r w:rsidR="0061178C">
        <w:rPr>
          <w:rFonts w:cs="Open Sans"/>
          <w:color w:val="000000" w:themeColor="text1"/>
        </w:rPr>
        <w:t>nti-competitive conduct</w:t>
      </w:r>
      <w:r w:rsidR="00BA1174">
        <w:rPr>
          <w:rFonts w:cs="Open Sans"/>
          <w:color w:val="000000" w:themeColor="text1"/>
        </w:rPr>
        <w:t xml:space="preserve"> may </w:t>
      </w:r>
      <w:r w:rsidR="00CC6D69">
        <w:rPr>
          <w:rFonts w:cs="Open Sans"/>
          <w:color w:val="000000" w:themeColor="text1"/>
        </w:rPr>
        <w:t xml:space="preserve">have an adverse </w:t>
      </w:r>
      <w:r w:rsidR="00E13139">
        <w:rPr>
          <w:rFonts w:cs="Open Sans"/>
          <w:color w:val="000000" w:themeColor="text1"/>
        </w:rPr>
        <w:t>impact</w:t>
      </w:r>
      <w:r w:rsidR="00BA1174">
        <w:rPr>
          <w:rFonts w:cs="Open Sans"/>
          <w:color w:val="000000" w:themeColor="text1"/>
        </w:rPr>
        <w:t xml:space="preserve"> </w:t>
      </w:r>
      <w:r w:rsidR="00E13139">
        <w:rPr>
          <w:rFonts w:cs="Open Sans"/>
          <w:color w:val="000000" w:themeColor="text1"/>
        </w:rPr>
        <w:t xml:space="preserve">on </w:t>
      </w:r>
      <w:r w:rsidR="00CC6D69">
        <w:rPr>
          <w:rFonts w:cs="Open Sans"/>
          <w:color w:val="000000" w:themeColor="text1"/>
        </w:rPr>
        <w:t xml:space="preserve">consumers by, for example, increasing </w:t>
      </w:r>
      <w:r w:rsidR="00E13139">
        <w:rPr>
          <w:rFonts w:cs="Open Sans"/>
          <w:color w:val="000000" w:themeColor="text1"/>
        </w:rPr>
        <w:t xml:space="preserve">the price </w:t>
      </w:r>
      <w:r w:rsidR="00CC6D69">
        <w:rPr>
          <w:rFonts w:cs="Open Sans"/>
          <w:color w:val="000000" w:themeColor="text1"/>
        </w:rPr>
        <w:t xml:space="preserve">and decreasing the choice </w:t>
      </w:r>
      <w:r w:rsidR="00E13139">
        <w:rPr>
          <w:rFonts w:cs="Open Sans"/>
          <w:color w:val="000000" w:themeColor="text1"/>
        </w:rPr>
        <w:t>of goods and services</w:t>
      </w:r>
      <w:r>
        <w:rPr>
          <w:rFonts w:cs="Open Sans"/>
          <w:color w:val="000000" w:themeColor="text1"/>
        </w:rPr>
        <w:t>.</w:t>
      </w:r>
      <w:r w:rsidR="0061178C">
        <w:rPr>
          <w:rFonts w:cs="Open Sans"/>
          <w:color w:val="000000" w:themeColor="text1"/>
        </w:rPr>
        <w:t xml:space="preserve"> </w:t>
      </w:r>
    </w:p>
    <w:p w14:paraId="7CF9A300" w14:textId="7D4DCD45" w:rsidR="00B43F1D" w:rsidRPr="00A661B9" w:rsidRDefault="00144003" w:rsidP="00B43F1D">
      <w:pPr>
        <w:pStyle w:val="ListNumber"/>
        <w:numPr>
          <w:ilvl w:val="0"/>
          <w:numId w:val="42"/>
        </w:numPr>
        <w:tabs>
          <w:tab w:val="left" w:pos="1418"/>
        </w:tabs>
        <w:spacing w:after="240"/>
        <w:rPr>
          <w:rFonts w:cs="Open Sans"/>
          <w:color w:val="000000" w:themeColor="text1"/>
        </w:rPr>
      </w:pPr>
      <w:r>
        <w:rPr>
          <w:rFonts w:cs="Open Sans"/>
          <w:color w:val="000000" w:themeColor="text1"/>
        </w:rPr>
        <w:t xml:space="preserve">Telecommunications </w:t>
      </w:r>
      <w:r w:rsidR="003378AC">
        <w:rPr>
          <w:rFonts w:cs="Open Sans"/>
          <w:color w:val="000000" w:themeColor="text1"/>
        </w:rPr>
        <w:t xml:space="preserve">carriers, carriage service providers and carriage service intermediaries </w:t>
      </w:r>
      <w:r w:rsidR="0071034A">
        <w:rPr>
          <w:rFonts w:cs="Open Sans"/>
          <w:color w:val="000000" w:themeColor="text1"/>
        </w:rPr>
        <w:t>are required to</w:t>
      </w:r>
      <w:r w:rsidR="003378AC">
        <w:rPr>
          <w:rFonts w:cs="Open Sans"/>
          <w:color w:val="000000" w:themeColor="text1"/>
        </w:rPr>
        <w:t xml:space="preserve"> give officers and </w:t>
      </w:r>
      <w:r w:rsidR="003378AC">
        <w:rPr>
          <w:rFonts w:cs="Open Sans"/>
          <w:color w:val="000000" w:themeColor="text1"/>
        </w:rPr>
        <w:lastRenderedPageBreak/>
        <w:t xml:space="preserve">authorities of the Commonwealth and the States and Territories such help as is reasonably necessary to </w:t>
      </w:r>
      <w:r w:rsidR="003378AC" w:rsidRPr="00D125B8">
        <w:rPr>
          <w:rFonts w:cs="Open Sans"/>
          <w:color w:val="000000" w:themeColor="text1"/>
        </w:rPr>
        <w:t>prepar</w:t>
      </w:r>
      <w:r w:rsidR="003378AC">
        <w:rPr>
          <w:rFonts w:cs="Open Sans"/>
          <w:color w:val="000000" w:themeColor="text1"/>
        </w:rPr>
        <w:t>e</w:t>
      </w:r>
      <w:r w:rsidR="003378AC" w:rsidRPr="00D125B8">
        <w:rPr>
          <w:rFonts w:cs="Open Sans"/>
          <w:color w:val="000000" w:themeColor="text1"/>
        </w:rPr>
        <w:t xml:space="preserve"> for, respond to or recover from an emergency to which the declaration relates</w:t>
      </w:r>
      <w:r w:rsidR="003378AC">
        <w:rPr>
          <w:rFonts w:cs="Open Sans"/>
          <w:color w:val="000000" w:themeColor="text1"/>
        </w:rPr>
        <w:t>.</w:t>
      </w:r>
      <w:r w:rsidR="001C594B">
        <w:rPr>
          <w:rStyle w:val="EndnoteReference"/>
          <w:rFonts w:cs="Open Sans"/>
          <w:color w:val="000000" w:themeColor="text1"/>
        </w:rPr>
        <w:endnoteReference w:id="6"/>
      </w:r>
      <w:r w:rsidR="003378AC">
        <w:rPr>
          <w:rFonts w:cs="Open Sans"/>
          <w:color w:val="000000" w:themeColor="text1"/>
        </w:rPr>
        <w:t xml:space="preserve"> </w:t>
      </w:r>
      <w:r w:rsidR="00800B99">
        <w:rPr>
          <w:rFonts w:cs="Open Sans"/>
          <w:color w:val="000000" w:themeColor="text1"/>
        </w:rPr>
        <w:t xml:space="preserve">‘Giving help’ includes </w:t>
      </w:r>
      <w:r w:rsidR="00800B99" w:rsidRPr="00D125B8">
        <w:rPr>
          <w:rFonts w:cs="Open Sans"/>
          <w:color w:val="000000" w:themeColor="text1"/>
        </w:rPr>
        <w:t xml:space="preserve">the provision of </w:t>
      </w:r>
      <w:r w:rsidR="00164E06">
        <w:rPr>
          <w:rFonts w:cs="Open Sans"/>
          <w:color w:val="000000" w:themeColor="text1"/>
        </w:rPr>
        <w:t xml:space="preserve">telecommunications </w:t>
      </w:r>
      <w:r w:rsidR="00800B99" w:rsidRPr="00D125B8">
        <w:rPr>
          <w:rFonts w:cs="Open Sans"/>
          <w:color w:val="000000" w:themeColor="text1"/>
        </w:rPr>
        <w:t>interception services</w:t>
      </w:r>
      <w:r w:rsidR="00164E06">
        <w:rPr>
          <w:rFonts w:cs="Open Sans"/>
          <w:color w:val="000000" w:themeColor="text1"/>
        </w:rPr>
        <w:t xml:space="preserve"> (including services in executing an interception warrant)</w:t>
      </w:r>
      <w:r w:rsidR="00800B99" w:rsidRPr="00D125B8">
        <w:rPr>
          <w:rFonts w:cs="Open Sans"/>
          <w:color w:val="000000" w:themeColor="text1"/>
        </w:rPr>
        <w:t>, giving effect to a stored communications warrant, providing relevant information about communication</w:t>
      </w:r>
      <w:r w:rsidR="00800B99">
        <w:rPr>
          <w:rFonts w:cs="Open Sans"/>
          <w:color w:val="000000" w:themeColor="text1"/>
        </w:rPr>
        <w:t>s</w:t>
      </w:r>
      <w:r w:rsidR="00800B99" w:rsidRPr="00D125B8">
        <w:rPr>
          <w:rFonts w:cs="Open Sans"/>
          <w:color w:val="000000" w:themeColor="text1"/>
        </w:rPr>
        <w:t xml:space="preserve"> that </w:t>
      </w:r>
      <w:r w:rsidR="00800B99">
        <w:rPr>
          <w:rFonts w:cs="Open Sans"/>
          <w:color w:val="000000" w:themeColor="text1"/>
        </w:rPr>
        <w:t>are</w:t>
      </w:r>
      <w:r w:rsidR="00800B99" w:rsidRPr="00D125B8">
        <w:rPr>
          <w:rFonts w:cs="Open Sans"/>
          <w:color w:val="000000" w:themeColor="text1"/>
        </w:rPr>
        <w:t xml:space="preserve"> lawfully intercepted or accessed, giving effect to authorisations and disclosing information</w:t>
      </w:r>
      <w:r w:rsidR="00800B99" w:rsidRPr="00A661B9" w:rsidDel="003378AC">
        <w:rPr>
          <w:rFonts w:cs="Open Sans"/>
          <w:color w:val="000000" w:themeColor="text1"/>
        </w:rPr>
        <w:t xml:space="preserve"> </w:t>
      </w:r>
      <w:r w:rsidR="00800B99">
        <w:rPr>
          <w:rFonts w:cs="Open Sans"/>
          <w:color w:val="000000" w:themeColor="text1"/>
        </w:rPr>
        <w:t>or documents</w:t>
      </w:r>
      <w:r w:rsidR="00164E06">
        <w:rPr>
          <w:rFonts w:cs="Open Sans"/>
          <w:color w:val="000000" w:themeColor="text1"/>
        </w:rPr>
        <w:t xml:space="preserve"> authorised by or under law.</w:t>
      </w:r>
      <w:r w:rsidR="001C594B">
        <w:rPr>
          <w:rStyle w:val="EndnoteReference"/>
          <w:rFonts w:cs="Open Sans"/>
          <w:color w:val="000000" w:themeColor="text1"/>
        </w:rPr>
        <w:endnoteReference w:id="7"/>
      </w:r>
      <w:r w:rsidR="00164E06">
        <w:rPr>
          <w:rFonts w:cs="Open Sans"/>
          <w:color w:val="000000" w:themeColor="text1"/>
        </w:rPr>
        <w:t xml:space="preserve"> The</w:t>
      </w:r>
      <w:r w:rsidR="003474D7">
        <w:rPr>
          <w:rFonts w:cs="Open Sans"/>
          <w:color w:val="000000" w:themeColor="text1"/>
        </w:rPr>
        <w:t xml:space="preserve"> exercise of these</w:t>
      </w:r>
      <w:r w:rsidR="00164E06">
        <w:rPr>
          <w:rFonts w:cs="Open Sans"/>
          <w:color w:val="000000" w:themeColor="text1"/>
        </w:rPr>
        <w:t xml:space="preserve"> emergency powers </w:t>
      </w:r>
      <w:r w:rsidR="003474D7">
        <w:rPr>
          <w:rFonts w:cs="Open Sans"/>
          <w:color w:val="000000" w:themeColor="text1"/>
        </w:rPr>
        <w:t xml:space="preserve">necessarily limits the right </w:t>
      </w:r>
      <w:r w:rsidR="00164E06">
        <w:rPr>
          <w:rFonts w:cs="Open Sans"/>
          <w:color w:val="000000" w:themeColor="text1"/>
        </w:rPr>
        <w:t xml:space="preserve">to privacy </w:t>
      </w:r>
      <w:r w:rsidR="003474D7">
        <w:rPr>
          <w:rFonts w:cs="Open Sans"/>
          <w:color w:val="000000" w:themeColor="text1"/>
        </w:rPr>
        <w:t>for any affected person</w:t>
      </w:r>
      <w:r w:rsidR="009B43EF">
        <w:rPr>
          <w:rFonts w:cs="Open Sans"/>
          <w:color w:val="000000" w:themeColor="text1"/>
        </w:rPr>
        <w:t xml:space="preserve">, and this limitation is not </w:t>
      </w:r>
      <w:r w:rsidR="009B43EF" w:rsidRPr="000E7D8A">
        <w:rPr>
          <w:rFonts w:cs="Open Sans"/>
          <w:color w:val="000000" w:themeColor="text1"/>
        </w:rPr>
        <w:t>attended</w:t>
      </w:r>
      <w:r w:rsidR="009B43EF">
        <w:rPr>
          <w:rFonts w:cs="Open Sans"/>
          <w:color w:val="000000" w:themeColor="text1"/>
        </w:rPr>
        <w:t xml:space="preserve"> by </w:t>
      </w:r>
      <w:r w:rsidR="004610C3">
        <w:rPr>
          <w:rFonts w:cs="Open Sans"/>
          <w:color w:val="000000" w:themeColor="text1"/>
        </w:rPr>
        <w:t xml:space="preserve">some of </w:t>
      </w:r>
      <w:r w:rsidR="009B43EF">
        <w:rPr>
          <w:rFonts w:cs="Open Sans"/>
          <w:color w:val="000000" w:themeColor="text1"/>
        </w:rPr>
        <w:t>the usual protections</w:t>
      </w:r>
      <w:r>
        <w:rPr>
          <w:rFonts w:cs="Open Sans"/>
          <w:color w:val="000000" w:themeColor="text1"/>
        </w:rPr>
        <w:t>.</w:t>
      </w:r>
    </w:p>
    <w:p w14:paraId="51D1692F" w14:textId="2D7229AE" w:rsidR="002C7FAC" w:rsidRDefault="00144003" w:rsidP="001B159D">
      <w:pPr>
        <w:pStyle w:val="ListNumber"/>
        <w:numPr>
          <w:ilvl w:val="0"/>
          <w:numId w:val="42"/>
        </w:numPr>
        <w:tabs>
          <w:tab w:val="left" w:pos="1418"/>
        </w:tabs>
        <w:spacing w:after="240"/>
        <w:rPr>
          <w:rFonts w:cs="Open Sans"/>
          <w:color w:val="000000" w:themeColor="text1"/>
        </w:rPr>
      </w:pPr>
      <w:r>
        <w:rPr>
          <w:rFonts w:cs="Open Sans"/>
          <w:color w:val="000000" w:themeColor="text1"/>
        </w:rPr>
        <w:t xml:space="preserve">Declarations </w:t>
      </w:r>
      <w:r w:rsidR="002C7FAC">
        <w:rPr>
          <w:rFonts w:cs="Open Sans"/>
          <w:color w:val="000000" w:themeColor="text1"/>
        </w:rPr>
        <w:t>of emergency may be made by Ministers, Territory Controllers or Administrators in the Territories of Jervis Bay,</w:t>
      </w:r>
      <w:r w:rsidR="002C7FAC">
        <w:rPr>
          <w:rStyle w:val="EndnoteReference"/>
          <w:rFonts w:cs="Open Sans"/>
          <w:color w:val="000000" w:themeColor="text1"/>
        </w:rPr>
        <w:endnoteReference w:id="8"/>
      </w:r>
      <w:r w:rsidR="002C7FAC">
        <w:rPr>
          <w:rFonts w:cs="Open Sans"/>
          <w:color w:val="000000" w:themeColor="text1"/>
        </w:rPr>
        <w:t xml:space="preserve"> Christmas Island,</w:t>
      </w:r>
      <w:r w:rsidR="002C7FAC">
        <w:rPr>
          <w:rStyle w:val="EndnoteReference"/>
          <w:rFonts w:cs="Open Sans"/>
          <w:color w:val="000000" w:themeColor="text1"/>
        </w:rPr>
        <w:endnoteReference w:id="9"/>
      </w:r>
      <w:r w:rsidR="002C7FAC">
        <w:rPr>
          <w:rFonts w:cs="Open Sans"/>
          <w:color w:val="000000" w:themeColor="text1"/>
        </w:rPr>
        <w:t xml:space="preserve"> Cocos Island</w:t>
      </w:r>
      <w:r w:rsidR="002C7FAC">
        <w:rPr>
          <w:rStyle w:val="EndnoteReference"/>
          <w:rFonts w:cs="Open Sans"/>
          <w:color w:val="000000" w:themeColor="text1"/>
        </w:rPr>
        <w:endnoteReference w:id="10"/>
      </w:r>
      <w:r w:rsidR="002C7FAC">
        <w:rPr>
          <w:rFonts w:cs="Open Sans"/>
          <w:color w:val="000000" w:themeColor="text1"/>
        </w:rPr>
        <w:t xml:space="preserve"> and Norfolk Island,</w:t>
      </w:r>
      <w:r w:rsidR="002C7FAC">
        <w:rPr>
          <w:rStyle w:val="EndnoteReference"/>
          <w:rFonts w:cs="Open Sans"/>
          <w:color w:val="000000" w:themeColor="text1"/>
        </w:rPr>
        <w:endnoteReference w:id="11"/>
      </w:r>
      <w:r w:rsidR="002C7FAC">
        <w:rPr>
          <w:rFonts w:cs="Open Sans"/>
          <w:color w:val="000000" w:themeColor="text1"/>
        </w:rPr>
        <w:t xml:space="preserve"> </w:t>
      </w:r>
      <w:r w:rsidR="00635B4D">
        <w:rPr>
          <w:rFonts w:cs="Open Sans"/>
          <w:color w:val="000000" w:themeColor="text1"/>
        </w:rPr>
        <w:t xml:space="preserve">which </w:t>
      </w:r>
      <w:r w:rsidR="00AE7991">
        <w:rPr>
          <w:rFonts w:cs="Open Sans"/>
          <w:color w:val="000000" w:themeColor="text1"/>
        </w:rPr>
        <w:t xml:space="preserve">permit </w:t>
      </w:r>
      <w:r w:rsidR="00635B4D">
        <w:rPr>
          <w:rFonts w:cs="Open Sans"/>
          <w:color w:val="000000" w:themeColor="text1"/>
        </w:rPr>
        <w:t xml:space="preserve">authorities </w:t>
      </w:r>
      <w:r w:rsidR="00AE7991">
        <w:rPr>
          <w:rFonts w:cs="Open Sans"/>
          <w:color w:val="000000" w:themeColor="text1"/>
        </w:rPr>
        <w:t xml:space="preserve">to grant broad powers to ‘authorised officers’ </w:t>
      </w:r>
      <w:r w:rsidR="00635B4D">
        <w:rPr>
          <w:rFonts w:cs="Open Sans"/>
          <w:color w:val="000000" w:themeColor="text1"/>
        </w:rPr>
        <w:t>to respond to the emergency</w:t>
      </w:r>
      <w:r w:rsidR="00B14256">
        <w:rPr>
          <w:rFonts w:cs="Open Sans"/>
          <w:color w:val="000000" w:themeColor="text1"/>
        </w:rPr>
        <w:t>. Those powers include</w:t>
      </w:r>
      <w:r w:rsidR="00635B4D">
        <w:rPr>
          <w:rFonts w:cs="Open Sans"/>
          <w:color w:val="000000" w:themeColor="text1"/>
        </w:rPr>
        <w:t xml:space="preserve"> enter</w:t>
      </w:r>
      <w:r w:rsidR="00B14256">
        <w:rPr>
          <w:rFonts w:cs="Open Sans"/>
          <w:color w:val="000000" w:themeColor="text1"/>
        </w:rPr>
        <w:t>ing</w:t>
      </w:r>
      <w:r w:rsidR="00635B4D">
        <w:rPr>
          <w:rFonts w:cs="Open Sans"/>
          <w:color w:val="000000" w:themeColor="text1"/>
        </w:rPr>
        <w:t xml:space="preserve"> private premises </w:t>
      </w:r>
      <w:r w:rsidR="00AE7991">
        <w:rPr>
          <w:rFonts w:cs="Open Sans"/>
          <w:color w:val="000000" w:themeColor="text1"/>
        </w:rPr>
        <w:t xml:space="preserve">without a warrant and </w:t>
      </w:r>
      <w:r w:rsidR="00635B4D">
        <w:rPr>
          <w:rFonts w:cs="Open Sans"/>
          <w:color w:val="000000" w:themeColor="text1"/>
        </w:rPr>
        <w:t>with the use of force, direct</w:t>
      </w:r>
      <w:r w:rsidR="00B14256">
        <w:rPr>
          <w:rFonts w:cs="Open Sans"/>
          <w:color w:val="000000" w:themeColor="text1"/>
        </w:rPr>
        <w:t>ing</w:t>
      </w:r>
      <w:r w:rsidR="00635B4D">
        <w:rPr>
          <w:rFonts w:cs="Open Sans"/>
          <w:color w:val="000000" w:themeColor="text1"/>
        </w:rPr>
        <w:t xml:space="preserve"> actions with respect to people and property, requir</w:t>
      </w:r>
      <w:r w:rsidR="00B14256">
        <w:rPr>
          <w:rFonts w:cs="Open Sans"/>
          <w:color w:val="000000" w:themeColor="text1"/>
        </w:rPr>
        <w:t>ing</w:t>
      </w:r>
      <w:r w:rsidR="00635B4D">
        <w:rPr>
          <w:rFonts w:cs="Open Sans"/>
          <w:color w:val="000000" w:themeColor="text1"/>
        </w:rPr>
        <w:t xml:space="preserve"> the provision of personal information from individuals, prohibit</w:t>
      </w:r>
      <w:r w:rsidR="00B14256">
        <w:rPr>
          <w:rFonts w:cs="Open Sans"/>
          <w:color w:val="000000" w:themeColor="text1"/>
        </w:rPr>
        <w:t>ing</w:t>
      </w:r>
      <w:r w:rsidR="00635B4D">
        <w:rPr>
          <w:rFonts w:cs="Open Sans"/>
          <w:color w:val="000000" w:themeColor="text1"/>
        </w:rPr>
        <w:t xml:space="preserve"> movement of people, tak</w:t>
      </w:r>
      <w:r w:rsidR="00B14256">
        <w:rPr>
          <w:rFonts w:cs="Open Sans"/>
          <w:color w:val="000000" w:themeColor="text1"/>
        </w:rPr>
        <w:t>ing</w:t>
      </w:r>
      <w:r w:rsidR="00635B4D">
        <w:rPr>
          <w:rFonts w:cs="Open Sans"/>
          <w:color w:val="000000" w:themeColor="text1"/>
        </w:rPr>
        <w:t xml:space="preserve"> possession of land, buildings, </w:t>
      </w:r>
      <w:r w:rsidR="00392D8D">
        <w:rPr>
          <w:rFonts w:cs="Open Sans"/>
          <w:color w:val="000000" w:themeColor="text1"/>
        </w:rPr>
        <w:t>structures,</w:t>
      </w:r>
      <w:r w:rsidR="00635B4D">
        <w:rPr>
          <w:rFonts w:cs="Open Sans"/>
          <w:color w:val="000000" w:themeColor="text1"/>
        </w:rPr>
        <w:t xml:space="preserve"> and vehicles and remov</w:t>
      </w:r>
      <w:r w:rsidR="00B14256">
        <w:rPr>
          <w:rFonts w:cs="Open Sans"/>
          <w:color w:val="000000" w:themeColor="text1"/>
        </w:rPr>
        <w:t>ing</w:t>
      </w:r>
      <w:r w:rsidR="00635B4D">
        <w:rPr>
          <w:rFonts w:cs="Open Sans"/>
          <w:color w:val="000000" w:themeColor="text1"/>
        </w:rPr>
        <w:t xml:space="preserve"> persons who obstruct</w:t>
      </w:r>
      <w:r w:rsidR="0071034A">
        <w:rPr>
          <w:rFonts w:cs="Open Sans"/>
          <w:color w:val="000000" w:themeColor="text1"/>
        </w:rPr>
        <w:t xml:space="preserve"> response or recovery operations.</w:t>
      </w:r>
    </w:p>
    <w:p w14:paraId="5B2CAA67" w14:textId="1B8A5FEA" w:rsidR="00E654F7" w:rsidRDefault="00910C6F" w:rsidP="0014232A">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In other words,</w:t>
      </w:r>
      <w:r w:rsidR="00DF5C4B">
        <w:rPr>
          <w:rFonts w:cs="Open Sans"/>
          <w:color w:val="000000" w:themeColor="text1"/>
        </w:rPr>
        <w:t xml:space="preserve"> the powers conferred on the Executive during periods of national emergency serve an important purpose in ensuring that the Commonweal</w:t>
      </w:r>
      <w:r w:rsidR="00917B18">
        <w:rPr>
          <w:rFonts w:cs="Open Sans"/>
          <w:color w:val="000000" w:themeColor="text1"/>
        </w:rPr>
        <w:t>th</w:t>
      </w:r>
      <w:r w:rsidR="00DF5C4B">
        <w:rPr>
          <w:rFonts w:cs="Open Sans"/>
          <w:color w:val="000000" w:themeColor="text1"/>
        </w:rPr>
        <w:t xml:space="preserve"> is able to quickly and effectively implement measures to respond to the emergency</w:t>
      </w:r>
      <w:r w:rsidR="0041561A">
        <w:rPr>
          <w:rFonts w:cs="Open Sans"/>
          <w:color w:val="000000" w:themeColor="text1"/>
        </w:rPr>
        <w:t>. This can be vital in protecting human rights. However</w:t>
      </w:r>
      <w:r w:rsidR="00DF5C4B">
        <w:rPr>
          <w:rFonts w:cs="Open Sans"/>
          <w:color w:val="000000" w:themeColor="text1"/>
        </w:rPr>
        <w:t xml:space="preserve">, the </w:t>
      </w:r>
      <w:r w:rsidR="002E3E91">
        <w:rPr>
          <w:rFonts w:cs="Open Sans"/>
          <w:color w:val="000000" w:themeColor="text1"/>
        </w:rPr>
        <w:t xml:space="preserve">exercise </w:t>
      </w:r>
      <w:r w:rsidR="00DF5C4B">
        <w:rPr>
          <w:rFonts w:cs="Open Sans"/>
          <w:color w:val="000000" w:themeColor="text1"/>
        </w:rPr>
        <w:t>of these powers</w:t>
      </w:r>
      <w:r w:rsidR="00917B18">
        <w:rPr>
          <w:rFonts w:cs="Open Sans"/>
          <w:color w:val="000000" w:themeColor="text1"/>
        </w:rPr>
        <w:t xml:space="preserve"> </w:t>
      </w:r>
      <w:r w:rsidR="002E3E91">
        <w:rPr>
          <w:rFonts w:cs="Open Sans"/>
          <w:color w:val="000000" w:themeColor="text1"/>
        </w:rPr>
        <w:t>can also limit human rights, and this make</w:t>
      </w:r>
      <w:r w:rsidR="00700F60">
        <w:rPr>
          <w:rFonts w:cs="Open Sans"/>
          <w:color w:val="000000" w:themeColor="text1"/>
        </w:rPr>
        <w:t>s it important</w:t>
      </w:r>
      <w:r w:rsidR="002E3E91">
        <w:rPr>
          <w:rFonts w:cs="Open Sans"/>
          <w:color w:val="000000" w:themeColor="text1"/>
        </w:rPr>
        <w:t xml:space="preserve"> </w:t>
      </w:r>
      <w:r w:rsidR="00700F60">
        <w:rPr>
          <w:rFonts w:cs="Open Sans"/>
          <w:color w:val="000000" w:themeColor="text1"/>
        </w:rPr>
        <w:t xml:space="preserve">that </w:t>
      </w:r>
      <w:r w:rsidR="00917B18">
        <w:rPr>
          <w:rFonts w:cs="Open Sans"/>
          <w:color w:val="000000" w:themeColor="text1"/>
        </w:rPr>
        <w:t>the powers are only enlivened in the appropriate circumstances and are strictly limited to what is necessary</w:t>
      </w:r>
      <w:r w:rsidR="007C3C33">
        <w:rPr>
          <w:rFonts w:cs="Open Sans"/>
          <w:color w:val="000000" w:themeColor="text1"/>
        </w:rPr>
        <w:t>, reasonable and proportionate</w:t>
      </w:r>
      <w:r w:rsidR="00917B18">
        <w:rPr>
          <w:rFonts w:cs="Open Sans"/>
          <w:color w:val="000000" w:themeColor="text1"/>
        </w:rPr>
        <w:t xml:space="preserve"> to effectively respond to </w:t>
      </w:r>
      <w:r w:rsidR="00073A7B">
        <w:rPr>
          <w:rFonts w:cs="Open Sans"/>
          <w:color w:val="000000" w:themeColor="text1"/>
        </w:rPr>
        <w:t>the relevant</w:t>
      </w:r>
      <w:r w:rsidR="00917B18">
        <w:rPr>
          <w:rFonts w:cs="Open Sans"/>
          <w:color w:val="000000" w:themeColor="text1"/>
        </w:rPr>
        <w:t xml:space="preserve"> emergency. </w:t>
      </w:r>
    </w:p>
    <w:p w14:paraId="547DC27C" w14:textId="268E501A" w:rsidR="00B66773" w:rsidRDefault="00CD4107" w:rsidP="0014232A">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544836">
        <w:rPr>
          <w:rFonts w:cs="Open Sans"/>
          <w:color w:val="000000" w:themeColor="text1"/>
        </w:rPr>
        <w:t xml:space="preserve">list </w:t>
      </w:r>
      <w:r>
        <w:rPr>
          <w:rFonts w:cs="Open Sans"/>
          <w:color w:val="000000" w:themeColor="text1"/>
        </w:rPr>
        <w:t xml:space="preserve">of national emergency laws also </w:t>
      </w:r>
      <w:r w:rsidR="007E02B5" w:rsidRPr="007E02B5">
        <w:rPr>
          <w:rFonts w:cs="Open Sans"/>
          <w:color w:val="000000" w:themeColor="text1"/>
        </w:rPr>
        <w:t>include</w:t>
      </w:r>
      <w:r w:rsidR="00102999">
        <w:rPr>
          <w:rFonts w:cs="Open Sans"/>
          <w:color w:val="000000" w:themeColor="text1"/>
        </w:rPr>
        <w:t>s</w:t>
      </w:r>
      <w:r w:rsidR="00B66773">
        <w:rPr>
          <w:rFonts w:cs="Open Sans"/>
          <w:color w:val="000000" w:themeColor="text1"/>
        </w:rPr>
        <w:t xml:space="preserve"> two new powers conferred on the Commonwealth in</w:t>
      </w:r>
      <w:r w:rsidR="00C914B8" w:rsidRPr="007E02B5">
        <w:rPr>
          <w:rFonts w:cs="Open Sans"/>
          <w:color w:val="000000" w:themeColor="text1"/>
        </w:rPr>
        <w:t xml:space="preserve"> s</w:t>
      </w:r>
      <w:r w:rsidR="00B66773">
        <w:rPr>
          <w:rFonts w:cs="Open Sans"/>
          <w:color w:val="000000" w:themeColor="text1"/>
        </w:rPr>
        <w:t>s</w:t>
      </w:r>
      <w:r w:rsidR="00C914B8" w:rsidRPr="007E02B5">
        <w:rPr>
          <w:rFonts w:cs="Open Sans"/>
          <w:color w:val="000000" w:themeColor="text1"/>
        </w:rPr>
        <w:t xml:space="preserve"> 15</w:t>
      </w:r>
      <w:r w:rsidR="00B66773">
        <w:rPr>
          <w:rFonts w:cs="Open Sans"/>
          <w:color w:val="000000" w:themeColor="text1"/>
        </w:rPr>
        <w:t xml:space="preserve"> and 16</w:t>
      </w:r>
      <w:r w:rsidR="00C914B8" w:rsidRPr="007E02B5">
        <w:rPr>
          <w:rFonts w:cs="Open Sans"/>
          <w:color w:val="000000" w:themeColor="text1"/>
        </w:rPr>
        <w:t xml:space="preserve"> of the Act</w:t>
      </w:r>
      <w:r w:rsidR="00B66773">
        <w:rPr>
          <w:rFonts w:cs="Open Sans"/>
          <w:color w:val="000000" w:themeColor="text1"/>
        </w:rPr>
        <w:t>.</w:t>
      </w:r>
      <w:r w:rsidR="00C914B8" w:rsidRPr="007E02B5">
        <w:rPr>
          <w:rFonts w:cs="Open Sans"/>
          <w:color w:val="000000" w:themeColor="text1"/>
        </w:rPr>
        <w:t xml:space="preserve"> </w:t>
      </w:r>
      <w:r w:rsidR="00B66773">
        <w:rPr>
          <w:rFonts w:cs="Open Sans"/>
          <w:color w:val="000000" w:themeColor="text1"/>
        </w:rPr>
        <w:t>The effect of</w:t>
      </w:r>
      <w:r w:rsidR="00B66773" w:rsidRPr="007E02B5">
        <w:rPr>
          <w:rFonts w:cs="Open Sans"/>
          <w:color w:val="000000" w:themeColor="text1"/>
        </w:rPr>
        <w:t xml:space="preserve"> </w:t>
      </w:r>
      <w:r w:rsidR="00B66773">
        <w:rPr>
          <w:rFonts w:cs="Open Sans"/>
          <w:color w:val="000000" w:themeColor="text1"/>
        </w:rPr>
        <w:t xml:space="preserve">these provisions during </w:t>
      </w:r>
      <w:r w:rsidR="001E729F">
        <w:rPr>
          <w:rFonts w:cs="Open Sans"/>
          <w:color w:val="000000" w:themeColor="text1"/>
        </w:rPr>
        <w:t xml:space="preserve">the period in which </w:t>
      </w:r>
      <w:r w:rsidR="00B66773">
        <w:rPr>
          <w:rFonts w:cs="Open Sans"/>
          <w:color w:val="000000" w:themeColor="text1"/>
        </w:rPr>
        <w:t>a national emergency</w:t>
      </w:r>
      <w:r w:rsidR="001E729F">
        <w:rPr>
          <w:rFonts w:cs="Open Sans"/>
          <w:color w:val="000000" w:themeColor="text1"/>
        </w:rPr>
        <w:t xml:space="preserve"> declaration is in force,</w:t>
      </w:r>
      <w:r w:rsidR="00B66773">
        <w:rPr>
          <w:rFonts w:cs="Open Sans"/>
          <w:color w:val="000000" w:themeColor="text1"/>
        </w:rPr>
        <w:t xml:space="preserve"> </w:t>
      </w:r>
      <w:r w:rsidR="00E27827">
        <w:rPr>
          <w:rFonts w:cs="Open Sans"/>
          <w:color w:val="000000" w:themeColor="text1"/>
        </w:rPr>
        <w:t xml:space="preserve">is </w:t>
      </w:r>
      <w:r>
        <w:rPr>
          <w:rFonts w:cs="Open Sans"/>
          <w:color w:val="000000" w:themeColor="text1"/>
        </w:rPr>
        <w:t xml:space="preserve">to </w:t>
      </w:r>
      <w:r w:rsidR="00C914B8" w:rsidRPr="007E02B5">
        <w:rPr>
          <w:rFonts w:cs="Open Sans"/>
          <w:color w:val="000000" w:themeColor="text1"/>
        </w:rPr>
        <w:t>emp</w:t>
      </w:r>
      <w:r w:rsidR="007E02B5" w:rsidRPr="007E02B5">
        <w:rPr>
          <w:rFonts w:cs="Open Sans"/>
          <w:color w:val="000000" w:themeColor="text1"/>
        </w:rPr>
        <w:t>ower</w:t>
      </w:r>
      <w:r w:rsidR="00B66773">
        <w:rPr>
          <w:rFonts w:cs="Open Sans"/>
          <w:color w:val="000000" w:themeColor="text1"/>
        </w:rPr>
        <w:t>:</w:t>
      </w:r>
      <w:r w:rsidR="007E02B5" w:rsidRPr="007E02B5">
        <w:rPr>
          <w:rFonts w:cs="Open Sans"/>
          <w:color w:val="000000" w:themeColor="text1"/>
        </w:rPr>
        <w:t xml:space="preserve"> </w:t>
      </w:r>
    </w:p>
    <w:p w14:paraId="64785DA5" w14:textId="77777777" w:rsidR="001E729F" w:rsidRPr="00AF63A5" w:rsidRDefault="00B66773" w:rsidP="00B66773">
      <w:pPr>
        <w:pStyle w:val="ListNumber"/>
        <w:numPr>
          <w:ilvl w:val="0"/>
          <w:numId w:val="0"/>
        </w:numPr>
        <w:tabs>
          <w:tab w:val="left" w:pos="1418"/>
        </w:tabs>
        <w:spacing w:after="240"/>
        <w:ind w:left="1418" w:hanging="425"/>
        <w:rPr>
          <w:rFonts w:cs="Open Sans"/>
          <w:color w:val="000000" w:themeColor="text1"/>
        </w:rPr>
      </w:pPr>
      <w:r w:rsidRPr="00AF63A5">
        <w:rPr>
          <w:rFonts w:cs="Open Sans"/>
          <w:color w:val="000000" w:themeColor="text1"/>
        </w:rPr>
        <w:t>(a)</w:t>
      </w:r>
      <w:r w:rsidRPr="00AF63A5">
        <w:rPr>
          <w:rFonts w:cs="Open Sans"/>
          <w:color w:val="000000" w:themeColor="text1"/>
        </w:rPr>
        <w:tab/>
      </w:r>
      <w:r w:rsidR="007E02B5" w:rsidRPr="00AF63A5">
        <w:rPr>
          <w:rFonts w:cs="Open Sans"/>
          <w:color w:val="000000" w:themeColor="text1"/>
        </w:rPr>
        <w:t xml:space="preserve">Ministers to determine, by legislative instrument, that certain provisions in Commonwealth legislation administered by the Minister providing for administrative requirements do not apply, are </w:t>
      </w:r>
      <w:r w:rsidR="00C55B74" w:rsidRPr="00AF63A5">
        <w:rPr>
          <w:rFonts w:cs="Open Sans"/>
          <w:color w:val="000000" w:themeColor="text1"/>
        </w:rPr>
        <w:t>varied,</w:t>
      </w:r>
      <w:r w:rsidR="007E02B5" w:rsidRPr="00AF63A5">
        <w:rPr>
          <w:rFonts w:cs="Open Sans"/>
          <w:color w:val="000000" w:themeColor="text1"/>
        </w:rPr>
        <w:t xml:space="preserve"> or are replaced</w:t>
      </w:r>
    </w:p>
    <w:p w14:paraId="702091B8" w14:textId="40180560" w:rsidR="00C914B8" w:rsidRPr="00AF63A5" w:rsidRDefault="001E729F" w:rsidP="00E6269A">
      <w:pPr>
        <w:pStyle w:val="ListNumber"/>
        <w:numPr>
          <w:ilvl w:val="0"/>
          <w:numId w:val="0"/>
        </w:numPr>
        <w:tabs>
          <w:tab w:val="left" w:pos="1418"/>
        </w:tabs>
        <w:spacing w:after="240"/>
        <w:ind w:left="1418" w:hanging="425"/>
        <w:rPr>
          <w:rFonts w:cs="Open Sans"/>
          <w:color w:val="000000" w:themeColor="text1"/>
        </w:rPr>
      </w:pPr>
      <w:r w:rsidRPr="00AF63A5">
        <w:rPr>
          <w:rFonts w:cs="Open Sans"/>
          <w:color w:val="000000" w:themeColor="text1"/>
        </w:rPr>
        <w:lastRenderedPageBreak/>
        <w:t>(b)</w:t>
      </w:r>
      <w:r w:rsidRPr="00AF63A5">
        <w:rPr>
          <w:rFonts w:cs="Open Sans"/>
          <w:color w:val="000000" w:themeColor="text1"/>
        </w:rPr>
        <w:tab/>
        <w:t>the Prime Minister to require an accountable authority of a Commonwealth entity to provide the Prime Minister with specified information</w:t>
      </w:r>
      <w:r w:rsidR="007E02B5" w:rsidRPr="00AF63A5">
        <w:rPr>
          <w:rFonts w:cs="Open Sans"/>
          <w:color w:val="000000" w:themeColor="text1"/>
        </w:rPr>
        <w:t xml:space="preserve"> </w:t>
      </w:r>
      <w:r w:rsidRPr="00AF63A5">
        <w:rPr>
          <w:rFonts w:cs="Open Sans"/>
          <w:color w:val="000000" w:themeColor="text1"/>
        </w:rPr>
        <w:t xml:space="preserve">for the purposes of preparing for, responding </w:t>
      </w:r>
      <w:r w:rsidR="0029615A" w:rsidRPr="00AF63A5">
        <w:rPr>
          <w:rFonts w:cs="Open Sans"/>
          <w:color w:val="000000" w:themeColor="text1"/>
        </w:rPr>
        <w:t>to,</w:t>
      </w:r>
      <w:r w:rsidRPr="00AF63A5">
        <w:rPr>
          <w:rFonts w:cs="Open Sans"/>
          <w:color w:val="000000" w:themeColor="text1"/>
        </w:rPr>
        <w:t xml:space="preserve"> or recovering from an emergency to which the declaration relates, including information concerning stockpiles of medical or other supplies, assets or other resources or recommendations for actions to be taken by the Commonwealth.</w:t>
      </w:r>
    </w:p>
    <w:p w14:paraId="42E1F9F8" w14:textId="7947B597" w:rsidR="00B2224C" w:rsidRPr="00CE64F8" w:rsidRDefault="00CE64F8" w:rsidP="0014232A">
      <w:pPr>
        <w:pStyle w:val="ListNumber"/>
        <w:numPr>
          <w:ilvl w:val="0"/>
          <w:numId w:val="3"/>
        </w:numPr>
        <w:tabs>
          <w:tab w:val="num" w:pos="993"/>
          <w:tab w:val="left" w:pos="1418"/>
        </w:tabs>
        <w:spacing w:after="240"/>
        <w:ind w:left="709" w:hanging="567"/>
        <w:rPr>
          <w:rFonts w:cs="Open Sans"/>
          <w:color w:val="000000" w:themeColor="text1"/>
        </w:rPr>
      </w:pPr>
      <w:r w:rsidRPr="00B42B85">
        <w:rPr>
          <w:rFonts w:cs="Open Sans"/>
          <w:color w:val="000000" w:themeColor="text1"/>
        </w:rPr>
        <w:t>Reviews of the operation of the Act are provided for in s</w:t>
      </w:r>
      <w:r w:rsidR="00B2224C" w:rsidRPr="00CE64F8">
        <w:rPr>
          <w:rFonts w:cs="Open Sans"/>
          <w:color w:val="000000" w:themeColor="text1"/>
        </w:rPr>
        <w:t xml:space="preserve"> 18, with </w:t>
      </w:r>
      <w:r w:rsidR="00C6733F">
        <w:rPr>
          <w:rFonts w:cs="Open Sans"/>
          <w:color w:val="000000" w:themeColor="text1"/>
        </w:rPr>
        <w:t>the first to take place immediately upon commencement</w:t>
      </w:r>
      <w:r w:rsidR="00B2224C" w:rsidRPr="00CE64F8">
        <w:rPr>
          <w:rFonts w:cs="Open Sans"/>
          <w:color w:val="000000" w:themeColor="text1"/>
        </w:rPr>
        <w:t xml:space="preserve">, and </w:t>
      </w:r>
      <w:r w:rsidR="00C6733F">
        <w:rPr>
          <w:rFonts w:cs="Open Sans"/>
          <w:color w:val="000000" w:themeColor="text1"/>
        </w:rPr>
        <w:t xml:space="preserve">a second </w:t>
      </w:r>
      <w:r w:rsidR="00B2224C" w:rsidRPr="00CE64F8">
        <w:rPr>
          <w:rFonts w:cs="Open Sans"/>
          <w:color w:val="000000" w:themeColor="text1"/>
        </w:rPr>
        <w:t>at the five</w:t>
      </w:r>
      <w:r w:rsidR="00AF63A5">
        <w:rPr>
          <w:rFonts w:cs="Open Sans"/>
          <w:color w:val="000000" w:themeColor="text1"/>
        </w:rPr>
        <w:noBreakHyphen/>
      </w:r>
      <w:r w:rsidR="00B2224C" w:rsidRPr="00CE64F8">
        <w:rPr>
          <w:rFonts w:cs="Open Sans"/>
          <w:color w:val="000000" w:themeColor="text1"/>
        </w:rPr>
        <w:t xml:space="preserve">year anniversary of the commencement of the Act. </w:t>
      </w:r>
    </w:p>
    <w:p w14:paraId="04137C08" w14:textId="3CE7FE6A" w:rsidR="00163B9A" w:rsidRDefault="00163B9A" w:rsidP="002750B1">
      <w:pPr>
        <w:pStyle w:val="Heading1"/>
      </w:pPr>
      <w:bookmarkStart w:id="18" w:name="_Toc67495695"/>
      <w:r>
        <w:t>Duration of declarations</w:t>
      </w:r>
      <w:bookmarkEnd w:id="18"/>
    </w:p>
    <w:p w14:paraId="2B17ED25" w14:textId="4C9DC71F" w:rsidR="00163B9A" w:rsidRDefault="00102999" w:rsidP="00163B9A">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Section 11 of the Act sets out the </w:t>
      </w:r>
      <w:r w:rsidR="00711D48">
        <w:rPr>
          <w:rFonts w:cs="Open Sans"/>
          <w:color w:val="000000" w:themeColor="text1"/>
        </w:rPr>
        <w:t xml:space="preserve">matters </w:t>
      </w:r>
      <w:r>
        <w:rPr>
          <w:rFonts w:cs="Open Sans"/>
          <w:color w:val="000000" w:themeColor="text1"/>
        </w:rPr>
        <w:t xml:space="preserve">the Prime Minister must be satisfied </w:t>
      </w:r>
      <w:r w:rsidR="00544836">
        <w:rPr>
          <w:rFonts w:cs="Open Sans"/>
          <w:color w:val="000000" w:themeColor="text1"/>
        </w:rPr>
        <w:t xml:space="preserve">of </w:t>
      </w:r>
      <w:r>
        <w:rPr>
          <w:rFonts w:cs="Open Sans"/>
          <w:color w:val="000000" w:themeColor="text1"/>
        </w:rPr>
        <w:t xml:space="preserve">before the Governor-General may make a national emergency declaration. </w:t>
      </w:r>
      <w:r w:rsidR="00163B9A" w:rsidRPr="00163B9A">
        <w:rPr>
          <w:rFonts w:cs="Open Sans"/>
          <w:color w:val="000000" w:themeColor="text1"/>
        </w:rPr>
        <w:t xml:space="preserve">Section </w:t>
      </w:r>
      <w:r w:rsidR="00793E9E">
        <w:rPr>
          <w:rFonts w:cs="Open Sans"/>
          <w:color w:val="000000" w:themeColor="text1"/>
        </w:rPr>
        <w:t xml:space="preserve">11(5) </w:t>
      </w:r>
      <w:r w:rsidR="00163B9A">
        <w:rPr>
          <w:rFonts w:cs="Open Sans"/>
          <w:color w:val="000000" w:themeColor="text1"/>
        </w:rPr>
        <w:t xml:space="preserve">provides that the </w:t>
      </w:r>
      <w:r w:rsidR="00793E9E">
        <w:rPr>
          <w:rFonts w:cs="Open Sans"/>
          <w:color w:val="000000" w:themeColor="text1"/>
        </w:rPr>
        <w:t xml:space="preserve">period for which a </w:t>
      </w:r>
      <w:r>
        <w:rPr>
          <w:rFonts w:cs="Open Sans"/>
          <w:color w:val="000000" w:themeColor="text1"/>
        </w:rPr>
        <w:t xml:space="preserve">national emergency </w:t>
      </w:r>
      <w:r w:rsidR="00793E9E">
        <w:rPr>
          <w:rFonts w:cs="Open Sans"/>
          <w:color w:val="000000" w:themeColor="text1"/>
        </w:rPr>
        <w:t>declaration</w:t>
      </w:r>
      <w:r w:rsidR="006D5BA4">
        <w:rPr>
          <w:rFonts w:cs="Open Sans"/>
          <w:color w:val="000000" w:themeColor="text1"/>
        </w:rPr>
        <w:t xml:space="preserve"> made by the Governor-General</w:t>
      </w:r>
      <w:r w:rsidR="00793E9E">
        <w:rPr>
          <w:rFonts w:cs="Open Sans"/>
          <w:color w:val="000000" w:themeColor="text1"/>
        </w:rPr>
        <w:t xml:space="preserve"> is in force must not be longer than the period that the Prime Minister considers necessary for the purposes of emergency management and, in any event, must not be longer than</w:t>
      </w:r>
      <w:r w:rsidR="00163B9A">
        <w:rPr>
          <w:rFonts w:cs="Open Sans"/>
          <w:color w:val="000000" w:themeColor="text1"/>
        </w:rPr>
        <w:t xml:space="preserve"> 3 months. </w:t>
      </w:r>
    </w:p>
    <w:p w14:paraId="2457135B" w14:textId="24992D25" w:rsidR="00256B5C" w:rsidRDefault="00B613C6" w:rsidP="00163B9A">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By s</w:t>
      </w:r>
      <w:r w:rsidR="00256B5C">
        <w:rPr>
          <w:rFonts w:cs="Open Sans"/>
          <w:color w:val="000000" w:themeColor="text1"/>
        </w:rPr>
        <w:t>ection 12 of the Act</w:t>
      </w:r>
      <w:r>
        <w:rPr>
          <w:rFonts w:cs="Open Sans"/>
          <w:color w:val="000000" w:themeColor="text1"/>
        </w:rPr>
        <w:t>, the Governor-General is empowered</w:t>
      </w:r>
      <w:r w:rsidR="00E32652">
        <w:rPr>
          <w:rFonts w:cs="Open Sans"/>
          <w:color w:val="000000" w:themeColor="text1"/>
        </w:rPr>
        <w:t>, on the advice of the Prime Minister,</w:t>
      </w:r>
      <w:r>
        <w:rPr>
          <w:rFonts w:cs="Open Sans"/>
          <w:color w:val="000000" w:themeColor="text1"/>
        </w:rPr>
        <w:t xml:space="preserve"> to</w:t>
      </w:r>
      <w:r w:rsidR="00256B5C">
        <w:rPr>
          <w:rFonts w:cs="Open Sans"/>
          <w:color w:val="000000" w:themeColor="text1"/>
        </w:rPr>
        <w:t xml:space="preserve"> extend the duration of a national emergency declaration</w:t>
      </w:r>
      <w:r>
        <w:rPr>
          <w:rFonts w:cs="Open Sans"/>
          <w:color w:val="000000" w:themeColor="text1"/>
        </w:rPr>
        <w:t xml:space="preserve">. While each extension of a declaration is limited to a duration of </w:t>
      </w:r>
      <w:r w:rsidR="00144003">
        <w:rPr>
          <w:rFonts w:cs="Open Sans"/>
          <w:color w:val="000000" w:themeColor="text1"/>
        </w:rPr>
        <w:t xml:space="preserve">three </w:t>
      </w:r>
      <w:r>
        <w:rPr>
          <w:rFonts w:cs="Open Sans"/>
          <w:color w:val="000000" w:themeColor="text1"/>
        </w:rPr>
        <w:t xml:space="preserve">months, the Act does not limit the number of extensions which can be </w:t>
      </w:r>
      <w:r w:rsidR="00BB2BDB">
        <w:rPr>
          <w:rFonts w:cs="Open Sans"/>
          <w:color w:val="000000" w:themeColor="text1"/>
        </w:rPr>
        <w:t>made</w:t>
      </w:r>
      <w:r>
        <w:rPr>
          <w:rFonts w:cs="Open Sans"/>
          <w:color w:val="000000" w:themeColor="text1"/>
        </w:rPr>
        <w:t xml:space="preserve"> by the Governor-General.</w:t>
      </w:r>
    </w:p>
    <w:p w14:paraId="2F4CF024" w14:textId="26A1D2A7" w:rsidR="004264AE" w:rsidRDefault="004264AE" w:rsidP="004264A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190E4A">
        <w:rPr>
          <w:rFonts w:cs="Open Sans"/>
          <w:color w:val="000000" w:themeColor="text1"/>
        </w:rPr>
        <w:t xml:space="preserve">Revised </w:t>
      </w:r>
      <w:r>
        <w:rPr>
          <w:rFonts w:cs="Open Sans"/>
          <w:color w:val="000000" w:themeColor="text1"/>
        </w:rPr>
        <w:t xml:space="preserve">Explanatory Memorandum states that the purpose of </w:t>
      </w:r>
      <w:r w:rsidR="003E64BA">
        <w:rPr>
          <w:rFonts w:cs="Open Sans"/>
          <w:color w:val="000000" w:themeColor="text1"/>
        </w:rPr>
        <w:t xml:space="preserve">limiting the duration of a declaration to </w:t>
      </w:r>
      <w:r w:rsidR="00144003">
        <w:rPr>
          <w:rFonts w:cs="Open Sans"/>
          <w:color w:val="000000" w:themeColor="text1"/>
        </w:rPr>
        <w:t xml:space="preserve">three </w:t>
      </w:r>
      <w:r w:rsidR="003E64BA">
        <w:rPr>
          <w:rFonts w:cs="Open Sans"/>
          <w:color w:val="000000" w:themeColor="text1"/>
        </w:rPr>
        <w:t>months</w:t>
      </w:r>
      <w:r>
        <w:rPr>
          <w:rFonts w:cs="Open Sans"/>
          <w:color w:val="000000" w:themeColor="text1"/>
        </w:rPr>
        <w:t xml:space="preserve"> is to ensure that the period during which the declaration is in force is proportionate to the purpose for which the declaration is made. This limit is said to ensure a fixed point at which the declaration must be re-evaluated to determine whether it is still required or appropriate.</w:t>
      </w:r>
      <w:r w:rsidR="009771DC">
        <w:rPr>
          <w:rStyle w:val="EndnoteReference"/>
          <w:rFonts w:cs="Open Sans"/>
          <w:color w:val="000000" w:themeColor="text1"/>
        </w:rPr>
        <w:endnoteReference w:id="12"/>
      </w:r>
      <w:r>
        <w:rPr>
          <w:rFonts w:cs="Open Sans"/>
          <w:color w:val="000000" w:themeColor="text1"/>
        </w:rPr>
        <w:t xml:space="preserve"> </w:t>
      </w:r>
    </w:p>
    <w:p w14:paraId="3D249DEC" w14:textId="10072840" w:rsidR="009771DC" w:rsidRDefault="001E395E" w:rsidP="004264A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This approach appears to be modelled on the </w:t>
      </w:r>
      <w:r w:rsidRPr="001E395E">
        <w:rPr>
          <w:rFonts w:cs="Open Sans"/>
          <w:i/>
          <w:iCs/>
          <w:color w:val="000000" w:themeColor="text1"/>
        </w:rPr>
        <w:t>Biosecurity Act 2015</w:t>
      </w:r>
      <w:r>
        <w:rPr>
          <w:rFonts w:cs="Open Sans"/>
          <w:color w:val="000000" w:themeColor="text1"/>
        </w:rPr>
        <w:t xml:space="preserve"> (Cth) </w:t>
      </w:r>
      <w:r w:rsidR="00C1343E">
        <w:rPr>
          <w:rFonts w:cs="Open Sans"/>
          <w:color w:val="000000" w:themeColor="text1"/>
        </w:rPr>
        <w:t>(Biosecurity Act)</w:t>
      </w:r>
      <w:r w:rsidR="00B92A61">
        <w:rPr>
          <w:rFonts w:cs="Open Sans"/>
          <w:color w:val="000000" w:themeColor="text1"/>
        </w:rPr>
        <w:t>,</w:t>
      </w:r>
      <w:r w:rsidR="00C1343E">
        <w:rPr>
          <w:rFonts w:cs="Open Sans"/>
          <w:color w:val="000000" w:themeColor="text1"/>
        </w:rPr>
        <w:t xml:space="preserve"> </w:t>
      </w:r>
      <w:r>
        <w:rPr>
          <w:rFonts w:cs="Open Sans"/>
          <w:color w:val="000000" w:themeColor="text1"/>
        </w:rPr>
        <w:t xml:space="preserve">which empowers the Governor-General to make declarations concerning biosecurity emergencies for a period of up to </w:t>
      </w:r>
      <w:r w:rsidR="00144003">
        <w:rPr>
          <w:rFonts w:cs="Open Sans"/>
          <w:color w:val="000000" w:themeColor="text1"/>
        </w:rPr>
        <w:t xml:space="preserve">three </w:t>
      </w:r>
      <w:r>
        <w:rPr>
          <w:rFonts w:cs="Open Sans"/>
          <w:color w:val="000000" w:themeColor="text1"/>
        </w:rPr>
        <w:t xml:space="preserve">months which may be extended by the Governor-General for a period of </w:t>
      </w:r>
      <w:r w:rsidR="00144003">
        <w:rPr>
          <w:rFonts w:cs="Open Sans"/>
          <w:color w:val="000000" w:themeColor="text1"/>
        </w:rPr>
        <w:t xml:space="preserve">three </w:t>
      </w:r>
      <w:r>
        <w:rPr>
          <w:rFonts w:cs="Open Sans"/>
          <w:color w:val="000000" w:themeColor="text1"/>
        </w:rPr>
        <w:t>months without a limit on the number of extensions.</w:t>
      </w:r>
      <w:r w:rsidR="006D2C8C">
        <w:rPr>
          <w:rStyle w:val="EndnoteReference"/>
          <w:rFonts w:cs="Open Sans"/>
          <w:color w:val="000000" w:themeColor="text1"/>
        </w:rPr>
        <w:endnoteReference w:id="13"/>
      </w:r>
      <w:r>
        <w:rPr>
          <w:rFonts w:cs="Open Sans"/>
          <w:color w:val="000000" w:themeColor="text1"/>
        </w:rPr>
        <w:t xml:space="preserve"> </w:t>
      </w:r>
    </w:p>
    <w:p w14:paraId="46F88372" w14:textId="20D47238" w:rsidR="00B613C6" w:rsidRPr="004264AE" w:rsidRDefault="004264AE" w:rsidP="00F1739D">
      <w:pPr>
        <w:pStyle w:val="ListNumber"/>
        <w:keepNext/>
        <w:numPr>
          <w:ilvl w:val="0"/>
          <w:numId w:val="3"/>
        </w:numPr>
        <w:tabs>
          <w:tab w:val="num" w:pos="993"/>
          <w:tab w:val="left" w:pos="1418"/>
        </w:tabs>
        <w:spacing w:after="240"/>
        <w:ind w:left="709" w:hanging="567"/>
        <w:rPr>
          <w:rFonts w:cs="Open Sans"/>
          <w:color w:val="000000" w:themeColor="text1"/>
        </w:rPr>
      </w:pPr>
      <w:r w:rsidRPr="004264AE">
        <w:rPr>
          <w:rFonts w:cs="Open Sans"/>
          <w:color w:val="000000" w:themeColor="text1"/>
        </w:rPr>
        <w:lastRenderedPageBreak/>
        <w:t xml:space="preserve">As recognised in the </w:t>
      </w:r>
      <w:r w:rsidR="00190E4A">
        <w:rPr>
          <w:rFonts w:cs="Open Sans"/>
          <w:color w:val="000000" w:themeColor="text1"/>
        </w:rPr>
        <w:t xml:space="preserve">Revised </w:t>
      </w:r>
      <w:r w:rsidR="00B613C6" w:rsidRPr="004264AE">
        <w:rPr>
          <w:rFonts w:cs="Open Sans"/>
          <w:color w:val="000000" w:themeColor="text1"/>
        </w:rPr>
        <w:t xml:space="preserve">Explanatory Memorandum: </w:t>
      </w:r>
    </w:p>
    <w:p w14:paraId="2BD76004" w14:textId="7B6B5889" w:rsidR="00B613C6" w:rsidRPr="00B613C6" w:rsidRDefault="00B613C6" w:rsidP="004264AE">
      <w:pPr>
        <w:pStyle w:val="ListNumber"/>
        <w:numPr>
          <w:ilvl w:val="0"/>
          <w:numId w:val="0"/>
        </w:numPr>
        <w:tabs>
          <w:tab w:val="left" w:pos="1418"/>
        </w:tabs>
        <w:spacing w:after="240"/>
        <w:ind w:left="1134"/>
        <w:rPr>
          <w:rFonts w:cs="Open Sans"/>
          <w:color w:val="000000" w:themeColor="text1"/>
          <w:sz w:val="22"/>
          <w:szCs w:val="22"/>
        </w:rPr>
      </w:pPr>
      <w:r>
        <w:rPr>
          <w:rFonts w:cs="Open Sans"/>
          <w:color w:val="000000" w:themeColor="text1"/>
          <w:sz w:val="22"/>
          <w:szCs w:val="22"/>
        </w:rPr>
        <w:t xml:space="preserve">The profound symbolic </w:t>
      </w:r>
      <w:r w:rsidR="004264AE">
        <w:rPr>
          <w:rFonts w:cs="Open Sans"/>
          <w:color w:val="000000" w:themeColor="text1"/>
          <w:sz w:val="22"/>
          <w:szCs w:val="22"/>
        </w:rPr>
        <w:t>nature of a declaration of a national emergency, as well as the range of powers which are available, or more easily satisfied, when a national declaration is in force, requires that declarations should only be in force for as long as necessary to manage the nationally significant harm posed by the emergency.</w:t>
      </w:r>
      <w:r w:rsidR="00144003">
        <w:rPr>
          <w:rStyle w:val="EndnoteReference"/>
          <w:rFonts w:cs="Open Sans"/>
          <w:color w:val="000000" w:themeColor="text1"/>
        </w:rPr>
        <w:endnoteReference w:id="14"/>
      </w:r>
    </w:p>
    <w:p w14:paraId="47C2C70C" w14:textId="1EF1877E" w:rsidR="00BB2BDB" w:rsidRPr="00DE0C22" w:rsidRDefault="00BB2BDB" w:rsidP="00163B9A">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W</w:t>
      </w:r>
      <w:r w:rsidR="004264AE">
        <w:rPr>
          <w:rFonts w:cs="Open Sans"/>
          <w:color w:val="000000" w:themeColor="text1"/>
        </w:rPr>
        <w:t xml:space="preserve">hile the limit on the duration of </w:t>
      </w:r>
      <w:r w:rsidR="006E6C84">
        <w:rPr>
          <w:rFonts w:cs="Open Sans"/>
          <w:color w:val="000000" w:themeColor="text1"/>
        </w:rPr>
        <w:t xml:space="preserve">an </w:t>
      </w:r>
      <w:r w:rsidR="004264AE">
        <w:rPr>
          <w:rFonts w:cs="Open Sans"/>
          <w:color w:val="000000" w:themeColor="text1"/>
        </w:rPr>
        <w:t>extension</w:t>
      </w:r>
      <w:r w:rsidR="006E6C84">
        <w:rPr>
          <w:rFonts w:cs="Open Sans"/>
          <w:color w:val="000000" w:themeColor="text1"/>
        </w:rPr>
        <w:t xml:space="preserve"> of a declaration</w:t>
      </w:r>
      <w:r w:rsidR="004264AE">
        <w:rPr>
          <w:rFonts w:cs="Open Sans"/>
          <w:color w:val="000000" w:themeColor="text1"/>
        </w:rPr>
        <w:t xml:space="preserve"> may provide a point at which the </w:t>
      </w:r>
      <w:r w:rsidR="00C903B6">
        <w:rPr>
          <w:rFonts w:cs="Open Sans"/>
          <w:color w:val="000000" w:themeColor="text1"/>
        </w:rPr>
        <w:t>G</w:t>
      </w:r>
      <w:r w:rsidR="004264AE">
        <w:rPr>
          <w:rFonts w:cs="Open Sans"/>
          <w:color w:val="000000" w:themeColor="text1"/>
        </w:rPr>
        <w:t xml:space="preserve">overnment can assess the appropriateness and continued need for a declaration to remain in force, </w:t>
      </w:r>
      <w:r w:rsidR="00FA059C">
        <w:rPr>
          <w:rFonts w:cs="Open Sans"/>
          <w:color w:val="000000" w:themeColor="text1"/>
        </w:rPr>
        <w:t xml:space="preserve">the Commission considers that </w:t>
      </w:r>
      <w:r w:rsidR="004264AE">
        <w:rPr>
          <w:rFonts w:cs="Open Sans"/>
          <w:color w:val="000000" w:themeColor="text1"/>
        </w:rPr>
        <w:t>the</w:t>
      </w:r>
      <w:r w:rsidR="006E6C84">
        <w:rPr>
          <w:rFonts w:cs="Open Sans"/>
          <w:color w:val="000000" w:themeColor="text1"/>
        </w:rPr>
        <w:t xml:space="preserve"> ability to continue to extend a declaration </w:t>
      </w:r>
      <w:r w:rsidR="001C76FE">
        <w:rPr>
          <w:rFonts w:cs="Open Sans"/>
          <w:color w:val="000000" w:themeColor="text1"/>
        </w:rPr>
        <w:t>indefinitely</w:t>
      </w:r>
      <w:r>
        <w:rPr>
          <w:rFonts w:cs="Open Sans"/>
          <w:color w:val="000000" w:themeColor="text1"/>
        </w:rPr>
        <w:t xml:space="preserve"> </w:t>
      </w:r>
      <w:r w:rsidR="00144003">
        <w:rPr>
          <w:rFonts w:cs="Open Sans"/>
          <w:color w:val="000000" w:themeColor="text1"/>
        </w:rPr>
        <w:t xml:space="preserve">gives the Executive </w:t>
      </w:r>
      <w:r>
        <w:rPr>
          <w:rFonts w:cs="Open Sans"/>
          <w:color w:val="000000" w:themeColor="text1"/>
        </w:rPr>
        <w:t>a broad and unlimited discretion. This is particularly significant</w:t>
      </w:r>
      <w:r w:rsidR="00144003">
        <w:rPr>
          <w:rFonts w:cs="Open Sans"/>
          <w:color w:val="000000" w:themeColor="text1"/>
        </w:rPr>
        <w:t>,</w:t>
      </w:r>
      <w:r>
        <w:rPr>
          <w:rFonts w:cs="Open Sans"/>
          <w:color w:val="000000" w:themeColor="text1"/>
        </w:rPr>
        <w:t xml:space="preserve"> </w:t>
      </w:r>
      <w:r w:rsidR="00207255">
        <w:rPr>
          <w:rFonts w:cs="Open Sans"/>
          <w:color w:val="000000" w:themeColor="text1"/>
        </w:rPr>
        <w:t xml:space="preserve">given that </w:t>
      </w:r>
      <w:r>
        <w:rPr>
          <w:rFonts w:cs="Open Sans"/>
          <w:color w:val="000000" w:themeColor="text1"/>
        </w:rPr>
        <w:t xml:space="preserve">the declaration of a national emergency enables the Commonwealth to exercise certain </w:t>
      </w:r>
      <w:r w:rsidRPr="00DE0C22">
        <w:rPr>
          <w:rFonts w:cs="Open Sans"/>
          <w:color w:val="000000" w:themeColor="text1"/>
        </w:rPr>
        <w:t xml:space="preserve">powers </w:t>
      </w:r>
      <w:r w:rsidR="008C23E6" w:rsidRPr="00DE0C22">
        <w:rPr>
          <w:rFonts w:cs="Open Sans"/>
          <w:color w:val="000000" w:themeColor="text1"/>
        </w:rPr>
        <w:t>and perform certain functions which are strictly limited to times of national emergency, including the power of</w:t>
      </w:r>
      <w:r w:rsidRPr="00DE0C22">
        <w:rPr>
          <w:rFonts w:cs="Open Sans"/>
          <w:color w:val="000000" w:themeColor="text1"/>
        </w:rPr>
        <w:t xml:space="preserve"> Ministers to </w:t>
      </w:r>
      <w:r w:rsidR="008C23E6" w:rsidRPr="00DE0C22">
        <w:rPr>
          <w:rFonts w:cs="Open Sans"/>
          <w:color w:val="000000" w:themeColor="text1"/>
        </w:rPr>
        <w:t xml:space="preserve">make determinations </w:t>
      </w:r>
      <w:r w:rsidRPr="00DE0C22">
        <w:rPr>
          <w:rFonts w:cs="Open Sans"/>
          <w:color w:val="000000" w:themeColor="text1"/>
        </w:rPr>
        <w:t>dispens</w:t>
      </w:r>
      <w:r w:rsidR="008C23E6" w:rsidRPr="00DE0C22">
        <w:rPr>
          <w:rFonts w:cs="Open Sans"/>
          <w:color w:val="000000" w:themeColor="text1"/>
        </w:rPr>
        <w:t>ing</w:t>
      </w:r>
      <w:r w:rsidRPr="00DE0C22">
        <w:rPr>
          <w:rFonts w:cs="Open Sans"/>
          <w:color w:val="000000" w:themeColor="text1"/>
        </w:rPr>
        <w:t xml:space="preserve"> with certain </w:t>
      </w:r>
      <w:r w:rsidR="00695329" w:rsidRPr="00695329">
        <w:rPr>
          <w:rFonts w:cs="Open Sans"/>
          <w:color w:val="000000" w:themeColor="text1"/>
        </w:rPr>
        <w:t xml:space="preserve">regulatory </w:t>
      </w:r>
      <w:r w:rsidRPr="00695329">
        <w:rPr>
          <w:rFonts w:cs="Open Sans"/>
          <w:color w:val="000000" w:themeColor="text1"/>
        </w:rPr>
        <w:t xml:space="preserve">requirements </w:t>
      </w:r>
      <w:r w:rsidR="00D61004" w:rsidRPr="00695329">
        <w:rPr>
          <w:rFonts w:cs="Open Sans"/>
          <w:color w:val="000000" w:themeColor="text1"/>
        </w:rPr>
        <w:t>without</w:t>
      </w:r>
      <w:r w:rsidR="00D61004" w:rsidRPr="00DE0C22">
        <w:rPr>
          <w:rFonts w:cs="Open Sans"/>
          <w:color w:val="000000" w:themeColor="text1"/>
        </w:rPr>
        <w:t xml:space="preserve"> </w:t>
      </w:r>
      <w:r w:rsidR="008C23E6" w:rsidRPr="00DE0C22">
        <w:rPr>
          <w:rFonts w:cs="Open Sans"/>
          <w:color w:val="000000" w:themeColor="text1"/>
        </w:rPr>
        <w:t>any p</w:t>
      </w:r>
      <w:r w:rsidR="00D61004" w:rsidRPr="00DE0C22">
        <w:rPr>
          <w:rFonts w:cs="Open Sans"/>
          <w:color w:val="000000" w:themeColor="text1"/>
        </w:rPr>
        <w:t xml:space="preserve">arliamentary </w:t>
      </w:r>
      <w:r w:rsidR="008C23E6" w:rsidRPr="00DE0C22">
        <w:rPr>
          <w:rFonts w:cs="Open Sans"/>
          <w:color w:val="000000" w:themeColor="text1"/>
        </w:rPr>
        <w:t>oversight</w:t>
      </w:r>
      <w:r w:rsidRPr="00DE0C22">
        <w:rPr>
          <w:rFonts w:cs="Open Sans"/>
          <w:color w:val="000000" w:themeColor="text1"/>
        </w:rPr>
        <w:t xml:space="preserve">. </w:t>
      </w:r>
    </w:p>
    <w:p w14:paraId="340E9367" w14:textId="1378790D" w:rsidR="00A062DE" w:rsidRPr="00DE0C22" w:rsidRDefault="00A062DE" w:rsidP="00A062DE">
      <w:pPr>
        <w:pStyle w:val="ListNumber"/>
        <w:numPr>
          <w:ilvl w:val="0"/>
          <w:numId w:val="3"/>
        </w:numPr>
        <w:tabs>
          <w:tab w:val="num" w:pos="993"/>
          <w:tab w:val="left" w:pos="1418"/>
        </w:tabs>
        <w:spacing w:after="240"/>
        <w:ind w:left="709" w:hanging="567"/>
        <w:rPr>
          <w:rFonts w:cs="Open Sans"/>
          <w:color w:val="000000" w:themeColor="text1"/>
        </w:rPr>
      </w:pPr>
      <w:r w:rsidRPr="00DE0C22">
        <w:rPr>
          <w:rFonts w:cs="Open Sans"/>
          <w:color w:val="000000" w:themeColor="text1"/>
        </w:rPr>
        <w:t xml:space="preserve">Section 14A of the Act provides </w:t>
      </w:r>
      <w:r w:rsidR="0058762C" w:rsidRPr="00DE0C22">
        <w:rPr>
          <w:rFonts w:cs="Open Sans"/>
          <w:color w:val="000000" w:themeColor="text1"/>
        </w:rPr>
        <w:t xml:space="preserve">that </w:t>
      </w:r>
      <w:r w:rsidRPr="00DE0C22">
        <w:rPr>
          <w:rFonts w:cs="Open Sans"/>
          <w:color w:val="000000" w:themeColor="text1"/>
        </w:rPr>
        <w:t xml:space="preserve">the </w:t>
      </w:r>
      <w:r w:rsidR="008377B4" w:rsidRPr="00DE0C22">
        <w:t>Senate Standing Committee on Legal and Constitutional Affairs, or such other committee constituted under a resolution of the Senate</w:t>
      </w:r>
      <w:r w:rsidR="00B70B56">
        <w:t>,</w:t>
      </w:r>
      <w:r w:rsidR="008377B4" w:rsidRPr="00DE0C22" w:rsidDel="00631662">
        <w:t xml:space="preserve"> </w:t>
      </w:r>
      <w:r w:rsidR="0058762C" w:rsidRPr="00DE0C22">
        <w:rPr>
          <w:rFonts w:cs="Open Sans"/>
          <w:color w:val="000000" w:themeColor="text1"/>
        </w:rPr>
        <w:t xml:space="preserve">is to conduct a review </w:t>
      </w:r>
      <w:r w:rsidRPr="00DE0C22">
        <w:rPr>
          <w:rFonts w:cs="Open Sans"/>
          <w:color w:val="000000" w:themeColor="text1"/>
        </w:rPr>
        <w:t>of each national emergency declaration made pursuant to s 11 of the Act by the first anniversary of the date the declaration was made and report its findings to the Senate as soon as practicable after completing the review. The Revised Explanatory Memorandum explains that the purpose of this provision is to ‘ensure that the effectiveness of the framework is assessed in relation to each national emergency declaration, and the unique circumstances giving rise to it, to allow the framework to be refined based on experience</w:t>
      </w:r>
      <w:r w:rsidR="00F06E07" w:rsidRPr="00DE0C22">
        <w:rPr>
          <w:rFonts w:cs="Open Sans"/>
          <w:color w:val="000000" w:themeColor="text1"/>
        </w:rPr>
        <w:t>’</w:t>
      </w:r>
      <w:r w:rsidRPr="00DE0C22">
        <w:rPr>
          <w:rFonts w:cs="Open Sans"/>
          <w:color w:val="000000" w:themeColor="text1"/>
        </w:rPr>
        <w:t>.</w:t>
      </w:r>
      <w:r w:rsidR="00F06E07" w:rsidRPr="00DE0C22">
        <w:rPr>
          <w:rStyle w:val="EndnoteReference"/>
          <w:rFonts w:cs="Open Sans"/>
          <w:color w:val="000000" w:themeColor="text1"/>
        </w:rPr>
        <w:endnoteReference w:id="15"/>
      </w:r>
      <w:r w:rsidRPr="00DE0C22">
        <w:rPr>
          <w:rFonts w:cs="Open Sans"/>
          <w:color w:val="000000" w:themeColor="text1"/>
        </w:rPr>
        <w:t xml:space="preserve"> </w:t>
      </w:r>
    </w:p>
    <w:p w14:paraId="4C403BD2" w14:textId="32E7A0B3" w:rsidR="00017726" w:rsidRPr="00DE0C22" w:rsidRDefault="00017726" w:rsidP="00163B9A">
      <w:pPr>
        <w:pStyle w:val="ListNumber"/>
        <w:numPr>
          <w:ilvl w:val="0"/>
          <w:numId w:val="3"/>
        </w:numPr>
        <w:tabs>
          <w:tab w:val="num" w:pos="993"/>
          <w:tab w:val="left" w:pos="1418"/>
        </w:tabs>
        <w:spacing w:after="240"/>
        <w:ind w:left="709" w:hanging="567"/>
        <w:rPr>
          <w:rFonts w:cs="Open Sans"/>
          <w:color w:val="000000" w:themeColor="text1"/>
        </w:rPr>
      </w:pPr>
      <w:r w:rsidRPr="00DE0C22">
        <w:rPr>
          <w:rFonts w:cs="Open Sans"/>
          <w:color w:val="000000" w:themeColor="text1"/>
        </w:rPr>
        <w:t xml:space="preserve">The </w:t>
      </w:r>
      <w:r w:rsidR="005A414F" w:rsidRPr="00DE0C22">
        <w:rPr>
          <w:rFonts w:cs="Open Sans"/>
          <w:color w:val="000000" w:themeColor="text1"/>
        </w:rPr>
        <w:t xml:space="preserve">Commission considers that the </w:t>
      </w:r>
      <w:r w:rsidRPr="00DE0C22">
        <w:rPr>
          <w:rFonts w:cs="Open Sans"/>
          <w:color w:val="000000" w:themeColor="text1"/>
        </w:rPr>
        <w:t xml:space="preserve">requirement for a review of </w:t>
      </w:r>
      <w:r w:rsidR="005A414F" w:rsidRPr="00DE0C22">
        <w:rPr>
          <w:rFonts w:cs="Open Sans"/>
          <w:color w:val="000000" w:themeColor="text1"/>
        </w:rPr>
        <w:t xml:space="preserve">each </w:t>
      </w:r>
      <w:r w:rsidRPr="00DE0C22">
        <w:rPr>
          <w:rFonts w:cs="Open Sans"/>
          <w:color w:val="000000" w:themeColor="text1"/>
        </w:rPr>
        <w:t xml:space="preserve">declaration </w:t>
      </w:r>
      <w:r w:rsidR="005A414F" w:rsidRPr="00DE0C22">
        <w:rPr>
          <w:rFonts w:cs="Open Sans"/>
          <w:color w:val="000000" w:themeColor="text1"/>
        </w:rPr>
        <w:t xml:space="preserve">at the first anniversary of the declaration being made </w:t>
      </w:r>
      <w:r w:rsidR="00AE7991" w:rsidRPr="00DE0C22">
        <w:rPr>
          <w:rFonts w:cs="Open Sans"/>
          <w:color w:val="000000" w:themeColor="text1"/>
        </w:rPr>
        <w:t xml:space="preserve">provides some accountability in relation to the historical use of these emergency powers, but does not provide sufficient oversight in the case of </w:t>
      </w:r>
      <w:r w:rsidR="00EE3A88" w:rsidRPr="00DE0C22">
        <w:rPr>
          <w:rFonts w:cs="Open Sans"/>
          <w:color w:val="000000" w:themeColor="text1"/>
        </w:rPr>
        <w:t>ongoing</w:t>
      </w:r>
      <w:r w:rsidR="005A414F" w:rsidRPr="00DE0C22">
        <w:rPr>
          <w:rFonts w:cs="Open Sans"/>
          <w:color w:val="000000" w:themeColor="text1"/>
        </w:rPr>
        <w:t xml:space="preserve"> national emergency declarations</w:t>
      </w:r>
      <w:r w:rsidR="00EE3A88" w:rsidRPr="00DE0C22">
        <w:rPr>
          <w:rFonts w:cs="Open Sans"/>
          <w:color w:val="000000" w:themeColor="text1"/>
        </w:rPr>
        <w:t xml:space="preserve">. </w:t>
      </w:r>
      <w:r w:rsidR="00C57A68" w:rsidRPr="00DE0C22">
        <w:rPr>
          <w:rFonts w:cs="Open Sans"/>
          <w:color w:val="000000" w:themeColor="text1"/>
        </w:rPr>
        <w:t xml:space="preserve">Given </w:t>
      </w:r>
      <w:r w:rsidR="00E6269A" w:rsidRPr="00DE0C22">
        <w:rPr>
          <w:rFonts w:cs="Open Sans"/>
          <w:color w:val="000000" w:themeColor="text1"/>
        </w:rPr>
        <w:t>that a declaration may be continuously extended</w:t>
      </w:r>
      <w:r w:rsidR="005A414F" w:rsidRPr="00DE0C22">
        <w:rPr>
          <w:rFonts w:cs="Open Sans"/>
          <w:color w:val="000000" w:themeColor="text1"/>
        </w:rPr>
        <w:t xml:space="preserve">, </w:t>
      </w:r>
      <w:r w:rsidR="00AE7991" w:rsidRPr="00DE0C22">
        <w:rPr>
          <w:rFonts w:cs="Open Sans"/>
          <w:color w:val="000000" w:themeColor="text1"/>
        </w:rPr>
        <w:t>a declaration could be made and extended three times for the maximum duration each time before it is subject to any independent oversight</w:t>
      </w:r>
      <w:r w:rsidR="00EE3A88" w:rsidRPr="00DE0C22">
        <w:rPr>
          <w:rFonts w:cs="Open Sans"/>
          <w:color w:val="000000" w:themeColor="text1"/>
        </w:rPr>
        <w:t xml:space="preserve">. </w:t>
      </w:r>
    </w:p>
    <w:p w14:paraId="3319D553" w14:textId="038AFB52" w:rsidR="00BB64C6" w:rsidRDefault="00BB64C6" w:rsidP="00F1739D">
      <w:pPr>
        <w:pStyle w:val="ListNumber"/>
        <w:keepNext/>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lastRenderedPageBreak/>
        <w:t xml:space="preserve">Consistent with s 11(5) of the Act, the Revised Explanatory Memorandum provides that: </w:t>
      </w:r>
    </w:p>
    <w:p w14:paraId="05D81DE2" w14:textId="47E7D7BD" w:rsidR="00BB64C6" w:rsidRDefault="00BB64C6" w:rsidP="00CC4F44">
      <w:pPr>
        <w:pStyle w:val="ListNumber"/>
        <w:numPr>
          <w:ilvl w:val="0"/>
          <w:numId w:val="0"/>
        </w:numPr>
        <w:tabs>
          <w:tab w:val="left" w:pos="1418"/>
        </w:tabs>
        <w:spacing w:after="240"/>
        <w:ind w:left="1134"/>
        <w:rPr>
          <w:rFonts w:cs="Open Sans"/>
          <w:color w:val="000000" w:themeColor="text1"/>
        </w:rPr>
      </w:pPr>
      <w:r>
        <w:rPr>
          <w:rFonts w:cs="Open Sans"/>
          <w:color w:val="000000" w:themeColor="text1"/>
          <w:sz w:val="22"/>
          <w:szCs w:val="22"/>
        </w:rPr>
        <w:t>The declaration of a national emergency is intended to be time-limited, and ordinary processes should be restored once the immediate response and recovery need is addressed.</w:t>
      </w:r>
      <w:r>
        <w:rPr>
          <w:rStyle w:val="EndnoteReference"/>
          <w:rFonts w:cs="Open Sans"/>
          <w:color w:val="000000" w:themeColor="text1"/>
          <w:szCs w:val="22"/>
        </w:rPr>
        <w:endnoteReference w:id="16"/>
      </w:r>
    </w:p>
    <w:p w14:paraId="37FE390E" w14:textId="74931428" w:rsidR="00BB2BDB" w:rsidRPr="00DE0C22" w:rsidRDefault="006D5BA4" w:rsidP="001E1255">
      <w:pPr>
        <w:pStyle w:val="ListNumber"/>
        <w:numPr>
          <w:ilvl w:val="0"/>
          <w:numId w:val="0"/>
        </w:numPr>
        <w:tabs>
          <w:tab w:val="left" w:pos="1418"/>
        </w:tabs>
        <w:spacing w:after="240"/>
        <w:ind w:left="709"/>
        <w:rPr>
          <w:rFonts w:cs="Open Sans"/>
          <w:color w:val="000000" w:themeColor="text1"/>
        </w:rPr>
      </w:pPr>
      <w:r w:rsidRPr="00DE0C22">
        <w:rPr>
          <w:rFonts w:cs="Open Sans"/>
          <w:color w:val="000000" w:themeColor="text1"/>
        </w:rPr>
        <w:t xml:space="preserve">The Commission considers that </w:t>
      </w:r>
      <w:r w:rsidR="00AE7991" w:rsidRPr="00DE0C22">
        <w:rPr>
          <w:rFonts w:cs="Open Sans"/>
          <w:color w:val="000000" w:themeColor="text1"/>
        </w:rPr>
        <w:t>there needs to be a greater level of accountability where a national emergency is protracted</w:t>
      </w:r>
      <w:r w:rsidR="00BB64C6">
        <w:rPr>
          <w:rFonts w:cs="Open Sans"/>
          <w:color w:val="000000" w:themeColor="text1"/>
        </w:rPr>
        <w:t xml:space="preserve"> to </w:t>
      </w:r>
      <w:r w:rsidR="00CC4F44">
        <w:rPr>
          <w:rFonts w:cs="Open Sans"/>
          <w:color w:val="000000" w:themeColor="text1"/>
        </w:rPr>
        <w:t>give effect to this intention</w:t>
      </w:r>
      <w:r w:rsidR="00AE7991" w:rsidRPr="00DE0C22">
        <w:rPr>
          <w:rFonts w:cs="Open Sans"/>
          <w:color w:val="000000" w:themeColor="text1"/>
        </w:rPr>
        <w:t xml:space="preserve">. This could be done in a number of ways. The </w:t>
      </w:r>
      <w:r w:rsidR="008C23E6" w:rsidRPr="00DE0C22">
        <w:rPr>
          <w:rFonts w:cs="Open Sans"/>
          <w:color w:val="000000" w:themeColor="text1"/>
        </w:rPr>
        <w:t xml:space="preserve">Act </w:t>
      </w:r>
      <w:r w:rsidR="00AE7991" w:rsidRPr="00DE0C22">
        <w:rPr>
          <w:rFonts w:cs="Open Sans"/>
          <w:color w:val="000000" w:themeColor="text1"/>
        </w:rPr>
        <w:t>c</w:t>
      </w:r>
      <w:r w:rsidR="008C23E6" w:rsidRPr="00DE0C22">
        <w:rPr>
          <w:rFonts w:cs="Open Sans"/>
          <w:color w:val="000000" w:themeColor="text1"/>
        </w:rPr>
        <w:t>ould include a limit on the number of extensions of a national emergency declaration which may be made by the Governor-General</w:t>
      </w:r>
      <w:r w:rsidR="00C57A68" w:rsidRPr="00DE0C22">
        <w:rPr>
          <w:rFonts w:cs="Open Sans"/>
          <w:color w:val="000000" w:themeColor="text1"/>
        </w:rPr>
        <w:t>.</w:t>
      </w:r>
      <w:r w:rsidR="008C23E6" w:rsidRPr="00DE0C22">
        <w:rPr>
          <w:rFonts w:cs="Open Sans"/>
          <w:color w:val="000000" w:themeColor="text1"/>
        </w:rPr>
        <w:t xml:space="preserve"> </w:t>
      </w:r>
      <w:r w:rsidR="00C57A68" w:rsidRPr="00DE0C22">
        <w:rPr>
          <w:rFonts w:cs="Open Sans"/>
          <w:color w:val="000000" w:themeColor="text1"/>
        </w:rPr>
        <w:t>A</w:t>
      </w:r>
      <w:r w:rsidR="00EE3A88" w:rsidRPr="00DE0C22">
        <w:rPr>
          <w:rFonts w:cs="Open Sans"/>
          <w:color w:val="000000" w:themeColor="text1"/>
        </w:rPr>
        <w:t xml:space="preserve">lternatively, </w:t>
      </w:r>
      <w:r w:rsidR="00C57A68" w:rsidRPr="00DE0C22">
        <w:rPr>
          <w:rFonts w:cs="Open Sans"/>
          <w:color w:val="000000" w:themeColor="text1"/>
        </w:rPr>
        <w:t xml:space="preserve">it could require </w:t>
      </w:r>
      <w:r w:rsidR="00EE3A88" w:rsidRPr="00DE0C22">
        <w:rPr>
          <w:rFonts w:cs="Open Sans"/>
          <w:color w:val="000000" w:themeColor="text1"/>
        </w:rPr>
        <w:t>a</w:t>
      </w:r>
      <w:r w:rsidR="00C57A68" w:rsidRPr="00DE0C22">
        <w:rPr>
          <w:rFonts w:cs="Open Sans"/>
          <w:color w:val="000000" w:themeColor="text1"/>
        </w:rPr>
        <w:t>n immediate</w:t>
      </w:r>
      <w:r w:rsidR="00EE3A88" w:rsidRPr="00DE0C22">
        <w:rPr>
          <w:rFonts w:cs="Open Sans"/>
          <w:color w:val="000000" w:themeColor="text1"/>
        </w:rPr>
        <w:t xml:space="preserve"> review of </w:t>
      </w:r>
      <w:r w:rsidR="00C57A68" w:rsidRPr="00DE0C22">
        <w:rPr>
          <w:rFonts w:cs="Open Sans"/>
          <w:color w:val="000000" w:themeColor="text1"/>
        </w:rPr>
        <w:t xml:space="preserve">a </w:t>
      </w:r>
      <w:r w:rsidR="00EE3A88" w:rsidRPr="00DE0C22">
        <w:rPr>
          <w:rFonts w:cs="Open Sans"/>
          <w:color w:val="000000" w:themeColor="text1"/>
        </w:rPr>
        <w:t xml:space="preserve">declaration of a national emergency </w:t>
      </w:r>
      <w:r w:rsidR="00C57A68" w:rsidRPr="00DE0C22">
        <w:rPr>
          <w:rFonts w:cs="Open Sans"/>
          <w:color w:val="000000" w:themeColor="text1"/>
        </w:rPr>
        <w:t xml:space="preserve">if it is extended more than once. This would ensure that Australians would not be subject to continuous emergency conditions for more than </w:t>
      </w:r>
      <w:r w:rsidR="00EE3A88" w:rsidRPr="00DE0C22">
        <w:rPr>
          <w:rFonts w:cs="Open Sans"/>
          <w:color w:val="000000" w:themeColor="text1"/>
        </w:rPr>
        <w:t xml:space="preserve">6 months </w:t>
      </w:r>
      <w:r w:rsidR="00C57A68" w:rsidRPr="00DE0C22">
        <w:rPr>
          <w:rFonts w:cs="Open Sans"/>
          <w:color w:val="000000" w:themeColor="text1"/>
        </w:rPr>
        <w:t>without some independent oversight from Parliament</w:t>
      </w:r>
      <w:r w:rsidR="00EE3A88" w:rsidRPr="00DE0C22">
        <w:rPr>
          <w:rFonts w:cs="Open Sans"/>
          <w:color w:val="000000" w:themeColor="text1"/>
        </w:rPr>
        <w:t xml:space="preserve">. </w:t>
      </w:r>
    </w:p>
    <w:p w14:paraId="78135BF7" w14:textId="77777777" w:rsidR="00212C73" w:rsidRPr="00DE0C22" w:rsidRDefault="00212C73" w:rsidP="00212C73">
      <w:pPr>
        <w:pStyle w:val="ListNumber"/>
        <w:keepNext/>
        <w:numPr>
          <w:ilvl w:val="0"/>
          <w:numId w:val="0"/>
        </w:numPr>
        <w:tabs>
          <w:tab w:val="left" w:pos="1418"/>
        </w:tabs>
        <w:spacing w:after="240"/>
        <w:ind w:left="709"/>
        <w:rPr>
          <w:rFonts w:cs="Open Sans"/>
          <w:b/>
          <w:bCs/>
          <w:color w:val="000000" w:themeColor="text1"/>
        </w:rPr>
      </w:pPr>
      <w:r w:rsidRPr="00DE0C22">
        <w:rPr>
          <w:rFonts w:cs="Open Sans"/>
          <w:b/>
          <w:bCs/>
          <w:color w:val="000000" w:themeColor="text1"/>
        </w:rPr>
        <w:t>Recommendation 1</w:t>
      </w:r>
    </w:p>
    <w:p w14:paraId="19BC0659" w14:textId="4E5ED50A" w:rsidR="00212C73" w:rsidRDefault="00212C73" w:rsidP="00212C73">
      <w:pPr>
        <w:pStyle w:val="ListNumber"/>
        <w:numPr>
          <w:ilvl w:val="0"/>
          <w:numId w:val="0"/>
        </w:numPr>
        <w:tabs>
          <w:tab w:val="left" w:pos="1418"/>
        </w:tabs>
        <w:spacing w:after="240"/>
        <w:ind w:left="709"/>
        <w:rPr>
          <w:rFonts w:cs="Open Sans"/>
          <w:color w:val="000000" w:themeColor="text1"/>
        </w:rPr>
      </w:pPr>
      <w:r w:rsidRPr="00DE0C22">
        <w:rPr>
          <w:rFonts w:cs="Open Sans"/>
          <w:color w:val="000000" w:themeColor="text1"/>
        </w:rPr>
        <w:t>Section 12 of the Act should be amended to limit the number of extensions of a national emergency declaration which can be made by the Governor-General</w:t>
      </w:r>
      <w:r w:rsidR="00F06E07" w:rsidRPr="00DE0C22">
        <w:rPr>
          <w:rFonts w:cs="Open Sans"/>
          <w:color w:val="000000" w:themeColor="text1"/>
        </w:rPr>
        <w:t xml:space="preserve"> </w:t>
      </w:r>
      <w:r w:rsidR="00C57A68" w:rsidRPr="00DE0C22">
        <w:rPr>
          <w:rFonts w:cs="Open Sans"/>
          <w:color w:val="000000" w:themeColor="text1"/>
        </w:rPr>
        <w:t>and s 14A of the Act should be amended to require an immediate review of a declaration of a national emergency if it is extended more than once</w:t>
      </w:r>
      <w:r w:rsidRPr="00DE0C22">
        <w:rPr>
          <w:rFonts w:cs="Open Sans"/>
          <w:color w:val="000000" w:themeColor="text1"/>
        </w:rPr>
        <w:t>.</w:t>
      </w:r>
      <w:r>
        <w:rPr>
          <w:rFonts w:cs="Open Sans"/>
          <w:color w:val="000000" w:themeColor="text1"/>
        </w:rPr>
        <w:t xml:space="preserve"> </w:t>
      </w:r>
    </w:p>
    <w:p w14:paraId="2478632D" w14:textId="76D78CA5" w:rsidR="00163B9A" w:rsidRDefault="002F7B7A" w:rsidP="00163B9A">
      <w:pPr>
        <w:pStyle w:val="Heading1"/>
      </w:pPr>
      <w:bookmarkStart w:id="19" w:name="_Toc67495696"/>
      <w:r>
        <w:t xml:space="preserve">Definitions </w:t>
      </w:r>
      <w:r w:rsidR="00163B9A">
        <w:t>of ‘emergency’</w:t>
      </w:r>
      <w:r w:rsidR="0039389B">
        <w:t xml:space="preserve"> and ‘Commonwealth interest</w:t>
      </w:r>
      <w:r w:rsidR="008E5A60">
        <w:t>s</w:t>
      </w:r>
      <w:r w:rsidR="0039389B">
        <w:t>’</w:t>
      </w:r>
      <w:bookmarkEnd w:id="19"/>
    </w:p>
    <w:p w14:paraId="135B35B3" w14:textId="09B7094F" w:rsidR="00196614" w:rsidRDefault="0039389B"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The terms ‘emergency’ and ‘Commonwealth interest</w:t>
      </w:r>
      <w:r w:rsidR="001C76FE">
        <w:rPr>
          <w:rFonts w:cs="Open Sans"/>
          <w:color w:val="000000" w:themeColor="text1"/>
        </w:rPr>
        <w:t>s</w:t>
      </w:r>
      <w:r>
        <w:rPr>
          <w:rFonts w:cs="Open Sans"/>
          <w:color w:val="000000" w:themeColor="text1"/>
        </w:rPr>
        <w:t>’</w:t>
      </w:r>
      <w:r w:rsidR="000F4963">
        <w:rPr>
          <w:rFonts w:cs="Open Sans"/>
          <w:color w:val="000000" w:themeColor="text1"/>
        </w:rPr>
        <w:t xml:space="preserve"> in s 11 of the Act</w:t>
      </w:r>
      <w:r>
        <w:rPr>
          <w:rFonts w:cs="Open Sans"/>
          <w:color w:val="000000" w:themeColor="text1"/>
        </w:rPr>
        <w:t xml:space="preserve"> are</w:t>
      </w:r>
      <w:r w:rsidR="00233641">
        <w:rPr>
          <w:rFonts w:cs="Open Sans"/>
          <w:color w:val="000000" w:themeColor="text1"/>
        </w:rPr>
        <w:t xml:space="preserve"> critical to the scope of the Act and the powers that may be exercised pursuant to it</w:t>
      </w:r>
      <w:r w:rsidR="00555C2E">
        <w:rPr>
          <w:rFonts w:cs="Open Sans"/>
          <w:color w:val="000000" w:themeColor="text1"/>
        </w:rPr>
        <w:t xml:space="preserve">, including the declaration or extension of </w:t>
      </w:r>
      <w:r w:rsidR="00196614">
        <w:rPr>
          <w:rFonts w:cs="Open Sans"/>
          <w:color w:val="000000" w:themeColor="text1"/>
        </w:rPr>
        <w:t>a</w:t>
      </w:r>
      <w:r w:rsidR="00D55AC6">
        <w:rPr>
          <w:rFonts w:cs="Open Sans"/>
          <w:color w:val="000000" w:themeColor="text1"/>
        </w:rPr>
        <w:t xml:space="preserve"> national emergency</w:t>
      </w:r>
      <w:r w:rsidR="00196614">
        <w:rPr>
          <w:rFonts w:cs="Open Sans"/>
          <w:color w:val="000000" w:themeColor="text1"/>
        </w:rPr>
        <w:t xml:space="preserve">. </w:t>
      </w:r>
      <w:r w:rsidR="007550B1">
        <w:rPr>
          <w:rFonts w:cs="Open Sans"/>
          <w:color w:val="000000" w:themeColor="text1"/>
        </w:rPr>
        <w:t>However</w:t>
      </w:r>
      <w:r w:rsidR="00196614">
        <w:rPr>
          <w:rFonts w:cs="Open Sans"/>
          <w:color w:val="000000" w:themeColor="text1"/>
        </w:rPr>
        <w:t>, these terms are not defined in</w:t>
      </w:r>
      <w:r w:rsidR="00332F07">
        <w:rPr>
          <w:rFonts w:cs="Open Sans"/>
          <w:color w:val="000000" w:themeColor="text1"/>
        </w:rPr>
        <w:t xml:space="preserve"> </w:t>
      </w:r>
      <w:r w:rsidR="0031393C">
        <w:rPr>
          <w:rFonts w:cs="Open Sans"/>
          <w:color w:val="000000" w:themeColor="text1"/>
        </w:rPr>
        <w:t>the Act</w:t>
      </w:r>
      <w:r w:rsidR="00196614">
        <w:rPr>
          <w:rFonts w:cs="Open Sans"/>
          <w:color w:val="000000" w:themeColor="text1"/>
        </w:rPr>
        <w:t>.</w:t>
      </w:r>
      <w:r w:rsidR="007326E6">
        <w:rPr>
          <w:rFonts w:cs="Open Sans"/>
          <w:color w:val="000000" w:themeColor="text1"/>
        </w:rPr>
        <w:t xml:space="preserve"> The </w:t>
      </w:r>
      <w:r w:rsidR="002E403C">
        <w:rPr>
          <w:rFonts w:cs="Open Sans"/>
          <w:color w:val="000000" w:themeColor="text1"/>
        </w:rPr>
        <w:t xml:space="preserve">Senate Standing Committee for the </w:t>
      </w:r>
      <w:r w:rsidR="007326E6">
        <w:rPr>
          <w:rFonts w:cs="Open Sans"/>
          <w:color w:val="000000" w:themeColor="text1"/>
        </w:rPr>
        <w:t>Scrutiny of Bills has expressed concern about the lack of guidance on the meaning of these terms in the Act.</w:t>
      </w:r>
      <w:r w:rsidR="007326E6">
        <w:rPr>
          <w:rStyle w:val="EndnoteReference"/>
          <w:rFonts w:cs="Open Sans"/>
          <w:color w:val="000000" w:themeColor="text1"/>
        </w:rPr>
        <w:endnoteReference w:id="17"/>
      </w:r>
      <w:r w:rsidR="007326E6">
        <w:rPr>
          <w:rFonts w:cs="Open Sans"/>
          <w:color w:val="000000" w:themeColor="text1"/>
        </w:rPr>
        <w:t xml:space="preserve"> </w:t>
      </w:r>
    </w:p>
    <w:p w14:paraId="6976B909" w14:textId="6F523FB5" w:rsidR="00196614" w:rsidRDefault="00332F07"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Pursuant to s 11</w:t>
      </w:r>
      <w:r w:rsidR="001A01DD">
        <w:rPr>
          <w:rFonts w:cs="Open Sans"/>
          <w:color w:val="000000" w:themeColor="text1"/>
        </w:rPr>
        <w:t>(1)</w:t>
      </w:r>
      <w:r>
        <w:rPr>
          <w:rFonts w:cs="Open Sans"/>
          <w:color w:val="000000" w:themeColor="text1"/>
        </w:rPr>
        <w:t xml:space="preserve"> of the Act, t</w:t>
      </w:r>
      <w:r w:rsidR="00196614">
        <w:rPr>
          <w:rFonts w:cs="Open Sans"/>
          <w:color w:val="000000" w:themeColor="text1"/>
        </w:rPr>
        <w:t>he Govern</w:t>
      </w:r>
      <w:r w:rsidR="00A01D09">
        <w:rPr>
          <w:rFonts w:cs="Open Sans"/>
          <w:color w:val="000000" w:themeColor="text1"/>
        </w:rPr>
        <w:t>or</w:t>
      </w:r>
      <w:r w:rsidR="00196614">
        <w:rPr>
          <w:rFonts w:cs="Open Sans"/>
          <w:color w:val="000000" w:themeColor="text1"/>
        </w:rPr>
        <w:t xml:space="preserve">-General </w:t>
      </w:r>
      <w:r>
        <w:rPr>
          <w:rFonts w:cs="Open Sans"/>
          <w:color w:val="000000" w:themeColor="text1"/>
        </w:rPr>
        <w:t>may</w:t>
      </w:r>
      <w:r w:rsidR="00196614">
        <w:rPr>
          <w:rFonts w:cs="Open Sans"/>
          <w:color w:val="000000" w:themeColor="text1"/>
        </w:rPr>
        <w:t xml:space="preserve"> make a national emergency declaration </w:t>
      </w:r>
      <w:r>
        <w:rPr>
          <w:rFonts w:cs="Open Sans"/>
          <w:color w:val="000000" w:themeColor="text1"/>
        </w:rPr>
        <w:t xml:space="preserve">if </w:t>
      </w:r>
      <w:r w:rsidR="00196614">
        <w:rPr>
          <w:rFonts w:cs="Open Sans"/>
          <w:color w:val="000000" w:themeColor="text1"/>
        </w:rPr>
        <w:t xml:space="preserve">the Prime Minister </w:t>
      </w:r>
      <w:r>
        <w:rPr>
          <w:rFonts w:cs="Open Sans"/>
          <w:color w:val="000000" w:themeColor="text1"/>
        </w:rPr>
        <w:t>is</w:t>
      </w:r>
      <w:r w:rsidR="00196614">
        <w:rPr>
          <w:rFonts w:cs="Open Sans"/>
          <w:color w:val="000000" w:themeColor="text1"/>
        </w:rPr>
        <w:t xml:space="preserve"> satisfied that: </w:t>
      </w:r>
    </w:p>
    <w:p w14:paraId="7D562260" w14:textId="679C6A6E" w:rsidR="00196614" w:rsidRDefault="00196614" w:rsidP="00D55AC6">
      <w:pPr>
        <w:pStyle w:val="ListNumber"/>
        <w:numPr>
          <w:ilvl w:val="0"/>
          <w:numId w:val="0"/>
        </w:numPr>
        <w:tabs>
          <w:tab w:val="left" w:pos="1418"/>
        </w:tabs>
        <w:spacing w:after="240"/>
        <w:ind w:left="1418" w:hanging="425"/>
        <w:rPr>
          <w:rFonts w:cs="Open Sans"/>
          <w:color w:val="000000" w:themeColor="text1"/>
          <w:sz w:val="22"/>
          <w:szCs w:val="22"/>
        </w:rPr>
      </w:pPr>
      <w:r w:rsidRPr="00D55AC6">
        <w:rPr>
          <w:rFonts w:cs="Open Sans"/>
          <w:color w:val="000000" w:themeColor="text1"/>
          <w:sz w:val="22"/>
          <w:szCs w:val="22"/>
        </w:rPr>
        <w:t xml:space="preserve">(a) </w:t>
      </w:r>
      <w:r w:rsidR="00D55AC6">
        <w:rPr>
          <w:rFonts w:cs="Open Sans"/>
          <w:color w:val="000000" w:themeColor="text1"/>
          <w:sz w:val="22"/>
          <w:szCs w:val="22"/>
        </w:rPr>
        <w:tab/>
      </w:r>
      <w:r w:rsidRPr="00D55AC6">
        <w:rPr>
          <w:rFonts w:cs="Open Sans"/>
          <w:color w:val="000000" w:themeColor="text1"/>
          <w:sz w:val="22"/>
          <w:szCs w:val="22"/>
        </w:rPr>
        <w:t xml:space="preserve">an </w:t>
      </w:r>
      <w:r w:rsidRPr="00307C58">
        <w:rPr>
          <w:rFonts w:cs="Open Sans"/>
          <w:color w:val="000000" w:themeColor="text1"/>
          <w:sz w:val="22"/>
          <w:szCs w:val="22"/>
          <w:u w:val="single"/>
        </w:rPr>
        <w:t>emergency</w:t>
      </w:r>
      <w:r w:rsidRPr="00D55AC6">
        <w:rPr>
          <w:rFonts w:cs="Open Sans"/>
          <w:color w:val="000000" w:themeColor="text1"/>
          <w:sz w:val="22"/>
          <w:szCs w:val="22"/>
        </w:rPr>
        <w:t xml:space="preserve"> has recently occurred, is occurring or is likely to occur (whether in or outside Australia)</w:t>
      </w:r>
      <w:r w:rsidR="00D55AC6">
        <w:rPr>
          <w:rFonts w:cs="Open Sans"/>
          <w:color w:val="000000" w:themeColor="text1"/>
          <w:sz w:val="22"/>
          <w:szCs w:val="22"/>
        </w:rPr>
        <w:t xml:space="preserve">; </w:t>
      </w:r>
      <w:r w:rsidR="008E5A60">
        <w:rPr>
          <w:rFonts w:cs="Open Sans"/>
          <w:color w:val="000000" w:themeColor="text1"/>
          <w:sz w:val="22"/>
          <w:szCs w:val="22"/>
        </w:rPr>
        <w:t>and</w:t>
      </w:r>
    </w:p>
    <w:p w14:paraId="4B52D55E" w14:textId="3B5881E7" w:rsidR="00D55AC6" w:rsidRDefault="00D55AC6" w:rsidP="00D55AC6">
      <w:pPr>
        <w:pStyle w:val="ListNumber"/>
        <w:numPr>
          <w:ilvl w:val="0"/>
          <w:numId w:val="0"/>
        </w:numPr>
        <w:tabs>
          <w:tab w:val="left" w:pos="1418"/>
        </w:tabs>
        <w:spacing w:after="240"/>
        <w:ind w:left="1418" w:hanging="425"/>
        <w:rPr>
          <w:rFonts w:cs="Open Sans"/>
          <w:color w:val="000000" w:themeColor="text1"/>
          <w:sz w:val="22"/>
          <w:szCs w:val="22"/>
        </w:rPr>
      </w:pPr>
      <w:r>
        <w:rPr>
          <w:rFonts w:cs="Open Sans"/>
          <w:color w:val="000000" w:themeColor="text1"/>
          <w:sz w:val="22"/>
          <w:szCs w:val="22"/>
        </w:rPr>
        <w:lastRenderedPageBreak/>
        <w:t>(b)</w:t>
      </w:r>
      <w:r>
        <w:rPr>
          <w:rFonts w:cs="Open Sans"/>
          <w:color w:val="000000" w:themeColor="text1"/>
          <w:sz w:val="22"/>
          <w:szCs w:val="22"/>
        </w:rPr>
        <w:tab/>
      </w:r>
      <w:r>
        <w:rPr>
          <w:rFonts w:cs="Open Sans"/>
          <w:color w:val="000000" w:themeColor="text1"/>
          <w:sz w:val="22"/>
          <w:szCs w:val="22"/>
        </w:rPr>
        <w:tab/>
        <w:t>the emergency has caused, is causing or is likely to cause nationally significant harm in Australia or in an Australian offshore area; and</w:t>
      </w:r>
    </w:p>
    <w:p w14:paraId="4D7C4E2A" w14:textId="61755EB1" w:rsidR="00D55AC6" w:rsidRDefault="00D55AC6" w:rsidP="00D55AC6">
      <w:pPr>
        <w:pStyle w:val="ListNumber"/>
        <w:numPr>
          <w:ilvl w:val="0"/>
          <w:numId w:val="0"/>
        </w:numPr>
        <w:tabs>
          <w:tab w:val="left" w:pos="1418"/>
        </w:tabs>
        <w:spacing w:after="240"/>
        <w:ind w:left="1418" w:hanging="425"/>
        <w:rPr>
          <w:rFonts w:cs="Open Sans"/>
          <w:color w:val="000000" w:themeColor="text1"/>
          <w:sz w:val="22"/>
          <w:szCs w:val="22"/>
        </w:rPr>
      </w:pPr>
      <w:r>
        <w:rPr>
          <w:rFonts w:cs="Open Sans"/>
          <w:color w:val="000000" w:themeColor="text1"/>
          <w:sz w:val="22"/>
          <w:szCs w:val="22"/>
        </w:rPr>
        <w:t>(c)</w:t>
      </w:r>
      <w:r>
        <w:rPr>
          <w:rFonts w:cs="Open Sans"/>
          <w:color w:val="000000" w:themeColor="text1"/>
          <w:sz w:val="22"/>
          <w:szCs w:val="22"/>
        </w:rPr>
        <w:tab/>
        <w:t xml:space="preserve">any of the following subparagraphs apply: </w:t>
      </w:r>
    </w:p>
    <w:p w14:paraId="6EBEA4DC" w14:textId="58578A2C" w:rsidR="008E5A60" w:rsidRDefault="008E5A60" w:rsidP="00D55AC6">
      <w:pPr>
        <w:pStyle w:val="ListNumber"/>
        <w:numPr>
          <w:ilvl w:val="0"/>
          <w:numId w:val="0"/>
        </w:numPr>
        <w:tabs>
          <w:tab w:val="left" w:pos="1418"/>
        </w:tabs>
        <w:spacing w:after="240"/>
        <w:ind w:left="1418" w:hanging="425"/>
        <w:rPr>
          <w:rFonts w:cs="Open Sans"/>
          <w:color w:val="000000" w:themeColor="text1"/>
          <w:sz w:val="22"/>
          <w:szCs w:val="22"/>
        </w:rPr>
      </w:pPr>
      <w:r>
        <w:rPr>
          <w:rFonts w:cs="Open Sans"/>
          <w:color w:val="000000" w:themeColor="text1"/>
          <w:sz w:val="22"/>
          <w:szCs w:val="22"/>
        </w:rPr>
        <w:tab/>
      </w:r>
      <w:r>
        <w:rPr>
          <w:rFonts w:cs="Open Sans"/>
          <w:color w:val="000000" w:themeColor="text1"/>
          <w:sz w:val="22"/>
          <w:szCs w:val="22"/>
        </w:rPr>
        <w:tab/>
        <w:t>…</w:t>
      </w:r>
    </w:p>
    <w:p w14:paraId="315CAF2C" w14:textId="5E7B9F7D" w:rsidR="008E5A60" w:rsidRDefault="008E5A60" w:rsidP="008E5A60">
      <w:pPr>
        <w:pStyle w:val="ListNumber"/>
        <w:numPr>
          <w:ilvl w:val="0"/>
          <w:numId w:val="0"/>
        </w:numPr>
        <w:tabs>
          <w:tab w:val="left" w:pos="2127"/>
        </w:tabs>
        <w:spacing w:after="240"/>
        <w:ind w:left="2127" w:hanging="709"/>
        <w:rPr>
          <w:sz w:val="22"/>
          <w:szCs w:val="22"/>
        </w:rPr>
      </w:pPr>
      <w:r>
        <w:rPr>
          <w:sz w:val="22"/>
          <w:szCs w:val="22"/>
        </w:rPr>
        <w:t xml:space="preserve">(iii) </w:t>
      </w:r>
      <w:r>
        <w:rPr>
          <w:sz w:val="22"/>
          <w:szCs w:val="22"/>
        </w:rPr>
        <w:tab/>
        <w:t xml:space="preserve">the emergency has affected, is affecting or is likely to affect </w:t>
      </w:r>
      <w:r w:rsidRPr="00307C58">
        <w:rPr>
          <w:sz w:val="22"/>
          <w:szCs w:val="22"/>
          <w:u w:val="single"/>
        </w:rPr>
        <w:t>Commonwealth interests</w:t>
      </w:r>
      <w:r>
        <w:rPr>
          <w:sz w:val="22"/>
          <w:szCs w:val="22"/>
        </w:rPr>
        <w:t>;</w:t>
      </w:r>
    </w:p>
    <w:p w14:paraId="47A2740C" w14:textId="4D6DFA1B" w:rsidR="008E5A60" w:rsidRDefault="008E5A60" w:rsidP="008E5A60">
      <w:pPr>
        <w:pStyle w:val="ListNumber"/>
        <w:numPr>
          <w:ilvl w:val="0"/>
          <w:numId w:val="0"/>
        </w:numPr>
        <w:tabs>
          <w:tab w:val="left" w:pos="2127"/>
        </w:tabs>
        <w:spacing w:after="240"/>
        <w:ind w:left="2127" w:hanging="709"/>
        <w:rPr>
          <w:sz w:val="22"/>
          <w:szCs w:val="22"/>
        </w:rPr>
      </w:pPr>
      <w:r>
        <w:rPr>
          <w:sz w:val="22"/>
          <w:szCs w:val="22"/>
        </w:rPr>
        <w:t>…; and</w:t>
      </w:r>
    </w:p>
    <w:p w14:paraId="2ED66CDF" w14:textId="1993A12A" w:rsidR="008E5A60" w:rsidRDefault="008E5A60" w:rsidP="008E5A60">
      <w:pPr>
        <w:pStyle w:val="ListNumber"/>
        <w:numPr>
          <w:ilvl w:val="0"/>
          <w:numId w:val="0"/>
        </w:numPr>
        <w:tabs>
          <w:tab w:val="left" w:pos="1418"/>
        </w:tabs>
        <w:spacing w:after="240"/>
        <w:ind w:left="1418" w:hanging="425"/>
        <w:rPr>
          <w:rFonts w:cs="Open Sans"/>
          <w:color w:val="000000" w:themeColor="text1"/>
          <w:sz w:val="22"/>
          <w:szCs w:val="22"/>
        </w:rPr>
      </w:pPr>
      <w:r w:rsidRPr="008E5A60">
        <w:rPr>
          <w:rFonts w:cs="Open Sans"/>
          <w:color w:val="000000" w:themeColor="text1"/>
          <w:sz w:val="22"/>
          <w:szCs w:val="22"/>
        </w:rPr>
        <w:t xml:space="preserve">(d) </w:t>
      </w:r>
      <w:r>
        <w:rPr>
          <w:rFonts w:cs="Open Sans"/>
          <w:color w:val="000000" w:themeColor="text1"/>
          <w:sz w:val="22"/>
          <w:szCs w:val="22"/>
        </w:rPr>
        <w:tab/>
      </w:r>
      <w:r w:rsidRPr="008E5A60">
        <w:rPr>
          <w:rFonts w:cs="Open Sans"/>
          <w:color w:val="000000" w:themeColor="text1"/>
          <w:sz w:val="22"/>
          <w:szCs w:val="22"/>
        </w:rPr>
        <w:t>for reasons relating to emergency management, it is desirable for the declaration to be made for the purposes of one or more national emergency laws.</w:t>
      </w:r>
    </w:p>
    <w:p w14:paraId="4F9A82DA" w14:textId="74880595" w:rsidR="00593B8C" w:rsidRPr="00D55AC6" w:rsidRDefault="00593B8C" w:rsidP="008E5A60">
      <w:pPr>
        <w:pStyle w:val="ListNumber"/>
        <w:numPr>
          <w:ilvl w:val="0"/>
          <w:numId w:val="0"/>
        </w:numPr>
        <w:tabs>
          <w:tab w:val="left" w:pos="1418"/>
        </w:tabs>
        <w:spacing w:after="240"/>
        <w:ind w:left="1418" w:hanging="425"/>
        <w:rPr>
          <w:rFonts w:cs="Open Sans"/>
          <w:color w:val="000000" w:themeColor="text1"/>
          <w:sz w:val="22"/>
          <w:szCs w:val="22"/>
        </w:rPr>
      </w:pPr>
      <w:r>
        <w:rPr>
          <w:rFonts w:cs="Open Sans"/>
          <w:color w:val="000000" w:themeColor="text1"/>
          <w:sz w:val="22"/>
          <w:szCs w:val="22"/>
        </w:rPr>
        <w:t>(emphasis added)</w:t>
      </w:r>
    </w:p>
    <w:p w14:paraId="26BCECAF" w14:textId="49792C08" w:rsidR="008D3EAF" w:rsidRDefault="008D3EAF"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Similar tests using the same terms are </w:t>
      </w:r>
      <w:r w:rsidR="00CE64F8">
        <w:rPr>
          <w:rFonts w:cs="Open Sans"/>
          <w:color w:val="000000" w:themeColor="text1"/>
        </w:rPr>
        <w:t xml:space="preserve">set </w:t>
      </w:r>
      <w:r w:rsidR="00700533">
        <w:rPr>
          <w:rFonts w:cs="Open Sans"/>
          <w:color w:val="000000" w:themeColor="text1"/>
        </w:rPr>
        <w:t>out</w:t>
      </w:r>
      <w:r>
        <w:rPr>
          <w:rFonts w:cs="Open Sans"/>
          <w:color w:val="000000" w:themeColor="text1"/>
        </w:rPr>
        <w:t xml:space="preserve"> in ss 12</w:t>
      </w:r>
      <w:r w:rsidR="001A01DD">
        <w:rPr>
          <w:rFonts w:cs="Open Sans"/>
          <w:color w:val="000000" w:themeColor="text1"/>
        </w:rPr>
        <w:t>(1)</w:t>
      </w:r>
      <w:r>
        <w:rPr>
          <w:rFonts w:cs="Open Sans"/>
          <w:color w:val="000000" w:themeColor="text1"/>
        </w:rPr>
        <w:t xml:space="preserve"> and 13</w:t>
      </w:r>
      <w:r w:rsidR="001A01DD">
        <w:rPr>
          <w:rFonts w:cs="Open Sans"/>
          <w:color w:val="000000" w:themeColor="text1"/>
        </w:rPr>
        <w:t>(1)</w:t>
      </w:r>
      <w:r>
        <w:rPr>
          <w:rFonts w:cs="Open Sans"/>
          <w:color w:val="000000" w:themeColor="text1"/>
        </w:rPr>
        <w:t xml:space="preserve"> of the Act</w:t>
      </w:r>
      <w:r w:rsidR="001A01DD">
        <w:rPr>
          <w:rFonts w:cs="Open Sans"/>
          <w:color w:val="000000" w:themeColor="text1"/>
        </w:rPr>
        <w:t>,</w:t>
      </w:r>
      <w:r>
        <w:rPr>
          <w:rFonts w:cs="Open Sans"/>
          <w:color w:val="000000" w:themeColor="text1"/>
        </w:rPr>
        <w:t xml:space="preserve"> which empower the Governor-General to extend the period for which a national emergency declaration is in force and vary any other aspect of a national emergency declaration. </w:t>
      </w:r>
    </w:p>
    <w:p w14:paraId="062CBADB" w14:textId="3C61781F" w:rsidR="00FC5F0F" w:rsidRPr="00F15272" w:rsidRDefault="009B1F83" w:rsidP="00B52B65">
      <w:pPr>
        <w:pStyle w:val="ListNumber"/>
        <w:numPr>
          <w:ilvl w:val="0"/>
          <w:numId w:val="3"/>
        </w:numPr>
        <w:tabs>
          <w:tab w:val="num" w:pos="993"/>
          <w:tab w:val="left" w:pos="1418"/>
        </w:tabs>
        <w:spacing w:after="240"/>
        <w:ind w:left="709" w:hanging="567"/>
        <w:rPr>
          <w:rFonts w:cs="Open Sans"/>
          <w:color w:val="000000" w:themeColor="text1"/>
          <w:sz w:val="22"/>
          <w:szCs w:val="22"/>
        </w:rPr>
      </w:pPr>
      <w:r>
        <w:rPr>
          <w:rFonts w:cs="Open Sans"/>
          <w:color w:val="000000" w:themeColor="text1"/>
        </w:rPr>
        <w:t xml:space="preserve">The </w:t>
      </w:r>
      <w:r w:rsidR="00190E4A">
        <w:rPr>
          <w:rFonts w:cs="Open Sans"/>
          <w:color w:val="000000" w:themeColor="text1"/>
        </w:rPr>
        <w:t xml:space="preserve">Revised </w:t>
      </w:r>
      <w:r>
        <w:rPr>
          <w:rFonts w:cs="Open Sans"/>
          <w:color w:val="000000" w:themeColor="text1"/>
        </w:rPr>
        <w:t xml:space="preserve">Explanatory Memorandum </w:t>
      </w:r>
      <w:r w:rsidR="004D0308">
        <w:rPr>
          <w:rFonts w:cs="Open Sans"/>
          <w:color w:val="000000" w:themeColor="text1"/>
        </w:rPr>
        <w:t>states</w:t>
      </w:r>
      <w:r>
        <w:rPr>
          <w:rFonts w:cs="Open Sans"/>
          <w:color w:val="000000" w:themeColor="text1"/>
        </w:rPr>
        <w:t xml:space="preserve"> that </w:t>
      </w:r>
      <w:r w:rsidR="00332F07">
        <w:rPr>
          <w:rFonts w:cs="Open Sans"/>
          <w:color w:val="000000" w:themeColor="text1"/>
        </w:rPr>
        <w:t xml:space="preserve">‘emergency’ is </w:t>
      </w:r>
      <w:r w:rsidR="00C71A4B">
        <w:rPr>
          <w:rFonts w:cs="Open Sans"/>
          <w:color w:val="000000" w:themeColor="text1"/>
        </w:rPr>
        <w:t xml:space="preserve">deliberately </w:t>
      </w:r>
      <w:r w:rsidR="00332F07">
        <w:rPr>
          <w:rFonts w:cs="Open Sans"/>
          <w:color w:val="000000" w:themeColor="text1"/>
        </w:rPr>
        <w:t xml:space="preserve">not </w:t>
      </w:r>
      <w:r w:rsidR="00C71A4B">
        <w:rPr>
          <w:rFonts w:cs="Open Sans"/>
          <w:color w:val="000000" w:themeColor="text1"/>
        </w:rPr>
        <w:t xml:space="preserve">defined </w:t>
      </w:r>
      <w:r w:rsidR="00332F07">
        <w:rPr>
          <w:rFonts w:cs="Open Sans"/>
          <w:color w:val="000000" w:themeColor="text1"/>
        </w:rPr>
        <w:t>in the Act an</w:t>
      </w:r>
      <w:r w:rsidR="004D0308">
        <w:rPr>
          <w:rFonts w:cs="Open Sans"/>
          <w:color w:val="000000" w:themeColor="text1"/>
        </w:rPr>
        <w:t>d</w:t>
      </w:r>
      <w:r w:rsidR="00332F07">
        <w:rPr>
          <w:rFonts w:cs="Open Sans"/>
          <w:color w:val="000000" w:themeColor="text1"/>
        </w:rPr>
        <w:t xml:space="preserve">, instead, is to be given its natural </w:t>
      </w:r>
      <w:r w:rsidR="004E6A96">
        <w:rPr>
          <w:rFonts w:cs="Open Sans"/>
          <w:color w:val="000000" w:themeColor="text1"/>
        </w:rPr>
        <w:t>and</w:t>
      </w:r>
      <w:r w:rsidR="00332F07">
        <w:rPr>
          <w:rFonts w:cs="Open Sans"/>
          <w:color w:val="000000" w:themeColor="text1"/>
        </w:rPr>
        <w:t xml:space="preserve"> ordinary meaning.</w:t>
      </w:r>
      <w:r w:rsidR="00CE64F8">
        <w:rPr>
          <w:rStyle w:val="EndnoteReference"/>
          <w:rFonts w:cs="Open Sans"/>
          <w:color w:val="000000" w:themeColor="text1"/>
        </w:rPr>
        <w:endnoteReference w:id="18"/>
      </w:r>
      <w:r w:rsidR="00332F07">
        <w:rPr>
          <w:rFonts w:cs="Open Sans"/>
          <w:color w:val="000000" w:themeColor="text1"/>
        </w:rPr>
        <w:t xml:space="preserve"> The rationale behind this is said to be to support an ‘all hazards’ approach which does not limit the circumstances in which a declaration can be made to certain types </w:t>
      </w:r>
      <w:r w:rsidR="00FD5A83">
        <w:rPr>
          <w:rFonts w:cs="Open Sans"/>
          <w:color w:val="000000" w:themeColor="text1"/>
        </w:rPr>
        <w:t>or</w:t>
      </w:r>
      <w:r w:rsidR="00332F07">
        <w:rPr>
          <w:rFonts w:cs="Open Sans"/>
          <w:color w:val="000000" w:themeColor="text1"/>
        </w:rPr>
        <w:t xml:space="preserve"> kinds of defined emergencies</w:t>
      </w:r>
      <w:r w:rsidR="004D0308">
        <w:rPr>
          <w:rFonts w:cs="Open Sans"/>
          <w:color w:val="000000" w:themeColor="text1"/>
        </w:rPr>
        <w:t xml:space="preserve"> or single incidents or disasters.</w:t>
      </w:r>
      <w:r w:rsidR="000A004E">
        <w:rPr>
          <w:rFonts w:cs="Open Sans"/>
          <w:color w:val="000000" w:themeColor="text1"/>
        </w:rPr>
        <w:t xml:space="preserve"> </w:t>
      </w:r>
      <w:r w:rsidR="0028210E">
        <w:rPr>
          <w:rFonts w:cs="Open Sans"/>
          <w:color w:val="000000" w:themeColor="text1"/>
        </w:rPr>
        <w:t>T</w:t>
      </w:r>
      <w:r w:rsidR="00826ABC">
        <w:rPr>
          <w:rFonts w:cs="Open Sans"/>
          <w:color w:val="000000" w:themeColor="text1"/>
        </w:rPr>
        <w:t xml:space="preserve">he Macquarie Dictionary defines ‘emergency’ in broad terms as </w:t>
      </w:r>
      <w:r w:rsidR="00836E1E">
        <w:rPr>
          <w:rFonts w:cs="Open Sans"/>
          <w:color w:val="000000" w:themeColor="text1"/>
        </w:rPr>
        <w:t>‘</w:t>
      </w:r>
      <w:r w:rsidR="00826ABC" w:rsidRPr="00826ABC">
        <w:t>an unforeseen occurrence; a sudden and urgent occasion for action</w:t>
      </w:r>
      <w:r w:rsidR="00836E1E">
        <w:t>’.</w:t>
      </w:r>
      <w:r w:rsidR="00826ABC">
        <w:rPr>
          <w:rFonts w:cs="Open Sans"/>
          <w:color w:val="000000" w:themeColor="text1"/>
        </w:rPr>
        <w:t xml:space="preserve"> </w:t>
      </w:r>
      <w:r w:rsidR="00593B8C">
        <w:rPr>
          <w:rFonts w:cs="Open Sans"/>
          <w:color w:val="000000" w:themeColor="text1"/>
        </w:rPr>
        <w:t>In the case of the making of an initial declaration, t</w:t>
      </w:r>
      <w:r w:rsidR="004D0308">
        <w:rPr>
          <w:rFonts w:cs="Open Sans"/>
          <w:color w:val="000000" w:themeColor="text1"/>
        </w:rPr>
        <w:t xml:space="preserve">he term ‘emergency’ is further broadened to </w:t>
      </w:r>
      <w:r w:rsidR="00593B8C">
        <w:rPr>
          <w:rFonts w:cs="Open Sans"/>
          <w:color w:val="000000" w:themeColor="text1"/>
        </w:rPr>
        <w:t xml:space="preserve">include not only </w:t>
      </w:r>
      <w:r w:rsidR="004D0308">
        <w:rPr>
          <w:rFonts w:cs="Open Sans"/>
          <w:color w:val="000000" w:themeColor="text1"/>
        </w:rPr>
        <w:t xml:space="preserve">emergencies </w:t>
      </w:r>
      <w:r w:rsidR="00593B8C">
        <w:rPr>
          <w:rFonts w:cs="Open Sans"/>
          <w:color w:val="000000" w:themeColor="text1"/>
        </w:rPr>
        <w:t xml:space="preserve">that </w:t>
      </w:r>
      <w:r w:rsidR="004D0308">
        <w:rPr>
          <w:rFonts w:cs="Open Sans"/>
          <w:color w:val="000000" w:themeColor="text1"/>
        </w:rPr>
        <w:t xml:space="preserve">have </w:t>
      </w:r>
      <w:r w:rsidR="00593B8C">
        <w:rPr>
          <w:rFonts w:cs="Open Sans"/>
          <w:color w:val="000000" w:themeColor="text1"/>
        </w:rPr>
        <w:t xml:space="preserve">recently </w:t>
      </w:r>
      <w:r w:rsidR="004D0308">
        <w:rPr>
          <w:rFonts w:cs="Open Sans"/>
          <w:color w:val="000000" w:themeColor="text1"/>
        </w:rPr>
        <w:t xml:space="preserve">occurred </w:t>
      </w:r>
      <w:r w:rsidR="00593B8C">
        <w:rPr>
          <w:rFonts w:cs="Open Sans"/>
          <w:color w:val="000000" w:themeColor="text1"/>
        </w:rPr>
        <w:t xml:space="preserve">or </w:t>
      </w:r>
      <w:r w:rsidR="004D0308">
        <w:rPr>
          <w:rFonts w:cs="Open Sans"/>
          <w:color w:val="000000" w:themeColor="text1"/>
        </w:rPr>
        <w:t xml:space="preserve">are occurring </w:t>
      </w:r>
      <w:r w:rsidR="00593B8C">
        <w:rPr>
          <w:rFonts w:cs="Open Sans"/>
          <w:color w:val="000000" w:themeColor="text1"/>
        </w:rPr>
        <w:t xml:space="preserve">but also emergencies that </w:t>
      </w:r>
      <w:r w:rsidR="004D0308">
        <w:rPr>
          <w:rFonts w:cs="Open Sans"/>
          <w:color w:val="000000" w:themeColor="text1"/>
        </w:rPr>
        <w:t xml:space="preserve">are </w:t>
      </w:r>
      <w:r w:rsidR="00D60ECF">
        <w:rPr>
          <w:rFonts w:cs="Open Sans"/>
          <w:color w:val="000000" w:themeColor="text1"/>
        </w:rPr>
        <w:t>‘</w:t>
      </w:r>
      <w:r w:rsidR="004D0308">
        <w:rPr>
          <w:rFonts w:cs="Open Sans"/>
          <w:color w:val="000000" w:themeColor="text1"/>
        </w:rPr>
        <w:t>likely to occur</w:t>
      </w:r>
      <w:r w:rsidR="00D60ECF">
        <w:rPr>
          <w:rFonts w:cs="Open Sans"/>
          <w:color w:val="000000" w:themeColor="text1"/>
        </w:rPr>
        <w:t>’.</w:t>
      </w:r>
      <w:r w:rsidR="00593B8C">
        <w:rPr>
          <w:rStyle w:val="EndnoteReference"/>
          <w:rFonts w:cs="Open Sans"/>
          <w:color w:val="000000" w:themeColor="text1"/>
        </w:rPr>
        <w:endnoteReference w:id="19"/>
      </w:r>
      <w:r w:rsidR="002B10D8">
        <w:rPr>
          <w:rFonts w:cs="Open Sans"/>
          <w:color w:val="000000" w:themeColor="text1"/>
        </w:rPr>
        <w:t xml:space="preserve"> </w:t>
      </w:r>
    </w:p>
    <w:p w14:paraId="262C9C06" w14:textId="372C6518" w:rsidR="007326E6" w:rsidRDefault="007326E6" w:rsidP="007326E6">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The Revised Explanatory Memorandum also provides that ‘emergency’ is intended to be read in conjunction with the term ‘nationally significant harm’ and provides examples of the types of emergencies that may be the subject of a national emergency declaration.</w:t>
      </w:r>
      <w:r>
        <w:rPr>
          <w:rStyle w:val="EndnoteReference"/>
          <w:rFonts w:cs="Open Sans"/>
          <w:color w:val="000000" w:themeColor="text1"/>
        </w:rPr>
        <w:endnoteReference w:id="20"/>
      </w:r>
      <w:r>
        <w:rPr>
          <w:rFonts w:cs="Open Sans"/>
          <w:color w:val="000000" w:themeColor="text1"/>
        </w:rPr>
        <w:t xml:space="preserve"> The definition of ‘nationally significant harm’ in s 10 of the Act is also very broad, being harm that:</w:t>
      </w:r>
    </w:p>
    <w:p w14:paraId="186A517F" w14:textId="77777777" w:rsidR="007326E6" w:rsidRPr="00F15272" w:rsidRDefault="007326E6" w:rsidP="007326E6">
      <w:pPr>
        <w:pStyle w:val="ListNumber"/>
        <w:numPr>
          <w:ilvl w:val="0"/>
          <w:numId w:val="0"/>
        </w:numPr>
        <w:tabs>
          <w:tab w:val="left" w:pos="1418"/>
        </w:tabs>
        <w:spacing w:after="240"/>
        <w:ind w:left="1418" w:hanging="425"/>
        <w:rPr>
          <w:rFonts w:cs="Open Sans"/>
          <w:color w:val="000000" w:themeColor="text1"/>
          <w:sz w:val="22"/>
          <w:szCs w:val="22"/>
        </w:rPr>
      </w:pPr>
      <w:r w:rsidRPr="00F15272">
        <w:rPr>
          <w:rFonts w:cs="Open Sans"/>
          <w:color w:val="000000" w:themeColor="text1"/>
          <w:sz w:val="22"/>
          <w:szCs w:val="22"/>
        </w:rPr>
        <w:t xml:space="preserve">(a) </w:t>
      </w:r>
      <w:r w:rsidRPr="00F15272">
        <w:rPr>
          <w:rFonts w:cs="Open Sans"/>
          <w:color w:val="000000" w:themeColor="text1"/>
          <w:sz w:val="22"/>
          <w:szCs w:val="22"/>
        </w:rPr>
        <w:tab/>
        <w:t xml:space="preserve">has a significant national impact because of its scale or consequences; and </w:t>
      </w:r>
    </w:p>
    <w:p w14:paraId="41C53B45" w14:textId="77777777" w:rsidR="007326E6" w:rsidRPr="00F15272" w:rsidRDefault="007326E6" w:rsidP="00F1739D">
      <w:pPr>
        <w:pStyle w:val="ListNumber"/>
        <w:keepNext/>
        <w:numPr>
          <w:ilvl w:val="0"/>
          <w:numId w:val="0"/>
        </w:numPr>
        <w:tabs>
          <w:tab w:val="left" w:pos="1418"/>
        </w:tabs>
        <w:spacing w:after="240"/>
        <w:ind w:left="1417" w:hanging="425"/>
        <w:rPr>
          <w:rFonts w:cs="Open Sans"/>
          <w:color w:val="000000" w:themeColor="text1"/>
          <w:sz w:val="22"/>
          <w:szCs w:val="22"/>
        </w:rPr>
      </w:pPr>
      <w:r w:rsidRPr="00F15272">
        <w:rPr>
          <w:rFonts w:cs="Open Sans"/>
          <w:color w:val="000000" w:themeColor="text1"/>
          <w:sz w:val="22"/>
          <w:szCs w:val="22"/>
        </w:rPr>
        <w:lastRenderedPageBreak/>
        <w:t xml:space="preserve">(b) </w:t>
      </w:r>
      <w:r w:rsidRPr="00F15272">
        <w:rPr>
          <w:rFonts w:cs="Open Sans"/>
          <w:color w:val="000000" w:themeColor="text1"/>
          <w:sz w:val="22"/>
          <w:szCs w:val="22"/>
        </w:rPr>
        <w:tab/>
        <w:t xml:space="preserve">is any of the following: </w:t>
      </w:r>
    </w:p>
    <w:p w14:paraId="467FA081" w14:textId="77777777" w:rsidR="007326E6" w:rsidRPr="00F15272" w:rsidRDefault="007326E6" w:rsidP="007326E6">
      <w:pPr>
        <w:pStyle w:val="ListNumber"/>
        <w:numPr>
          <w:ilvl w:val="0"/>
          <w:numId w:val="0"/>
        </w:numPr>
        <w:tabs>
          <w:tab w:val="left" w:pos="1843"/>
        </w:tabs>
        <w:spacing w:after="240"/>
        <w:ind w:left="1843" w:hanging="425"/>
        <w:rPr>
          <w:rFonts w:cs="Open Sans"/>
          <w:color w:val="000000" w:themeColor="text1"/>
          <w:sz w:val="22"/>
          <w:szCs w:val="22"/>
        </w:rPr>
      </w:pPr>
      <w:r w:rsidRPr="00F15272">
        <w:rPr>
          <w:rFonts w:cs="Open Sans"/>
          <w:color w:val="000000" w:themeColor="text1"/>
          <w:sz w:val="22"/>
          <w:szCs w:val="22"/>
        </w:rPr>
        <w:t xml:space="preserve">(i) </w:t>
      </w:r>
      <w:r w:rsidRPr="00F15272">
        <w:rPr>
          <w:rFonts w:cs="Open Sans"/>
          <w:color w:val="000000" w:themeColor="text1"/>
          <w:sz w:val="22"/>
          <w:szCs w:val="22"/>
        </w:rPr>
        <w:tab/>
        <w:t>harm to the life or health (including mental health) of an individual or group of individuals;</w:t>
      </w:r>
    </w:p>
    <w:p w14:paraId="293D57EC" w14:textId="77777777" w:rsidR="007326E6" w:rsidRPr="00F15272" w:rsidRDefault="007326E6" w:rsidP="007326E6">
      <w:pPr>
        <w:pStyle w:val="ListNumber"/>
        <w:numPr>
          <w:ilvl w:val="0"/>
          <w:numId w:val="0"/>
        </w:numPr>
        <w:tabs>
          <w:tab w:val="left" w:pos="1843"/>
        </w:tabs>
        <w:spacing w:after="240"/>
        <w:ind w:left="1843" w:hanging="425"/>
        <w:rPr>
          <w:rFonts w:cs="Open Sans"/>
          <w:color w:val="000000" w:themeColor="text1"/>
          <w:sz w:val="22"/>
          <w:szCs w:val="22"/>
        </w:rPr>
      </w:pPr>
      <w:r w:rsidRPr="00F15272">
        <w:rPr>
          <w:rFonts w:cs="Open Sans"/>
          <w:color w:val="000000" w:themeColor="text1"/>
          <w:sz w:val="22"/>
          <w:szCs w:val="22"/>
        </w:rPr>
        <w:t xml:space="preserve">(ii) </w:t>
      </w:r>
      <w:r w:rsidRPr="00F15272">
        <w:rPr>
          <w:rFonts w:cs="Open Sans"/>
          <w:color w:val="000000" w:themeColor="text1"/>
          <w:sz w:val="22"/>
          <w:szCs w:val="22"/>
        </w:rPr>
        <w:tab/>
        <w:t xml:space="preserve">harm to the life of health of animals or plants; </w:t>
      </w:r>
    </w:p>
    <w:p w14:paraId="3162B128" w14:textId="77777777" w:rsidR="007326E6" w:rsidRPr="00F15272" w:rsidRDefault="007326E6" w:rsidP="007326E6">
      <w:pPr>
        <w:pStyle w:val="ListNumber"/>
        <w:numPr>
          <w:ilvl w:val="0"/>
          <w:numId w:val="0"/>
        </w:numPr>
        <w:tabs>
          <w:tab w:val="left" w:pos="1843"/>
        </w:tabs>
        <w:spacing w:after="240"/>
        <w:ind w:left="1843" w:hanging="425"/>
        <w:rPr>
          <w:rFonts w:cs="Open Sans"/>
          <w:color w:val="000000" w:themeColor="text1"/>
          <w:sz w:val="22"/>
          <w:szCs w:val="22"/>
        </w:rPr>
      </w:pPr>
      <w:r w:rsidRPr="00F15272">
        <w:rPr>
          <w:rFonts w:cs="Open Sans"/>
          <w:color w:val="000000" w:themeColor="text1"/>
          <w:sz w:val="22"/>
          <w:szCs w:val="22"/>
        </w:rPr>
        <w:t xml:space="preserve">(iii) </w:t>
      </w:r>
      <w:r w:rsidRPr="00F15272">
        <w:rPr>
          <w:rFonts w:cs="Open Sans"/>
          <w:color w:val="000000" w:themeColor="text1"/>
          <w:sz w:val="22"/>
          <w:szCs w:val="22"/>
        </w:rPr>
        <w:tab/>
        <w:t xml:space="preserve">damage to property, including infrastructure; </w:t>
      </w:r>
    </w:p>
    <w:p w14:paraId="32331CC1" w14:textId="77777777" w:rsidR="007326E6" w:rsidRDefault="007326E6" w:rsidP="007326E6">
      <w:pPr>
        <w:pStyle w:val="ListNumber"/>
        <w:numPr>
          <w:ilvl w:val="0"/>
          <w:numId w:val="0"/>
        </w:numPr>
        <w:tabs>
          <w:tab w:val="left" w:pos="1843"/>
        </w:tabs>
        <w:spacing w:after="240"/>
        <w:ind w:left="1843" w:hanging="425"/>
        <w:rPr>
          <w:rFonts w:cs="Open Sans"/>
          <w:color w:val="000000" w:themeColor="text1"/>
          <w:sz w:val="22"/>
          <w:szCs w:val="22"/>
        </w:rPr>
      </w:pPr>
      <w:r w:rsidRPr="00F15272">
        <w:rPr>
          <w:rFonts w:cs="Open Sans"/>
          <w:color w:val="000000" w:themeColor="text1"/>
          <w:sz w:val="22"/>
          <w:szCs w:val="22"/>
        </w:rPr>
        <w:t xml:space="preserve">(iv) </w:t>
      </w:r>
      <w:r w:rsidRPr="00F15272">
        <w:rPr>
          <w:rFonts w:cs="Open Sans"/>
          <w:color w:val="000000" w:themeColor="text1"/>
          <w:sz w:val="22"/>
          <w:szCs w:val="22"/>
        </w:rPr>
        <w:tab/>
        <w:t>harm to the environment;</w:t>
      </w:r>
    </w:p>
    <w:p w14:paraId="6DE2EE0E" w14:textId="77777777" w:rsidR="007326E6" w:rsidRPr="00F15272" w:rsidRDefault="007326E6" w:rsidP="007326E6">
      <w:pPr>
        <w:pStyle w:val="ListNumber"/>
        <w:numPr>
          <w:ilvl w:val="0"/>
          <w:numId w:val="0"/>
        </w:numPr>
        <w:tabs>
          <w:tab w:val="left" w:pos="1843"/>
        </w:tabs>
        <w:spacing w:after="240"/>
        <w:ind w:left="1843" w:hanging="425"/>
        <w:rPr>
          <w:rFonts w:cs="Open Sans"/>
          <w:color w:val="000000" w:themeColor="text1"/>
          <w:sz w:val="22"/>
          <w:szCs w:val="22"/>
        </w:rPr>
      </w:pPr>
      <w:r w:rsidRPr="00F15272">
        <w:rPr>
          <w:rFonts w:cs="Open Sans"/>
          <w:color w:val="000000" w:themeColor="text1"/>
          <w:sz w:val="22"/>
          <w:szCs w:val="22"/>
        </w:rPr>
        <w:t xml:space="preserve">(v) </w:t>
      </w:r>
      <w:r w:rsidRPr="00F15272">
        <w:rPr>
          <w:rFonts w:cs="Open Sans"/>
          <w:color w:val="000000" w:themeColor="text1"/>
          <w:sz w:val="22"/>
          <w:szCs w:val="22"/>
        </w:rPr>
        <w:tab/>
        <w:t>disruption to an essential service.</w:t>
      </w:r>
    </w:p>
    <w:p w14:paraId="544038F3" w14:textId="230BE02B" w:rsidR="003F4CAA" w:rsidRDefault="003F4CAA" w:rsidP="007326E6">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examples of emergencies which have caused, are causing or are likely to cause nationally significant harm provided in the Revised Explanatory Memorandum </w:t>
      </w:r>
      <w:r w:rsidR="005D75E4">
        <w:rPr>
          <w:rFonts w:cs="Open Sans"/>
          <w:color w:val="000000" w:themeColor="text1"/>
        </w:rPr>
        <w:t>are</w:t>
      </w:r>
      <w:r>
        <w:rPr>
          <w:rFonts w:cs="Open Sans"/>
          <w:color w:val="000000" w:themeColor="text1"/>
        </w:rPr>
        <w:t>:</w:t>
      </w:r>
      <w:r w:rsidR="005D75E4">
        <w:rPr>
          <w:rStyle w:val="EndnoteReference"/>
          <w:rFonts w:cs="Open Sans"/>
          <w:color w:val="000000" w:themeColor="text1"/>
        </w:rPr>
        <w:endnoteReference w:id="21"/>
      </w:r>
      <w:r>
        <w:rPr>
          <w:rFonts w:cs="Open Sans"/>
          <w:color w:val="000000" w:themeColor="text1"/>
        </w:rPr>
        <w:t xml:space="preserve"> </w:t>
      </w:r>
    </w:p>
    <w:p w14:paraId="733C1F74" w14:textId="21615936" w:rsidR="003F4CAA" w:rsidRPr="005D75E4" w:rsidRDefault="003F4CAA" w:rsidP="005D75E4">
      <w:pPr>
        <w:pStyle w:val="ListNumber"/>
        <w:numPr>
          <w:ilvl w:val="0"/>
          <w:numId w:val="38"/>
        </w:numPr>
        <w:spacing w:after="240"/>
        <w:rPr>
          <w:rFonts w:cs="Open Sans"/>
          <w:color w:val="000000" w:themeColor="text1"/>
          <w:sz w:val="22"/>
          <w:szCs w:val="22"/>
        </w:rPr>
      </w:pPr>
      <w:r w:rsidRPr="005D75E4">
        <w:rPr>
          <w:rFonts w:cs="Open Sans"/>
          <w:color w:val="000000" w:themeColor="text1"/>
          <w:sz w:val="22"/>
          <w:szCs w:val="22"/>
        </w:rPr>
        <w:t xml:space="preserve">major natural disasters—such as, bushfires that spread across multiple jurisdictions and threaten significant danger to life and property, or a geomagnetic storm that causes, or threatens to cause, extensive disruption or damage to electricity, satellite and communications networks </w:t>
      </w:r>
    </w:p>
    <w:p w14:paraId="648FA378" w14:textId="0539EF7F" w:rsidR="003F4CAA" w:rsidRPr="005D75E4" w:rsidRDefault="003F4CAA" w:rsidP="005D75E4">
      <w:pPr>
        <w:pStyle w:val="ListNumber"/>
        <w:numPr>
          <w:ilvl w:val="0"/>
          <w:numId w:val="38"/>
        </w:numPr>
        <w:spacing w:after="240"/>
        <w:rPr>
          <w:rFonts w:cs="Open Sans"/>
          <w:color w:val="000000" w:themeColor="text1"/>
          <w:sz w:val="22"/>
          <w:szCs w:val="22"/>
        </w:rPr>
      </w:pPr>
      <w:r w:rsidRPr="005D75E4">
        <w:rPr>
          <w:rFonts w:cs="Open Sans"/>
          <w:color w:val="000000" w:themeColor="text1"/>
          <w:sz w:val="22"/>
          <w:szCs w:val="22"/>
        </w:rPr>
        <w:t xml:space="preserve">communicable disease outbreaks that pose a major threat to the health and life of Australians, including outbreaks that are spreading out of control overseas and are likely to reach Australia </w:t>
      </w:r>
    </w:p>
    <w:p w14:paraId="757F1605" w14:textId="5A51C63E" w:rsidR="003F4CAA" w:rsidRPr="005D75E4" w:rsidRDefault="003F4CAA" w:rsidP="005D75E4">
      <w:pPr>
        <w:pStyle w:val="ListNumber"/>
        <w:numPr>
          <w:ilvl w:val="0"/>
          <w:numId w:val="38"/>
        </w:numPr>
        <w:spacing w:after="240"/>
        <w:rPr>
          <w:rFonts w:cs="Open Sans"/>
          <w:color w:val="000000" w:themeColor="text1"/>
          <w:sz w:val="22"/>
          <w:szCs w:val="22"/>
        </w:rPr>
      </w:pPr>
      <w:r w:rsidRPr="005D75E4">
        <w:rPr>
          <w:rFonts w:cs="Open Sans"/>
          <w:color w:val="000000" w:themeColor="text1"/>
          <w:sz w:val="22"/>
          <w:szCs w:val="22"/>
        </w:rPr>
        <w:t xml:space="preserve">large-scale cyber incidents or terrorist attacks—such as a malicious cyber-attack that causes a prolonged and widespread failure in the energy sector, resulting in shortages of essential medical supplies, impacts on water supply and sanitation and disruption to the supply of food </w:t>
      </w:r>
    </w:p>
    <w:p w14:paraId="277CBF72" w14:textId="0E2F270C" w:rsidR="003F4CAA" w:rsidRPr="005D75E4" w:rsidRDefault="003F4CAA" w:rsidP="005D75E4">
      <w:pPr>
        <w:pStyle w:val="ListNumber"/>
        <w:numPr>
          <w:ilvl w:val="0"/>
          <w:numId w:val="38"/>
        </w:numPr>
        <w:spacing w:after="240"/>
        <w:rPr>
          <w:rFonts w:cs="Open Sans"/>
          <w:color w:val="000000" w:themeColor="text1"/>
          <w:sz w:val="22"/>
          <w:szCs w:val="22"/>
        </w:rPr>
      </w:pPr>
      <w:r w:rsidRPr="005D75E4">
        <w:rPr>
          <w:rFonts w:cs="Open Sans"/>
          <w:color w:val="000000" w:themeColor="text1"/>
          <w:sz w:val="22"/>
          <w:szCs w:val="22"/>
        </w:rPr>
        <w:t xml:space="preserve">major chemical, biological or radiological incidents, whether accidental or deliberate </w:t>
      </w:r>
    </w:p>
    <w:p w14:paraId="77C9352E" w14:textId="41F9A7C3" w:rsidR="003F4CAA" w:rsidRPr="005D75E4" w:rsidRDefault="003F4CAA" w:rsidP="005D75E4">
      <w:pPr>
        <w:pStyle w:val="ListNumber"/>
        <w:numPr>
          <w:ilvl w:val="0"/>
          <w:numId w:val="38"/>
        </w:numPr>
        <w:spacing w:after="240"/>
        <w:rPr>
          <w:rFonts w:cs="Open Sans"/>
          <w:color w:val="000000" w:themeColor="text1"/>
          <w:sz w:val="22"/>
          <w:szCs w:val="22"/>
        </w:rPr>
      </w:pPr>
      <w:r w:rsidRPr="005D75E4">
        <w:rPr>
          <w:rFonts w:cs="Open Sans"/>
          <w:color w:val="000000" w:themeColor="text1"/>
          <w:sz w:val="22"/>
          <w:szCs w:val="22"/>
        </w:rPr>
        <w:t xml:space="preserve">emergencies occurring overseas, to the extent that such emergencies cause, or are likely to cause, nationally significant harm within Australia—such as a natural disaster that causes extensive damage to major international maritime ports or disruption to critical shipping channels and disrupts the availability of essential services in Australia, and </w:t>
      </w:r>
    </w:p>
    <w:p w14:paraId="7D0A0B76" w14:textId="705EB761" w:rsidR="003F4CAA" w:rsidRPr="005D75E4" w:rsidRDefault="003F4CAA" w:rsidP="005D75E4">
      <w:pPr>
        <w:pStyle w:val="ListNumber"/>
        <w:numPr>
          <w:ilvl w:val="0"/>
          <w:numId w:val="38"/>
        </w:numPr>
        <w:spacing w:after="240"/>
        <w:rPr>
          <w:rFonts w:cs="Open Sans"/>
          <w:color w:val="000000" w:themeColor="text1"/>
          <w:sz w:val="22"/>
          <w:szCs w:val="22"/>
        </w:rPr>
      </w:pPr>
      <w:r>
        <w:rPr>
          <w:rFonts w:cs="Open Sans"/>
          <w:color w:val="000000" w:themeColor="text1"/>
          <w:sz w:val="22"/>
          <w:szCs w:val="22"/>
        </w:rPr>
        <w:t>a</w:t>
      </w:r>
      <w:r w:rsidRPr="005D75E4">
        <w:rPr>
          <w:rFonts w:cs="Open Sans"/>
          <w:color w:val="000000" w:themeColor="text1"/>
          <w:sz w:val="22"/>
          <w:szCs w:val="22"/>
        </w:rPr>
        <w:t xml:space="preserve"> combination of the above emergencies occurring concurrently or consecutively, that together has caused, is causing, or is likely to cause nationally significant harm—such as multiple natural disasters occurring concurrently in different parts of the country, during a </w:t>
      </w:r>
      <w:r w:rsidRPr="005D75E4">
        <w:rPr>
          <w:rFonts w:cs="Open Sans"/>
          <w:color w:val="000000" w:themeColor="text1"/>
          <w:sz w:val="22"/>
          <w:szCs w:val="22"/>
        </w:rPr>
        <w:lastRenderedPageBreak/>
        <w:t xml:space="preserve">pandemic that complicates response and recovery efforts, and that collectively cause, or are likely to cause, nationally significant harm. </w:t>
      </w:r>
    </w:p>
    <w:p w14:paraId="1E269FFB" w14:textId="7AB7CB81" w:rsidR="00196614" w:rsidRPr="00177B1E" w:rsidRDefault="009453CF" w:rsidP="007326E6">
      <w:pPr>
        <w:pStyle w:val="ListNumber"/>
        <w:numPr>
          <w:ilvl w:val="0"/>
          <w:numId w:val="3"/>
        </w:numPr>
        <w:tabs>
          <w:tab w:val="num" w:pos="993"/>
          <w:tab w:val="left" w:pos="1418"/>
        </w:tabs>
        <w:spacing w:after="240"/>
        <w:ind w:left="709" w:hanging="567"/>
        <w:rPr>
          <w:rFonts w:cs="Open Sans"/>
          <w:color w:val="000000" w:themeColor="text1"/>
        </w:rPr>
      </w:pPr>
      <w:r>
        <w:t>The Revised Explanatory Memorandum can usefully provide guidance on principles that assist in understanding key terms, especially ‘emergency’ and ‘Commonwealth interests’, and it can usefully also give examples that the Government considers would fall within the scope of these terms. However, such guidance, in material extrinsic to the Act itself, cannot perform the function of a statutory definition of key terms. As a question of administrative law, whether an emergency exists within the meaning of the Act is a jurisdictional fact. The powers triggered by a declaration are extraordinary in nature, broad in scope and may be exercised expediently. This heightens the importance of ensuring that a declaration is made only in appropriate circumstances. That, in turn, suggests that the Act should provide a clear definition of these key terms.</w:t>
      </w:r>
      <w:r w:rsidR="003F4CAA">
        <w:rPr>
          <w:rFonts w:cs="Open Sans"/>
          <w:color w:val="000000" w:themeColor="text1"/>
        </w:rPr>
        <w:t xml:space="preserve"> </w:t>
      </w:r>
    </w:p>
    <w:p w14:paraId="05039B20" w14:textId="4C3607F4" w:rsidR="00315C14" w:rsidRDefault="00315C14"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term </w:t>
      </w:r>
      <w:r w:rsidR="0082232F">
        <w:rPr>
          <w:rFonts w:cs="Open Sans"/>
          <w:color w:val="000000" w:themeColor="text1"/>
        </w:rPr>
        <w:t>‘</w:t>
      </w:r>
      <w:r>
        <w:rPr>
          <w:rFonts w:cs="Open Sans"/>
          <w:color w:val="000000" w:themeColor="text1"/>
        </w:rPr>
        <w:t>emergency</w:t>
      </w:r>
      <w:r w:rsidR="0082232F">
        <w:rPr>
          <w:rFonts w:cs="Open Sans"/>
          <w:color w:val="000000" w:themeColor="text1"/>
        </w:rPr>
        <w:t>’</w:t>
      </w:r>
      <w:r w:rsidR="001B3D52">
        <w:rPr>
          <w:rFonts w:cs="Open Sans"/>
          <w:color w:val="000000" w:themeColor="text1"/>
        </w:rPr>
        <w:t xml:space="preserve"> </w:t>
      </w:r>
      <w:r>
        <w:rPr>
          <w:rFonts w:cs="Open Sans"/>
          <w:color w:val="000000" w:themeColor="text1"/>
        </w:rPr>
        <w:t xml:space="preserve">is defined in </w:t>
      </w:r>
      <w:r w:rsidR="00F556F2">
        <w:rPr>
          <w:rFonts w:cs="Open Sans"/>
          <w:color w:val="000000" w:themeColor="text1"/>
        </w:rPr>
        <w:t xml:space="preserve">the emergency management legislation enacted in each </w:t>
      </w:r>
      <w:r w:rsidR="00C80BE7">
        <w:rPr>
          <w:rFonts w:cs="Open Sans"/>
          <w:color w:val="000000" w:themeColor="text1"/>
        </w:rPr>
        <w:t>S</w:t>
      </w:r>
      <w:r>
        <w:rPr>
          <w:rFonts w:cs="Open Sans"/>
          <w:color w:val="000000" w:themeColor="text1"/>
        </w:rPr>
        <w:t xml:space="preserve">tate </w:t>
      </w:r>
      <w:r w:rsidRPr="00F556F2">
        <w:rPr>
          <w:rFonts w:cs="Open Sans"/>
          <w:color w:val="000000" w:themeColor="text1"/>
        </w:rPr>
        <w:t xml:space="preserve">and </w:t>
      </w:r>
      <w:r w:rsidR="00C80BE7">
        <w:rPr>
          <w:rFonts w:cs="Open Sans"/>
          <w:color w:val="000000" w:themeColor="text1"/>
        </w:rPr>
        <w:t>T</w:t>
      </w:r>
      <w:r w:rsidRPr="00F556F2">
        <w:rPr>
          <w:rFonts w:cs="Open Sans"/>
          <w:color w:val="000000" w:themeColor="text1"/>
        </w:rPr>
        <w:t>erritory</w:t>
      </w:r>
      <w:r w:rsidR="00F556F2">
        <w:rPr>
          <w:rFonts w:cs="Open Sans"/>
          <w:color w:val="000000" w:themeColor="text1"/>
        </w:rPr>
        <w:t>, with the exception of Queensland</w:t>
      </w:r>
      <w:r w:rsidR="0028210E">
        <w:rPr>
          <w:rFonts w:cs="Open Sans"/>
          <w:color w:val="000000" w:themeColor="text1"/>
        </w:rPr>
        <w:t xml:space="preserve"> which, instead, defines ‘disaster’ as an equivalent term</w:t>
      </w:r>
      <w:r w:rsidR="001B3D52">
        <w:rPr>
          <w:rFonts w:cs="Open Sans"/>
          <w:color w:val="000000" w:themeColor="text1"/>
        </w:rPr>
        <w:t>.</w:t>
      </w:r>
      <w:r w:rsidR="0082232F">
        <w:rPr>
          <w:rStyle w:val="EndnoteReference"/>
          <w:rFonts w:cs="Open Sans"/>
          <w:color w:val="000000" w:themeColor="text1"/>
        </w:rPr>
        <w:endnoteReference w:id="22"/>
      </w:r>
      <w:r w:rsidR="001B3D52">
        <w:rPr>
          <w:rFonts w:cs="Open Sans"/>
          <w:color w:val="000000" w:themeColor="text1"/>
        </w:rPr>
        <w:t xml:space="preserve"> </w:t>
      </w:r>
      <w:r w:rsidR="0028210E">
        <w:rPr>
          <w:rFonts w:cs="Open Sans"/>
          <w:color w:val="000000" w:themeColor="text1"/>
        </w:rPr>
        <w:t>L</w:t>
      </w:r>
      <w:r w:rsidR="00F556F2">
        <w:rPr>
          <w:rFonts w:cs="Open Sans"/>
          <w:color w:val="000000" w:themeColor="text1"/>
        </w:rPr>
        <w:t xml:space="preserve">egislation in the Northern Territory </w:t>
      </w:r>
      <w:r w:rsidR="00913878">
        <w:rPr>
          <w:rFonts w:cs="Open Sans"/>
          <w:color w:val="000000" w:themeColor="text1"/>
        </w:rPr>
        <w:t>provid</w:t>
      </w:r>
      <w:r w:rsidR="0028210E">
        <w:rPr>
          <w:rFonts w:cs="Open Sans"/>
          <w:color w:val="000000" w:themeColor="text1"/>
        </w:rPr>
        <w:t>es</w:t>
      </w:r>
      <w:r w:rsidR="00913878">
        <w:rPr>
          <w:rFonts w:cs="Open Sans"/>
          <w:color w:val="000000" w:themeColor="text1"/>
        </w:rPr>
        <w:t xml:space="preserve"> definitions for</w:t>
      </w:r>
      <w:r w:rsidR="00F556F2">
        <w:rPr>
          <w:rFonts w:cs="Open Sans"/>
          <w:color w:val="000000" w:themeColor="text1"/>
        </w:rPr>
        <w:t xml:space="preserve"> both </w:t>
      </w:r>
      <w:r w:rsidR="0028210E">
        <w:rPr>
          <w:rFonts w:cs="Open Sans"/>
          <w:color w:val="000000" w:themeColor="text1"/>
        </w:rPr>
        <w:t>‘emergency’ and ‘disaster’</w:t>
      </w:r>
      <w:r w:rsidR="001B3D52">
        <w:rPr>
          <w:rFonts w:cs="Open Sans"/>
          <w:color w:val="000000" w:themeColor="text1"/>
        </w:rPr>
        <w:t>.</w:t>
      </w:r>
      <w:r w:rsidR="001B3D52">
        <w:rPr>
          <w:rStyle w:val="EndnoteReference"/>
          <w:rFonts w:cs="Open Sans"/>
          <w:color w:val="000000" w:themeColor="text1"/>
        </w:rPr>
        <w:endnoteReference w:id="23"/>
      </w:r>
      <w:r w:rsidR="00F556F2">
        <w:rPr>
          <w:rFonts w:cs="Open Sans"/>
          <w:color w:val="000000" w:themeColor="text1"/>
        </w:rPr>
        <w:t xml:space="preserve"> Given that </w:t>
      </w:r>
      <w:r w:rsidR="0028210E">
        <w:rPr>
          <w:rFonts w:cs="Open Sans"/>
          <w:color w:val="000000" w:themeColor="text1"/>
        </w:rPr>
        <w:t>responsibility for responding to and managing</w:t>
      </w:r>
      <w:r w:rsidR="00F556F2">
        <w:rPr>
          <w:rFonts w:cs="Open Sans"/>
          <w:color w:val="000000" w:themeColor="text1"/>
        </w:rPr>
        <w:t xml:space="preserve"> emergencies is </w:t>
      </w:r>
      <w:r w:rsidR="0028210E">
        <w:rPr>
          <w:rFonts w:cs="Open Sans"/>
          <w:color w:val="000000" w:themeColor="text1"/>
        </w:rPr>
        <w:t xml:space="preserve">largely </w:t>
      </w:r>
      <w:r w:rsidR="00F556F2">
        <w:rPr>
          <w:rFonts w:cs="Open Sans"/>
          <w:color w:val="000000" w:themeColor="text1"/>
        </w:rPr>
        <w:t xml:space="preserve">within the powers of the </w:t>
      </w:r>
      <w:r w:rsidR="00C80BE7">
        <w:rPr>
          <w:rFonts w:cs="Open Sans"/>
          <w:color w:val="000000" w:themeColor="text1"/>
        </w:rPr>
        <w:t>S</w:t>
      </w:r>
      <w:r w:rsidR="00F556F2">
        <w:rPr>
          <w:rFonts w:cs="Open Sans"/>
          <w:color w:val="000000" w:themeColor="text1"/>
        </w:rPr>
        <w:t xml:space="preserve">tates and </w:t>
      </w:r>
      <w:r w:rsidR="00C80BE7">
        <w:rPr>
          <w:rFonts w:cs="Open Sans"/>
          <w:color w:val="000000" w:themeColor="text1"/>
        </w:rPr>
        <w:t>T</w:t>
      </w:r>
      <w:r w:rsidR="00F556F2">
        <w:rPr>
          <w:rFonts w:cs="Open Sans"/>
          <w:color w:val="000000" w:themeColor="text1"/>
        </w:rPr>
        <w:t>erritories</w:t>
      </w:r>
      <w:r w:rsidR="00700533">
        <w:rPr>
          <w:rFonts w:cs="Open Sans"/>
          <w:color w:val="000000" w:themeColor="text1"/>
        </w:rPr>
        <w:t>,</w:t>
      </w:r>
      <w:r w:rsidR="008D282C">
        <w:rPr>
          <w:rFonts w:cs="Open Sans"/>
          <w:color w:val="000000" w:themeColor="text1"/>
        </w:rPr>
        <w:t xml:space="preserve"> and the </w:t>
      </w:r>
      <w:r w:rsidR="00FD5A83">
        <w:rPr>
          <w:rFonts w:cs="Open Sans"/>
          <w:color w:val="000000" w:themeColor="text1"/>
        </w:rPr>
        <w:t>purpose</w:t>
      </w:r>
      <w:r w:rsidR="008D282C">
        <w:rPr>
          <w:rFonts w:cs="Open Sans"/>
          <w:color w:val="000000" w:themeColor="text1"/>
        </w:rPr>
        <w:t xml:space="preserve"> of </w:t>
      </w:r>
      <w:r w:rsidR="00FD5A83">
        <w:rPr>
          <w:rFonts w:cs="Open Sans"/>
          <w:color w:val="000000" w:themeColor="text1"/>
        </w:rPr>
        <w:t>the</w:t>
      </w:r>
      <w:r w:rsidR="008D282C">
        <w:rPr>
          <w:rFonts w:cs="Open Sans"/>
          <w:color w:val="000000" w:themeColor="text1"/>
        </w:rPr>
        <w:t xml:space="preserve"> Act is to provide a framework by which the Commonwealth </w:t>
      </w:r>
      <w:r w:rsidR="00FD5A83">
        <w:rPr>
          <w:rFonts w:cs="Open Sans"/>
          <w:color w:val="000000" w:themeColor="text1"/>
        </w:rPr>
        <w:t>can</w:t>
      </w:r>
      <w:r w:rsidR="008D282C">
        <w:rPr>
          <w:rFonts w:cs="Open Sans"/>
          <w:color w:val="000000" w:themeColor="text1"/>
        </w:rPr>
        <w:t xml:space="preserve"> provide assistance to the </w:t>
      </w:r>
      <w:r w:rsidR="00C80BE7">
        <w:rPr>
          <w:rFonts w:cs="Open Sans"/>
          <w:color w:val="000000" w:themeColor="text1"/>
        </w:rPr>
        <w:t>S</w:t>
      </w:r>
      <w:r w:rsidR="008D282C">
        <w:rPr>
          <w:rFonts w:cs="Open Sans"/>
          <w:color w:val="000000" w:themeColor="text1"/>
        </w:rPr>
        <w:t xml:space="preserve">tates and </w:t>
      </w:r>
      <w:r w:rsidR="00C80BE7">
        <w:rPr>
          <w:rFonts w:cs="Open Sans"/>
          <w:color w:val="000000" w:themeColor="text1"/>
        </w:rPr>
        <w:t>T</w:t>
      </w:r>
      <w:r w:rsidR="008D282C">
        <w:rPr>
          <w:rFonts w:cs="Open Sans"/>
          <w:color w:val="000000" w:themeColor="text1"/>
        </w:rPr>
        <w:t>erritories</w:t>
      </w:r>
      <w:r w:rsidR="00FD5A83">
        <w:rPr>
          <w:rFonts w:cs="Open Sans"/>
          <w:color w:val="000000" w:themeColor="text1"/>
        </w:rPr>
        <w:t xml:space="preserve"> in emergencies</w:t>
      </w:r>
      <w:r w:rsidR="00F556F2">
        <w:rPr>
          <w:rFonts w:cs="Open Sans"/>
          <w:color w:val="000000" w:themeColor="text1"/>
        </w:rPr>
        <w:t xml:space="preserve">, it </w:t>
      </w:r>
      <w:r w:rsidR="001F3D67">
        <w:rPr>
          <w:rFonts w:cs="Open Sans"/>
          <w:color w:val="000000" w:themeColor="text1"/>
        </w:rPr>
        <w:t xml:space="preserve">would better achieve a key purpose of the Act </w:t>
      </w:r>
      <w:r w:rsidR="005A7629">
        <w:rPr>
          <w:rFonts w:cs="Open Sans"/>
          <w:color w:val="000000" w:themeColor="text1"/>
        </w:rPr>
        <w:t xml:space="preserve">if the </w:t>
      </w:r>
      <w:r w:rsidR="00913878">
        <w:rPr>
          <w:rFonts w:cs="Open Sans"/>
          <w:color w:val="000000" w:themeColor="text1"/>
        </w:rPr>
        <w:t>Commonwealth adopt</w:t>
      </w:r>
      <w:r w:rsidR="005A7629">
        <w:rPr>
          <w:rFonts w:cs="Open Sans"/>
          <w:color w:val="000000" w:themeColor="text1"/>
        </w:rPr>
        <w:t>ed</w:t>
      </w:r>
      <w:r w:rsidR="00913878">
        <w:rPr>
          <w:rFonts w:cs="Open Sans"/>
          <w:color w:val="000000" w:themeColor="text1"/>
        </w:rPr>
        <w:t xml:space="preserve"> a similar definition</w:t>
      </w:r>
      <w:r w:rsidR="00836E1E">
        <w:rPr>
          <w:rFonts w:cs="Open Sans"/>
          <w:color w:val="000000" w:themeColor="text1"/>
        </w:rPr>
        <w:t xml:space="preserve"> </w:t>
      </w:r>
      <w:r w:rsidR="00263988">
        <w:rPr>
          <w:rFonts w:cs="Open Sans"/>
          <w:color w:val="000000" w:themeColor="text1"/>
        </w:rPr>
        <w:t>to</w:t>
      </w:r>
      <w:r w:rsidR="0028210E">
        <w:rPr>
          <w:rFonts w:cs="Open Sans"/>
          <w:color w:val="000000" w:themeColor="text1"/>
        </w:rPr>
        <w:t xml:space="preserve"> those in </w:t>
      </w:r>
      <w:r w:rsidR="005A7629">
        <w:rPr>
          <w:rFonts w:cs="Open Sans"/>
          <w:color w:val="000000" w:themeColor="text1"/>
        </w:rPr>
        <w:t xml:space="preserve">corresponding </w:t>
      </w:r>
      <w:r w:rsidR="00C80BE7">
        <w:rPr>
          <w:rFonts w:cs="Open Sans"/>
          <w:color w:val="000000" w:themeColor="text1"/>
        </w:rPr>
        <w:t>S</w:t>
      </w:r>
      <w:r w:rsidR="0028210E">
        <w:rPr>
          <w:rFonts w:cs="Open Sans"/>
          <w:color w:val="000000" w:themeColor="text1"/>
        </w:rPr>
        <w:t xml:space="preserve">tate and </w:t>
      </w:r>
      <w:r w:rsidR="00C80BE7">
        <w:rPr>
          <w:rFonts w:cs="Open Sans"/>
          <w:color w:val="000000" w:themeColor="text1"/>
        </w:rPr>
        <w:t>T</w:t>
      </w:r>
      <w:r w:rsidR="0028210E">
        <w:rPr>
          <w:rFonts w:cs="Open Sans"/>
          <w:color w:val="000000" w:themeColor="text1"/>
        </w:rPr>
        <w:t>erritor</w:t>
      </w:r>
      <w:r w:rsidR="005A7629">
        <w:rPr>
          <w:rFonts w:cs="Open Sans"/>
          <w:color w:val="000000" w:themeColor="text1"/>
        </w:rPr>
        <w:t>y</w:t>
      </w:r>
      <w:r w:rsidR="00EB679B">
        <w:rPr>
          <w:rFonts w:cs="Open Sans"/>
          <w:color w:val="000000" w:themeColor="text1"/>
        </w:rPr>
        <w:t xml:space="preserve"> legislation</w:t>
      </w:r>
      <w:r w:rsidR="00826ABC">
        <w:rPr>
          <w:rFonts w:cs="Open Sans"/>
          <w:color w:val="000000" w:themeColor="text1"/>
        </w:rPr>
        <w:t xml:space="preserve">. </w:t>
      </w:r>
      <w:r w:rsidR="00263988">
        <w:rPr>
          <w:rFonts w:cs="Open Sans"/>
          <w:color w:val="000000" w:themeColor="text1"/>
        </w:rPr>
        <w:t>Doing so would increase public certainty about when these extraordinary powers are available to be used.</w:t>
      </w:r>
    </w:p>
    <w:p w14:paraId="22A16D2E" w14:textId="1D6A4E88" w:rsidR="00A200BD" w:rsidRDefault="00FD5A83"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The</w:t>
      </w:r>
      <w:r w:rsidR="0012698D">
        <w:rPr>
          <w:rFonts w:cs="Open Sans"/>
          <w:color w:val="000000" w:themeColor="text1"/>
        </w:rPr>
        <w:t xml:space="preserve"> </w:t>
      </w:r>
      <w:r w:rsidR="00190E4A">
        <w:rPr>
          <w:rFonts w:cs="Open Sans"/>
          <w:color w:val="000000" w:themeColor="text1"/>
        </w:rPr>
        <w:t xml:space="preserve">Revised </w:t>
      </w:r>
      <w:r w:rsidR="0012698D">
        <w:rPr>
          <w:rFonts w:cs="Open Sans"/>
          <w:color w:val="000000" w:themeColor="text1"/>
        </w:rPr>
        <w:t xml:space="preserve">Explanatory Memorandum </w:t>
      </w:r>
      <w:r w:rsidR="00FC5D12">
        <w:rPr>
          <w:rFonts w:cs="Open Sans"/>
          <w:color w:val="000000" w:themeColor="text1"/>
        </w:rPr>
        <w:t xml:space="preserve">states that </w:t>
      </w:r>
      <w:r w:rsidR="006C4D11">
        <w:rPr>
          <w:rFonts w:cs="Open Sans"/>
          <w:color w:val="000000" w:themeColor="text1"/>
        </w:rPr>
        <w:t xml:space="preserve">the absence </w:t>
      </w:r>
      <w:r>
        <w:rPr>
          <w:rFonts w:cs="Open Sans"/>
          <w:color w:val="000000" w:themeColor="text1"/>
        </w:rPr>
        <w:t xml:space="preserve">of a definition for </w:t>
      </w:r>
      <w:r w:rsidR="00A200BD">
        <w:rPr>
          <w:rFonts w:cs="Open Sans"/>
          <w:color w:val="000000" w:themeColor="text1"/>
        </w:rPr>
        <w:t>the term ‘Commonwealth interests’</w:t>
      </w:r>
      <w:r w:rsidR="0012698D">
        <w:rPr>
          <w:rFonts w:cs="Open Sans"/>
          <w:color w:val="000000" w:themeColor="text1"/>
        </w:rPr>
        <w:t xml:space="preserve"> in the Act</w:t>
      </w:r>
      <w:r w:rsidR="00E7046E">
        <w:rPr>
          <w:rFonts w:cs="Open Sans"/>
          <w:color w:val="000000" w:themeColor="text1"/>
        </w:rPr>
        <w:t xml:space="preserve"> is intended</w:t>
      </w:r>
      <w:r w:rsidR="0012698D">
        <w:rPr>
          <w:rFonts w:cs="Open Sans"/>
          <w:color w:val="000000" w:themeColor="text1"/>
        </w:rPr>
        <w:t xml:space="preserve"> to reflect the full extent of the Commonwealth’s constitutional interests and power. </w:t>
      </w:r>
      <w:r w:rsidR="00CF7BE7">
        <w:rPr>
          <w:rFonts w:cs="Open Sans"/>
          <w:color w:val="000000" w:themeColor="text1"/>
        </w:rPr>
        <w:t>It is not</w:t>
      </w:r>
      <w:r w:rsidR="00836E1E">
        <w:rPr>
          <w:rFonts w:cs="Open Sans"/>
          <w:color w:val="000000" w:themeColor="text1"/>
        </w:rPr>
        <w:t xml:space="preserve"> clear why providing a definition of this term would limit the Commonwealth’s constitutional interests and powers, particularly given that </w:t>
      </w:r>
      <w:r w:rsidR="00CF7BE7">
        <w:rPr>
          <w:rFonts w:cs="Open Sans"/>
          <w:color w:val="000000" w:themeColor="text1"/>
        </w:rPr>
        <w:t>the</w:t>
      </w:r>
      <w:r w:rsidR="00EF09EA">
        <w:rPr>
          <w:rFonts w:cs="Open Sans"/>
          <w:color w:val="000000" w:themeColor="text1"/>
        </w:rPr>
        <w:t>se</w:t>
      </w:r>
      <w:r w:rsidR="00836E1E">
        <w:rPr>
          <w:rFonts w:cs="Open Sans"/>
          <w:color w:val="000000" w:themeColor="text1"/>
        </w:rPr>
        <w:t xml:space="preserve"> </w:t>
      </w:r>
      <w:r w:rsidR="00EF09EA">
        <w:rPr>
          <w:rFonts w:cs="Open Sans"/>
          <w:color w:val="000000" w:themeColor="text1"/>
        </w:rPr>
        <w:t>matters</w:t>
      </w:r>
      <w:r w:rsidR="00CF7BE7">
        <w:rPr>
          <w:rFonts w:cs="Open Sans"/>
          <w:color w:val="000000" w:themeColor="text1"/>
        </w:rPr>
        <w:t xml:space="preserve"> </w:t>
      </w:r>
      <w:r w:rsidR="00836E1E">
        <w:rPr>
          <w:rFonts w:cs="Open Sans"/>
          <w:color w:val="000000" w:themeColor="text1"/>
        </w:rPr>
        <w:t xml:space="preserve">are clearly defined in legislation. </w:t>
      </w:r>
    </w:p>
    <w:p w14:paraId="7E5C4E83" w14:textId="20669932" w:rsidR="00B81D3B" w:rsidRDefault="003F5CC2" w:rsidP="00196614">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In the Commission’s view, t</w:t>
      </w:r>
      <w:r w:rsidR="008D3EAF">
        <w:rPr>
          <w:rFonts w:cs="Open Sans"/>
          <w:color w:val="000000" w:themeColor="text1"/>
        </w:rPr>
        <w:t>he lack of definition</w:t>
      </w:r>
      <w:r w:rsidR="00D05EC7">
        <w:rPr>
          <w:rFonts w:cs="Open Sans"/>
          <w:color w:val="000000" w:themeColor="text1"/>
        </w:rPr>
        <w:t>s for the terms</w:t>
      </w:r>
      <w:r w:rsidR="008D3EAF">
        <w:rPr>
          <w:rFonts w:cs="Open Sans"/>
          <w:color w:val="000000" w:themeColor="text1"/>
        </w:rPr>
        <w:t xml:space="preserve"> </w:t>
      </w:r>
      <w:r w:rsidR="00D05EC7">
        <w:rPr>
          <w:rFonts w:cs="Open Sans"/>
          <w:color w:val="000000" w:themeColor="text1"/>
        </w:rPr>
        <w:t>‘emergency’</w:t>
      </w:r>
      <w:r w:rsidR="008D3EAF">
        <w:rPr>
          <w:rFonts w:cs="Open Sans"/>
          <w:color w:val="000000" w:themeColor="text1"/>
        </w:rPr>
        <w:t xml:space="preserve"> </w:t>
      </w:r>
      <w:r w:rsidR="00D05EC7">
        <w:rPr>
          <w:rFonts w:cs="Open Sans"/>
          <w:color w:val="000000" w:themeColor="text1"/>
        </w:rPr>
        <w:t xml:space="preserve">and ‘Commonwealth interests’ </w:t>
      </w:r>
      <w:r w:rsidR="00D1322F">
        <w:rPr>
          <w:rFonts w:cs="Open Sans"/>
          <w:color w:val="000000" w:themeColor="text1"/>
        </w:rPr>
        <w:t xml:space="preserve">has the effect of providing </w:t>
      </w:r>
      <w:r w:rsidR="008D3EAF">
        <w:rPr>
          <w:rFonts w:cs="Open Sans"/>
          <w:color w:val="000000" w:themeColor="text1"/>
        </w:rPr>
        <w:t>a very broad discretionary power to declare</w:t>
      </w:r>
      <w:r w:rsidR="00B81D3B">
        <w:rPr>
          <w:rFonts w:cs="Open Sans"/>
          <w:color w:val="000000" w:themeColor="text1"/>
        </w:rPr>
        <w:t xml:space="preserve">, extend and vary national emergency declarations under this Act. </w:t>
      </w:r>
      <w:r w:rsidR="00A200BD">
        <w:rPr>
          <w:rFonts w:cs="Open Sans"/>
          <w:color w:val="000000" w:themeColor="text1"/>
        </w:rPr>
        <w:t>The Commission recommends that definitions for the terms ‘emergency’ and ‘Commonwealth interests’ be inserted into the Act</w:t>
      </w:r>
      <w:r w:rsidR="00EF09EA">
        <w:rPr>
          <w:rFonts w:cs="Open Sans"/>
          <w:color w:val="000000" w:themeColor="text1"/>
        </w:rPr>
        <w:t xml:space="preserve"> to more clearly delineate the </w:t>
      </w:r>
      <w:r w:rsidR="00263988">
        <w:rPr>
          <w:rFonts w:cs="Open Sans"/>
          <w:color w:val="000000" w:themeColor="text1"/>
        </w:rPr>
        <w:t>circumstances in which a national emergency may be declared</w:t>
      </w:r>
      <w:r w:rsidR="00836E1E">
        <w:rPr>
          <w:rFonts w:cs="Open Sans"/>
          <w:color w:val="000000" w:themeColor="text1"/>
        </w:rPr>
        <w:t>.</w:t>
      </w:r>
    </w:p>
    <w:p w14:paraId="62E2EEFA" w14:textId="77777777" w:rsidR="00212C73" w:rsidRPr="00156F5C" w:rsidRDefault="00212C73" w:rsidP="00212C73">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lastRenderedPageBreak/>
        <w:t>Recommendation 2</w:t>
      </w:r>
    </w:p>
    <w:p w14:paraId="36F6D68C" w14:textId="7EEAE6AB" w:rsidR="00212C73" w:rsidRPr="009C4F36" w:rsidRDefault="00212C73" w:rsidP="00212C73">
      <w:pPr>
        <w:pStyle w:val="ListNumber"/>
        <w:numPr>
          <w:ilvl w:val="0"/>
          <w:numId w:val="0"/>
        </w:numPr>
        <w:tabs>
          <w:tab w:val="left" w:pos="1418"/>
        </w:tabs>
        <w:spacing w:after="240"/>
        <w:ind w:left="709"/>
        <w:rPr>
          <w:rFonts w:cs="Open Sans"/>
          <w:color w:val="000000" w:themeColor="text1"/>
        </w:rPr>
      </w:pPr>
      <w:r>
        <w:rPr>
          <w:rFonts w:cs="Open Sans"/>
          <w:color w:val="000000" w:themeColor="text1"/>
        </w:rPr>
        <w:t>Definitions for the terms ‘emergency’ and ‘Commonwealth interests’ should be inserted into the Act</w:t>
      </w:r>
      <w:r w:rsidR="00C544B9">
        <w:rPr>
          <w:rFonts w:cs="Open Sans"/>
          <w:color w:val="000000" w:themeColor="text1"/>
        </w:rPr>
        <w:t xml:space="preserve"> </w:t>
      </w:r>
      <w:r w:rsidR="006E65E5">
        <w:rPr>
          <w:rFonts w:cs="Open Sans"/>
          <w:color w:val="000000" w:themeColor="text1"/>
        </w:rPr>
        <w:t xml:space="preserve">and ‘emergency’ should be defined in similar terms to the definitions of ‘emergency’ and ‘disaster’ in the emergency management legislation enacted in </w:t>
      </w:r>
      <w:r w:rsidR="001E1255">
        <w:rPr>
          <w:rFonts w:cs="Open Sans"/>
          <w:color w:val="000000" w:themeColor="text1"/>
        </w:rPr>
        <w:t>the</w:t>
      </w:r>
      <w:r w:rsidR="006E65E5">
        <w:rPr>
          <w:rFonts w:cs="Open Sans"/>
          <w:color w:val="000000" w:themeColor="text1"/>
        </w:rPr>
        <w:t xml:space="preserve"> State</w:t>
      </w:r>
      <w:r w:rsidR="001E1255">
        <w:rPr>
          <w:rFonts w:cs="Open Sans"/>
          <w:color w:val="000000" w:themeColor="text1"/>
        </w:rPr>
        <w:t>s</w:t>
      </w:r>
      <w:r w:rsidR="006E65E5">
        <w:rPr>
          <w:rFonts w:cs="Open Sans"/>
          <w:color w:val="000000" w:themeColor="text1"/>
        </w:rPr>
        <w:t xml:space="preserve"> </w:t>
      </w:r>
      <w:r w:rsidR="006E65E5" w:rsidRPr="00F556F2">
        <w:rPr>
          <w:rFonts w:cs="Open Sans"/>
          <w:color w:val="000000" w:themeColor="text1"/>
        </w:rPr>
        <w:t xml:space="preserve">and </w:t>
      </w:r>
      <w:r w:rsidR="006E65E5">
        <w:rPr>
          <w:rFonts w:cs="Open Sans"/>
          <w:color w:val="000000" w:themeColor="text1"/>
        </w:rPr>
        <w:t>T</w:t>
      </w:r>
      <w:r w:rsidR="006E65E5" w:rsidRPr="00F556F2">
        <w:rPr>
          <w:rFonts w:cs="Open Sans"/>
          <w:color w:val="000000" w:themeColor="text1"/>
        </w:rPr>
        <w:t>erritor</w:t>
      </w:r>
      <w:r w:rsidR="001E1255">
        <w:rPr>
          <w:rFonts w:cs="Open Sans"/>
          <w:color w:val="000000" w:themeColor="text1"/>
        </w:rPr>
        <w:t>ies</w:t>
      </w:r>
      <w:r>
        <w:rPr>
          <w:rFonts w:cs="Open Sans"/>
          <w:color w:val="000000" w:themeColor="text1"/>
        </w:rPr>
        <w:t xml:space="preserve">. </w:t>
      </w:r>
    </w:p>
    <w:p w14:paraId="0DC126F8" w14:textId="4285DFA4" w:rsidR="00163B9A" w:rsidRDefault="00D15091" w:rsidP="00163B9A">
      <w:pPr>
        <w:pStyle w:val="Heading1"/>
      </w:pPr>
      <w:bookmarkStart w:id="20" w:name="_Toc67495697"/>
      <w:r>
        <w:t>Modification of primary legislation through delegated legislation</w:t>
      </w:r>
      <w:bookmarkEnd w:id="20"/>
    </w:p>
    <w:p w14:paraId="77EB0E0D" w14:textId="489AFF27" w:rsidR="00787DA3" w:rsidRDefault="002B10D8" w:rsidP="002B10D8">
      <w:pPr>
        <w:pStyle w:val="ListNumber"/>
        <w:numPr>
          <w:ilvl w:val="0"/>
          <w:numId w:val="3"/>
        </w:numPr>
        <w:tabs>
          <w:tab w:val="num" w:pos="993"/>
          <w:tab w:val="left" w:pos="1418"/>
        </w:tabs>
        <w:spacing w:after="240"/>
        <w:ind w:left="709" w:hanging="567"/>
        <w:rPr>
          <w:rFonts w:cs="Open Sans"/>
          <w:color w:val="000000" w:themeColor="text1"/>
        </w:rPr>
      </w:pPr>
      <w:r w:rsidRPr="002B10D8">
        <w:rPr>
          <w:rFonts w:cs="Open Sans"/>
          <w:color w:val="000000" w:themeColor="text1"/>
        </w:rPr>
        <w:t>Section 15</w:t>
      </w:r>
      <w:r w:rsidR="00B73E55">
        <w:rPr>
          <w:rFonts w:cs="Open Sans"/>
          <w:color w:val="000000" w:themeColor="text1"/>
        </w:rPr>
        <w:t>(2)</w:t>
      </w:r>
      <w:r w:rsidRPr="002B10D8">
        <w:rPr>
          <w:rFonts w:cs="Open Sans"/>
          <w:color w:val="000000" w:themeColor="text1"/>
        </w:rPr>
        <w:t xml:space="preserve"> of the Act empowers </w:t>
      </w:r>
      <w:r>
        <w:rPr>
          <w:rFonts w:cs="Open Sans"/>
          <w:color w:val="000000" w:themeColor="text1"/>
        </w:rPr>
        <w:t>Ministers</w:t>
      </w:r>
      <w:r w:rsidR="00291BFD">
        <w:rPr>
          <w:rFonts w:cs="Open Sans"/>
          <w:color w:val="000000" w:themeColor="text1"/>
        </w:rPr>
        <w:t xml:space="preserve"> during a national emergency</w:t>
      </w:r>
      <w:r>
        <w:rPr>
          <w:rFonts w:cs="Open Sans"/>
          <w:color w:val="000000" w:themeColor="text1"/>
        </w:rPr>
        <w:t xml:space="preserve"> to</w:t>
      </w:r>
      <w:r w:rsidR="00C6246E">
        <w:rPr>
          <w:rFonts w:cs="Open Sans"/>
          <w:color w:val="000000" w:themeColor="text1"/>
        </w:rPr>
        <w:t xml:space="preserve"> determine, by legislative instrument, that certain provisions</w:t>
      </w:r>
      <w:r w:rsidR="00291BFD">
        <w:rPr>
          <w:rFonts w:cs="Open Sans"/>
          <w:color w:val="000000" w:themeColor="text1"/>
        </w:rPr>
        <w:t xml:space="preserve"> in legislation </w:t>
      </w:r>
      <w:r w:rsidR="00B77561">
        <w:rPr>
          <w:rFonts w:cs="Open Sans"/>
          <w:color w:val="000000" w:themeColor="text1"/>
        </w:rPr>
        <w:t>administered by</w:t>
      </w:r>
      <w:r w:rsidR="00291BFD">
        <w:rPr>
          <w:rFonts w:cs="Open Sans"/>
          <w:color w:val="000000" w:themeColor="text1"/>
        </w:rPr>
        <w:t xml:space="preserve"> the Minister </w:t>
      </w:r>
      <w:r w:rsidR="00C6246E">
        <w:rPr>
          <w:rFonts w:cs="Open Sans"/>
          <w:color w:val="000000" w:themeColor="text1"/>
        </w:rPr>
        <w:t xml:space="preserve">do not apply, are </w:t>
      </w:r>
      <w:r w:rsidR="00C55B74">
        <w:rPr>
          <w:rFonts w:cs="Open Sans"/>
          <w:color w:val="000000" w:themeColor="text1"/>
        </w:rPr>
        <w:t>varied,</w:t>
      </w:r>
      <w:r w:rsidR="00C6246E">
        <w:rPr>
          <w:rFonts w:cs="Open Sans"/>
          <w:color w:val="000000" w:themeColor="text1"/>
        </w:rPr>
        <w:t xml:space="preserve"> or are replaced.</w:t>
      </w:r>
      <w:r w:rsidR="00D15091">
        <w:rPr>
          <w:rStyle w:val="EndnoteReference"/>
          <w:rFonts w:cs="Open Sans"/>
          <w:color w:val="000000" w:themeColor="text1"/>
        </w:rPr>
        <w:endnoteReference w:id="24"/>
      </w:r>
      <w:r w:rsidR="00C6246E">
        <w:rPr>
          <w:rFonts w:cs="Open Sans"/>
          <w:color w:val="000000" w:themeColor="text1"/>
        </w:rPr>
        <w:t xml:space="preserve"> </w:t>
      </w:r>
      <w:r w:rsidR="00291BFD">
        <w:rPr>
          <w:rFonts w:cs="Open Sans"/>
          <w:color w:val="000000" w:themeColor="text1"/>
        </w:rPr>
        <w:t xml:space="preserve">This </w:t>
      </w:r>
      <w:r w:rsidR="002806B4">
        <w:rPr>
          <w:rFonts w:cs="Open Sans"/>
          <w:color w:val="000000" w:themeColor="text1"/>
        </w:rPr>
        <w:t xml:space="preserve">power </w:t>
      </w:r>
      <w:r w:rsidR="00291BFD">
        <w:rPr>
          <w:rFonts w:cs="Open Sans"/>
          <w:color w:val="000000" w:themeColor="text1"/>
        </w:rPr>
        <w:t>applies to a</w:t>
      </w:r>
      <w:r w:rsidR="00645DAE">
        <w:rPr>
          <w:rFonts w:cs="Open Sans"/>
          <w:color w:val="000000" w:themeColor="text1"/>
        </w:rPr>
        <w:t>ny</w:t>
      </w:r>
      <w:r w:rsidR="00291BFD">
        <w:rPr>
          <w:rFonts w:cs="Open Sans"/>
          <w:color w:val="000000" w:themeColor="text1"/>
        </w:rPr>
        <w:t xml:space="preserve"> Commonwealth law </w:t>
      </w:r>
      <w:r w:rsidR="00787DA3">
        <w:rPr>
          <w:rFonts w:cs="Open Sans"/>
          <w:color w:val="000000" w:themeColor="text1"/>
        </w:rPr>
        <w:t>administered by the Minister</w:t>
      </w:r>
      <w:r w:rsidR="00704708">
        <w:rPr>
          <w:rFonts w:cs="Open Sans"/>
          <w:color w:val="000000" w:themeColor="text1"/>
        </w:rPr>
        <w:t>, subject to exclusions in s 15(8) of the Act,</w:t>
      </w:r>
      <w:r w:rsidR="00787DA3">
        <w:rPr>
          <w:rFonts w:cs="Open Sans"/>
          <w:color w:val="000000" w:themeColor="text1"/>
        </w:rPr>
        <w:t xml:space="preserve"> which </w:t>
      </w:r>
      <w:r w:rsidR="00291BFD">
        <w:rPr>
          <w:rFonts w:cs="Open Sans"/>
          <w:color w:val="000000" w:themeColor="text1"/>
        </w:rPr>
        <w:t>requires the</w:t>
      </w:r>
      <w:r w:rsidR="00787DA3">
        <w:rPr>
          <w:rFonts w:cs="Open Sans"/>
          <w:color w:val="000000" w:themeColor="text1"/>
        </w:rPr>
        <w:t>:</w:t>
      </w:r>
      <w:r w:rsidR="00291BFD">
        <w:rPr>
          <w:rFonts w:cs="Open Sans"/>
          <w:color w:val="000000" w:themeColor="text1"/>
        </w:rPr>
        <w:t xml:space="preserve"> </w:t>
      </w:r>
    </w:p>
    <w:p w14:paraId="754CE497" w14:textId="77777777"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 xml:space="preserve">(a) </w:t>
      </w:r>
      <w:r>
        <w:rPr>
          <w:rFonts w:cs="Open Sans"/>
          <w:color w:val="000000" w:themeColor="text1"/>
        </w:rPr>
        <w:tab/>
      </w:r>
      <w:r w:rsidR="00291BFD">
        <w:rPr>
          <w:rFonts w:cs="Open Sans"/>
          <w:color w:val="000000" w:themeColor="text1"/>
        </w:rPr>
        <w:t xml:space="preserve">giving of information in writing </w:t>
      </w:r>
    </w:p>
    <w:p w14:paraId="3B3E2F81" w14:textId="77777777"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 xml:space="preserve">(b) </w:t>
      </w:r>
      <w:r>
        <w:rPr>
          <w:rFonts w:cs="Open Sans"/>
          <w:color w:val="000000" w:themeColor="text1"/>
        </w:rPr>
        <w:tab/>
      </w:r>
      <w:r w:rsidR="00291BFD">
        <w:rPr>
          <w:rFonts w:cs="Open Sans"/>
          <w:color w:val="000000" w:themeColor="text1"/>
        </w:rPr>
        <w:t>signature of a person</w:t>
      </w:r>
    </w:p>
    <w:p w14:paraId="39173847" w14:textId="77777777"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(c)</w:t>
      </w:r>
      <w:r>
        <w:rPr>
          <w:rFonts w:cs="Open Sans"/>
          <w:color w:val="000000" w:themeColor="text1"/>
        </w:rPr>
        <w:tab/>
      </w:r>
      <w:r w:rsidR="00291BFD">
        <w:rPr>
          <w:rFonts w:cs="Open Sans"/>
          <w:color w:val="000000" w:themeColor="text1"/>
        </w:rPr>
        <w:t>production</w:t>
      </w:r>
      <w:r w:rsidR="00787DA3">
        <w:rPr>
          <w:rFonts w:cs="Open Sans"/>
          <w:color w:val="000000" w:themeColor="text1"/>
        </w:rPr>
        <w:t>, recording, and retention of</w:t>
      </w:r>
      <w:r>
        <w:rPr>
          <w:rFonts w:cs="Open Sans"/>
          <w:color w:val="000000" w:themeColor="text1"/>
        </w:rPr>
        <w:t xml:space="preserve"> documents or</w:t>
      </w:r>
      <w:r w:rsidR="00787DA3">
        <w:rPr>
          <w:rFonts w:cs="Open Sans"/>
          <w:color w:val="000000" w:themeColor="text1"/>
        </w:rPr>
        <w:t xml:space="preserve"> information</w:t>
      </w:r>
    </w:p>
    <w:p w14:paraId="738E5991" w14:textId="77777777"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(d)</w:t>
      </w:r>
      <w:r>
        <w:rPr>
          <w:rFonts w:cs="Open Sans"/>
          <w:color w:val="000000" w:themeColor="text1"/>
        </w:rPr>
        <w:tab/>
        <w:t>witnessing of signatures and certification of matters by witnesses</w:t>
      </w:r>
    </w:p>
    <w:p w14:paraId="54A4A9F0" w14:textId="18A84909"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(e)</w:t>
      </w:r>
      <w:r>
        <w:rPr>
          <w:rFonts w:cs="Open Sans"/>
          <w:color w:val="000000" w:themeColor="text1"/>
        </w:rPr>
        <w:tab/>
        <w:t>verification of a person’s identity</w:t>
      </w:r>
    </w:p>
    <w:p w14:paraId="0B06ADFF" w14:textId="3AB151A5"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 xml:space="preserve">(f) </w:t>
      </w:r>
      <w:r>
        <w:rPr>
          <w:rFonts w:cs="Open Sans"/>
          <w:color w:val="000000" w:themeColor="text1"/>
        </w:rPr>
        <w:tab/>
        <w:t>attestation of documents</w:t>
      </w:r>
    </w:p>
    <w:p w14:paraId="3F95FAF0" w14:textId="2CDF8BCC" w:rsidR="0027127C" w:rsidRDefault="0027127C" w:rsidP="0027127C">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 xml:space="preserve">(h) </w:t>
      </w:r>
      <w:r>
        <w:rPr>
          <w:rFonts w:cs="Open Sans"/>
          <w:color w:val="000000" w:themeColor="text1"/>
        </w:rPr>
        <w:tab/>
        <w:t>reporting or notification of a matter to a Department, agency or authority of the Commonwealth.</w:t>
      </w:r>
      <w:r w:rsidR="00D15091">
        <w:rPr>
          <w:rStyle w:val="EndnoteReference"/>
          <w:rFonts w:cs="Open Sans"/>
          <w:color w:val="000000" w:themeColor="text1"/>
        </w:rPr>
        <w:endnoteReference w:id="25"/>
      </w:r>
      <w:r>
        <w:rPr>
          <w:rFonts w:cs="Open Sans"/>
          <w:color w:val="000000" w:themeColor="text1"/>
        </w:rPr>
        <w:t xml:space="preserve"> </w:t>
      </w:r>
    </w:p>
    <w:p w14:paraId="3D875008" w14:textId="53EB44A4" w:rsidR="008066E1" w:rsidRDefault="0027127C" w:rsidP="008066E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Minister must be satisfied that the determination is in response to </w:t>
      </w:r>
      <w:r w:rsidR="00704708">
        <w:rPr>
          <w:rFonts w:cs="Open Sans"/>
          <w:color w:val="000000" w:themeColor="text1"/>
        </w:rPr>
        <w:t>circumstances relating to the emergency the subject of the declaration and that the determination will be of benefit to the public or a section of the public.</w:t>
      </w:r>
      <w:r w:rsidR="00D15091">
        <w:rPr>
          <w:rStyle w:val="EndnoteReference"/>
          <w:rFonts w:cs="Open Sans"/>
          <w:color w:val="000000" w:themeColor="text1"/>
        </w:rPr>
        <w:endnoteReference w:id="26"/>
      </w:r>
      <w:r w:rsidR="00704708">
        <w:rPr>
          <w:rFonts w:cs="Open Sans"/>
          <w:color w:val="000000" w:themeColor="text1"/>
        </w:rPr>
        <w:t xml:space="preserve"> </w:t>
      </w:r>
      <w:r w:rsidR="008066E1">
        <w:rPr>
          <w:rFonts w:cs="Open Sans"/>
          <w:color w:val="000000" w:themeColor="text1"/>
        </w:rPr>
        <w:t>A determination may be varied or revoked by the responsible Minister.</w:t>
      </w:r>
      <w:r w:rsidR="008066E1">
        <w:rPr>
          <w:rStyle w:val="EndnoteReference"/>
          <w:rFonts w:cs="Open Sans"/>
          <w:color w:val="000000" w:themeColor="text1"/>
        </w:rPr>
        <w:endnoteReference w:id="27"/>
      </w:r>
      <w:r w:rsidR="008066E1">
        <w:rPr>
          <w:rFonts w:cs="Open Sans"/>
          <w:color w:val="000000" w:themeColor="text1"/>
        </w:rPr>
        <w:t xml:space="preserve"> </w:t>
      </w:r>
    </w:p>
    <w:p w14:paraId="37747DD5" w14:textId="0DEF2109" w:rsidR="00273415" w:rsidRDefault="00273415" w:rsidP="00273415">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A determination by a Minister under this provision may also operate retrospectively. It takes force from the date specified in the determination, which may be prior to the date of the determination.</w:t>
      </w:r>
      <w:r>
        <w:rPr>
          <w:rStyle w:val="EndnoteReference"/>
          <w:rFonts w:cs="Open Sans"/>
          <w:color w:val="000000" w:themeColor="text1"/>
        </w:rPr>
        <w:endnoteReference w:id="28"/>
      </w:r>
      <w:r>
        <w:rPr>
          <w:rFonts w:cs="Open Sans"/>
          <w:color w:val="000000" w:themeColor="text1"/>
        </w:rPr>
        <w:t xml:space="preserve"> </w:t>
      </w:r>
      <w:r w:rsidR="008066E1">
        <w:rPr>
          <w:rFonts w:cs="Open Sans"/>
          <w:color w:val="000000" w:themeColor="text1"/>
        </w:rPr>
        <w:t>It will cease to have effect on the date specified in the determination or, if no date is specified, the date it is revoked or the national emergency declaration ceases to be in force.</w:t>
      </w:r>
      <w:r w:rsidR="008066E1">
        <w:rPr>
          <w:rStyle w:val="EndnoteReference"/>
          <w:rFonts w:cs="Open Sans"/>
          <w:color w:val="000000" w:themeColor="text1"/>
        </w:rPr>
        <w:endnoteReference w:id="29"/>
      </w:r>
      <w:r w:rsidR="008066E1">
        <w:rPr>
          <w:rFonts w:cs="Open Sans"/>
          <w:color w:val="000000" w:themeColor="text1"/>
        </w:rPr>
        <w:t xml:space="preserve"> </w:t>
      </w:r>
    </w:p>
    <w:p w14:paraId="792409F0" w14:textId="7D3B699C" w:rsidR="00DF2227" w:rsidRDefault="00DF023D" w:rsidP="00415062">
      <w:pPr>
        <w:pStyle w:val="ListNumber"/>
        <w:numPr>
          <w:ilvl w:val="0"/>
          <w:numId w:val="3"/>
        </w:numPr>
        <w:tabs>
          <w:tab w:val="num" w:pos="993"/>
          <w:tab w:val="left" w:pos="1418"/>
        </w:tabs>
        <w:spacing w:after="240"/>
        <w:ind w:left="709" w:hanging="567"/>
        <w:rPr>
          <w:rFonts w:cs="Open Sans"/>
          <w:color w:val="000000" w:themeColor="text1"/>
        </w:rPr>
      </w:pPr>
      <w:r w:rsidRPr="00487284">
        <w:rPr>
          <w:rFonts w:cs="Open Sans"/>
          <w:color w:val="000000" w:themeColor="text1"/>
        </w:rPr>
        <w:lastRenderedPageBreak/>
        <w:t>P</w:t>
      </w:r>
      <w:r w:rsidR="00921BF5" w:rsidRPr="00487284">
        <w:rPr>
          <w:rFonts w:cs="Open Sans"/>
          <w:color w:val="000000" w:themeColor="text1"/>
        </w:rPr>
        <w:t xml:space="preserve">rovisions </w:t>
      </w:r>
      <w:r w:rsidRPr="00487284">
        <w:rPr>
          <w:rFonts w:cs="Open Sans"/>
          <w:color w:val="000000" w:themeColor="text1"/>
        </w:rPr>
        <w:t>such as s 15</w:t>
      </w:r>
      <w:r w:rsidR="006F136E" w:rsidRPr="00487284">
        <w:rPr>
          <w:rFonts w:cs="Open Sans"/>
          <w:color w:val="000000" w:themeColor="text1"/>
        </w:rPr>
        <w:t>(2)</w:t>
      </w:r>
      <w:r w:rsidRPr="00487284">
        <w:rPr>
          <w:rFonts w:cs="Open Sans"/>
          <w:color w:val="000000" w:themeColor="text1"/>
        </w:rPr>
        <w:t xml:space="preserve"> of the Act </w:t>
      </w:r>
      <w:r w:rsidR="00921BF5" w:rsidRPr="00487284">
        <w:rPr>
          <w:rFonts w:cs="Open Sans"/>
          <w:color w:val="000000" w:themeColor="text1"/>
        </w:rPr>
        <w:t xml:space="preserve">are known as Henry VIII clauses because </w:t>
      </w:r>
      <w:r w:rsidR="005F1F18" w:rsidRPr="00CB7994">
        <w:rPr>
          <w:rFonts w:cs="Open Sans"/>
          <w:color w:val="222222"/>
          <w:shd w:val="clear" w:color="auto" w:fill="FFFFFF"/>
        </w:rPr>
        <w:t>they authorise the amendment of either the empowering legislation, or any other legislation, by means of delegated legislation</w:t>
      </w:r>
      <w:r w:rsidR="00B765B8" w:rsidRPr="00487284">
        <w:rPr>
          <w:rFonts w:cs="Open Sans"/>
          <w:color w:val="000000" w:themeColor="text1"/>
        </w:rPr>
        <w:t>,</w:t>
      </w:r>
      <w:r w:rsidR="005B49F7" w:rsidRPr="00CB7994">
        <w:rPr>
          <w:rStyle w:val="EndnoteReference"/>
          <w:rFonts w:cs="Open Sans"/>
          <w:color w:val="000000" w:themeColor="text1"/>
          <w:sz w:val="24"/>
        </w:rPr>
        <w:endnoteReference w:id="30"/>
      </w:r>
      <w:r w:rsidR="00645DAE">
        <w:rPr>
          <w:rFonts w:cs="Open Sans"/>
          <w:color w:val="000000" w:themeColor="text1"/>
        </w:rPr>
        <w:t xml:space="preserve"> </w:t>
      </w:r>
      <w:r w:rsidR="00921BF5">
        <w:rPr>
          <w:rFonts w:cs="Open Sans"/>
          <w:color w:val="000000" w:themeColor="text1"/>
        </w:rPr>
        <w:t xml:space="preserve">which has not been </w:t>
      </w:r>
      <w:r w:rsidR="00271DE1">
        <w:rPr>
          <w:rFonts w:cs="Open Sans"/>
          <w:color w:val="000000" w:themeColor="text1"/>
        </w:rPr>
        <w:t>scrutinised</w:t>
      </w:r>
      <w:r w:rsidR="00921BF5">
        <w:rPr>
          <w:rFonts w:cs="Open Sans"/>
          <w:color w:val="000000" w:themeColor="text1"/>
        </w:rPr>
        <w:t xml:space="preserve"> </w:t>
      </w:r>
      <w:r w:rsidR="00415062">
        <w:rPr>
          <w:rFonts w:cs="Open Sans"/>
          <w:color w:val="000000" w:themeColor="text1"/>
        </w:rPr>
        <w:t>by</w:t>
      </w:r>
      <w:r w:rsidR="00CF7BE7">
        <w:rPr>
          <w:rFonts w:cs="Open Sans"/>
          <w:color w:val="000000" w:themeColor="text1"/>
        </w:rPr>
        <w:t>,</w:t>
      </w:r>
      <w:r w:rsidR="00415062">
        <w:rPr>
          <w:rFonts w:cs="Open Sans"/>
          <w:color w:val="000000" w:themeColor="text1"/>
        </w:rPr>
        <w:t xml:space="preserve"> </w:t>
      </w:r>
      <w:r w:rsidR="00921BF5">
        <w:rPr>
          <w:rFonts w:cs="Open Sans"/>
          <w:color w:val="000000" w:themeColor="text1"/>
        </w:rPr>
        <w:t>and passed through</w:t>
      </w:r>
      <w:r w:rsidR="00CF7BE7">
        <w:rPr>
          <w:rFonts w:cs="Open Sans"/>
          <w:color w:val="000000" w:themeColor="text1"/>
        </w:rPr>
        <w:t>,</w:t>
      </w:r>
      <w:r w:rsidR="00921BF5">
        <w:rPr>
          <w:rFonts w:cs="Open Sans"/>
          <w:color w:val="000000" w:themeColor="text1"/>
        </w:rPr>
        <w:t xml:space="preserve"> Parliament. </w:t>
      </w:r>
    </w:p>
    <w:p w14:paraId="4085C39C" w14:textId="420274E5" w:rsidR="00921BF5" w:rsidRPr="00415062" w:rsidRDefault="00DE13E7" w:rsidP="00415062">
      <w:pPr>
        <w:pStyle w:val="ListNumber"/>
        <w:numPr>
          <w:ilvl w:val="0"/>
          <w:numId w:val="3"/>
        </w:numPr>
        <w:tabs>
          <w:tab w:val="num" w:pos="993"/>
          <w:tab w:val="left" w:pos="1418"/>
        </w:tabs>
        <w:spacing w:after="240"/>
        <w:ind w:left="709" w:hanging="567"/>
        <w:rPr>
          <w:rFonts w:cs="Open Sans"/>
          <w:color w:val="000000" w:themeColor="text1"/>
        </w:rPr>
      </w:pPr>
      <w:r w:rsidRPr="00CB7994">
        <w:rPr>
          <w:rFonts w:cs="Open Sans"/>
          <w:color w:val="222222"/>
          <w:shd w:val="clear" w:color="auto" w:fill="FFFFFF"/>
        </w:rPr>
        <w:t xml:space="preserve">The </w:t>
      </w:r>
      <w:r w:rsidR="00BC5BCE" w:rsidRPr="00CB7994">
        <w:rPr>
          <w:rFonts w:cs="Open Sans"/>
          <w:color w:val="222222"/>
          <w:shd w:val="clear" w:color="auto" w:fill="FFFFFF"/>
        </w:rPr>
        <w:t>Commonwealth’s</w:t>
      </w:r>
      <w:r w:rsidRPr="00CB7994">
        <w:rPr>
          <w:rFonts w:cs="Open Sans"/>
          <w:color w:val="222222"/>
          <w:shd w:val="clear" w:color="auto" w:fill="FFFFFF"/>
        </w:rPr>
        <w:t xml:space="preserve"> Legislation Handbook </w:t>
      </w:r>
      <w:r w:rsidR="00BC5BCE" w:rsidRPr="00CB7994">
        <w:rPr>
          <w:rFonts w:cs="Open Sans"/>
          <w:color w:val="222222"/>
          <w:shd w:val="clear" w:color="auto" w:fill="FFFFFF"/>
        </w:rPr>
        <w:t xml:space="preserve">provides guidance on appropriate matters for </w:t>
      </w:r>
      <w:r w:rsidRPr="00CB7994">
        <w:rPr>
          <w:rFonts w:cs="Open Sans"/>
          <w:color w:val="222222"/>
          <w:shd w:val="clear" w:color="auto" w:fill="FFFFFF"/>
        </w:rPr>
        <w:t xml:space="preserve">subordinate legislation </w:t>
      </w:r>
      <w:r w:rsidR="00BC5BCE" w:rsidRPr="00CB7994">
        <w:rPr>
          <w:rFonts w:cs="Open Sans"/>
          <w:color w:val="222222"/>
          <w:shd w:val="clear" w:color="auto" w:fill="FFFFFF"/>
        </w:rPr>
        <w:t>and matters which should be implemented only through Acts of Parliament</w:t>
      </w:r>
      <w:r w:rsidRPr="00CB7994">
        <w:rPr>
          <w:rFonts w:cs="Open Sans"/>
          <w:color w:val="222222"/>
          <w:shd w:val="clear" w:color="auto" w:fill="FFFFFF"/>
        </w:rPr>
        <w:t>.</w:t>
      </w:r>
      <w:r w:rsidRPr="00487284">
        <w:rPr>
          <w:rStyle w:val="EndnoteReference"/>
          <w:rFonts w:cs="Open Sans"/>
          <w:color w:val="222222"/>
          <w:szCs w:val="23"/>
          <w:shd w:val="clear" w:color="auto" w:fill="FFFFFF"/>
        </w:rPr>
        <w:endnoteReference w:id="31"/>
      </w:r>
      <w:r>
        <w:rPr>
          <w:rFonts w:cs="Open Sans"/>
          <w:color w:val="222222"/>
          <w:sz w:val="23"/>
          <w:szCs w:val="23"/>
          <w:shd w:val="clear" w:color="auto" w:fill="FFFFFF"/>
        </w:rPr>
        <w:t xml:space="preserve"> </w:t>
      </w:r>
      <w:r w:rsidR="00741830" w:rsidRPr="00CB7994">
        <w:rPr>
          <w:rFonts w:cs="Open Sans"/>
          <w:color w:val="222222"/>
          <w:shd w:val="clear" w:color="auto" w:fill="FFFFFF"/>
        </w:rPr>
        <w:t>It provides that drafters of explanatory memoranda should ensure that the use of subordinate legislation is appropriate and an explanation is given for the use of unusual arrangements such as Henry VIII clauses.</w:t>
      </w:r>
      <w:r w:rsidR="00741830">
        <w:rPr>
          <w:rStyle w:val="EndnoteReference"/>
          <w:rFonts w:cs="Open Sans"/>
          <w:color w:val="222222"/>
          <w:szCs w:val="23"/>
          <w:shd w:val="clear" w:color="auto" w:fill="FFFFFF"/>
        </w:rPr>
        <w:endnoteReference w:id="32"/>
      </w:r>
      <w:r w:rsidR="00741830">
        <w:rPr>
          <w:rFonts w:cs="Open Sans"/>
          <w:color w:val="222222"/>
          <w:sz w:val="23"/>
          <w:szCs w:val="23"/>
          <w:shd w:val="clear" w:color="auto" w:fill="FFFFFF"/>
        </w:rPr>
        <w:t xml:space="preserve"> </w:t>
      </w:r>
      <w:r w:rsidRPr="00CB7994">
        <w:rPr>
          <w:rFonts w:cs="Open Sans"/>
          <w:color w:val="222222"/>
          <w:shd w:val="clear" w:color="auto" w:fill="FFFFFF"/>
        </w:rPr>
        <w:t>The Senate Standing Committee for the Scrutiny of Bills has consistently drawn attention to the use of Henry VIII clauses in legislation since the committee’s formation.</w:t>
      </w:r>
      <w:r>
        <w:rPr>
          <w:rStyle w:val="EndnoteReference"/>
          <w:rFonts w:cs="Open Sans"/>
          <w:color w:val="222222"/>
          <w:szCs w:val="23"/>
          <w:shd w:val="clear" w:color="auto" w:fill="FFFFFF"/>
        </w:rPr>
        <w:endnoteReference w:id="33"/>
      </w:r>
      <w:r>
        <w:rPr>
          <w:rFonts w:cs="Open Sans"/>
          <w:color w:val="222222"/>
          <w:sz w:val="23"/>
          <w:szCs w:val="23"/>
          <w:shd w:val="clear" w:color="auto" w:fill="FFFFFF"/>
        </w:rPr>
        <w:t xml:space="preserve"> </w:t>
      </w:r>
      <w:r w:rsidR="002F3374" w:rsidRPr="00CB7994">
        <w:rPr>
          <w:rFonts w:cs="Open Sans"/>
          <w:color w:val="222222"/>
          <w:shd w:val="clear" w:color="auto" w:fill="FFFFFF"/>
        </w:rPr>
        <w:t>The appropriateness</w:t>
      </w:r>
      <w:r w:rsidRPr="00CB7994">
        <w:rPr>
          <w:rFonts w:cs="Open Sans"/>
          <w:color w:val="222222"/>
          <w:shd w:val="clear" w:color="auto" w:fill="FFFFFF"/>
        </w:rPr>
        <w:t xml:space="preserve"> of the use of such clauses has also been raised by the Australian Law Reform Commission and other </w:t>
      </w:r>
      <w:r w:rsidR="009405BA" w:rsidRPr="00CB7994">
        <w:rPr>
          <w:rFonts w:cs="Open Sans"/>
          <w:color w:val="222222"/>
          <w:shd w:val="clear" w:color="auto" w:fill="FFFFFF"/>
        </w:rPr>
        <w:t>S</w:t>
      </w:r>
      <w:r w:rsidRPr="00CB7994">
        <w:rPr>
          <w:rFonts w:cs="Open Sans"/>
          <w:color w:val="222222"/>
          <w:shd w:val="clear" w:color="auto" w:fill="FFFFFF"/>
        </w:rPr>
        <w:t xml:space="preserve">tate </w:t>
      </w:r>
      <w:r w:rsidR="008F341E">
        <w:rPr>
          <w:rFonts w:cs="Open Sans"/>
          <w:color w:val="222222"/>
          <w:shd w:val="clear" w:color="auto" w:fill="FFFFFF"/>
        </w:rPr>
        <w:t xml:space="preserve">and Territory </w:t>
      </w:r>
      <w:r w:rsidR="00583E64" w:rsidRPr="00CB7994">
        <w:rPr>
          <w:rFonts w:cs="Open Sans"/>
          <w:color w:val="222222"/>
          <w:shd w:val="clear" w:color="auto" w:fill="FFFFFF"/>
        </w:rPr>
        <w:t>bodies</w:t>
      </w:r>
      <w:r w:rsidRPr="00CB7994">
        <w:rPr>
          <w:rFonts w:cs="Open Sans"/>
          <w:color w:val="222222"/>
          <w:shd w:val="clear" w:color="auto" w:fill="FFFFFF"/>
        </w:rPr>
        <w:t>.</w:t>
      </w:r>
      <w:r w:rsidR="00A12018">
        <w:rPr>
          <w:rStyle w:val="EndnoteReference"/>
          <w:rFonts w:cs="Open Sans"/>
          <w:color w:val="222222"/>
          <w:szCs w:val="23"/>
          <w:shd w:val="clear" w:color="auto" w:fill="FFFFFF"/>
        </w:rPr>
        <w:endnoteReference w:id="34"/>
      </w:r>
      <w:r>
        <w:rPr>
          <w:rFonts w:cs="Open Sans"/>
          <w:color w:val="222222"/>
          <w:sz w:val="23"/>
          <w:szCs w:val="23"/>
          <w:shd w:val="clear" w:color="auto" w:fill="FFFFFF"/>
        </w:rPr>
        <w:t xml:space="preserve"> </w:t>
      </w:r>
    </w:p>
    <w:p w14:paraId="1E2EC411" w14:textId="37EA7E6D" w:rsidR="00B77561" w:rsidRDefault="00B77561" w:rsidP="002B10D8">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The</w:t>
      </w:r>
      <w:r w:rsidR="00190E4A">
        <w:rPr>
          <w:rFonts w:cs="Open Sans"/>
          <w:color w:val="000000" w:themeColor="text1"/>
        </w:rPr>
        <w:t xml:space="preserve"> Revised</w:t>
      </w:r>
      <w:r>
        <w:rPr>
          <w:rFonts w:cs="Open Sans"/>
          <w:color w:val="000000" w:themeColor="text1"/>
        </w:rPr>
        <w:t xml:space="preserve"> Explanatory Memorandum states that this provision is intended to: </w:t>
      </w:r>
    </w:p>
    <w:p w14:paraId="447884B6" w14:textId="3EDA34B2" w:rsidR="00B77561" w:rsidRDefault="00B77561" w:rsidP="00B77561">
      <w:pPr>
        <w:pStyle w:val="ListNumber"/>
        <w:numPr>
          <w:ilvl w:val="0"/>
          <w:numId w:val="0"/>
        </w:numPr>
        <w:tabs>
          <w:tab w:val="left" w:pos="1418"/>
        </w:tabs>
        <w:spacing w:after="240"/>
        <w:ind w:left="1134"/>
        <w:rPr>
          <w:rFonts w:cs="Open Sans"/>
          <w:color w:val="000000" w:themeColor="text1"/>
          <w:sz w:val="22"/>
          <w:szCs w:val="22"/>
        </w:rPr>
      </w:pPr>
      <w:r w:rsidRPr="00B77561">
        <w:rPr>
          <w:rFonts w:cs="Open Sans"/>
          <w:color w:val="000000" w:themeColor="text1"/>
          <w:sz w:val="22"/>
          <w:szCs w:val="22"/>
        </w:rPr>
        <w:t xml:space="preserve">allow Ministers and decision-makers to act quickly </w:t>
      </w:r>
      <w:r w:rsidR="00994647">
        <w:rPr>
          <w:rFonts w:cs="Open Sans"/>
          <w:color w:val="000000" w:themeColor="text1"/>
          <w:sz w:val="22"/>
          <w:szCs w:val="22"/>
        </w:rPr>
        <w:t xml:space="preserve">and decisively in response to a declared national emergency </w:t>
      </w:r>
      <w:r w:rsidRPr="00B77561">
        <w:rPr>
          <w:rFonts w:cs="Open Sans"/>
          <w:color w:val="000000" w:themeColor="text1"/>
          <w:sz w:val="22"/>
          <w:szCs w:val="22"/>
        </w:rPr>
        <w:t xml:space="preserve">and adopt a tailored </w:t>
      </w:r>
      <w:r>
        <w:rPr>
          <w:rFonts w:cs="Open Sans"/>
          <w:color w:val="000000" w:themeColor="text1"/>
          <w:sz w:val="22"/>
          <w:szCs w:val="22"/>
        </w:rPr>
        <w:t>approach to suspending, varying and substituting regulatory requirements</w:t>
      </w:r>
      <w:r w:rsidR="00921BF5">
        <w:rPr>
          <w:rFonts w:cs="Open Sans"/>
          <w:color w:val="000000" w:themeColor="text1"/>
          <w:sz w:val="22"/>
          <w:szCs w:val="22"/>
        </w:rPr>
        <w:t>, depending on the particular emergency event.</w:t>
      </w:r>
      <w:r w:rsidR="00EA2343">
        <w:rPr>
          <w:rStyle w:val="EndnoteReference"/>
          <w:rFonts w:cs="Open Sans"/>
          <w:color w:val="000000" w:themeColor="text1"/>
          <w:szCs w:val="22"/>
        </w:rPr>
        <w:endnoteReference w:id="35"/>
      </w:r>
      <w:r w:rsidR="00921BF5">
        <w:rPr>
          <w:rFonts w:cs="Open Sans"/>
          <w:color w:val="000000" w:themeColor="text1"/>
          <w:sz w:val="22"/>
          <w:szCs w:val="22"/>
        </w:rPr>
        <w:t xml:space="preserve"> </w:t>
      </w:r>
    </w:p>
    <w:p w14:paraId="1379630B" w14:textId="3CC0591A" w:rsidR="00FF76FE" w:rsidRDefault="00FF76FE" w:rsidP="00B77561">
      <w:pPr>
        <w:pStyle w:val="ListNumber"/>
        <w:numPr>
          <w:ilvl w:val="0"/>
          <w:numId w:val="0"/>
        </w:numPr>
        <w:tabs>
          <w:tab w:val="left" w:pos="1418"/>
        </w:tabs>
        <w:spacing w:after="240"/>
        <w:ind w:left="1134"/>
        <w:rPr>
          <w:rFonts w:cs="Open Sans"/>
          <w:color w:val="000000" w:themeColor="text1"/>
          <w:sz w:val="22"/>
          <w:szCs w:val="22"/>
        </w:rPr>
      </w:pPr>
      <w:r>
        <w:rPr>
          <w:rFonts w:cs="Open Sans"/>
          <w:color w:val="000000" w:themeColor="text1"/>
          <w:sz w:val="22"/>
          <w:szCs w:val="22"/>
        </w:rPr>
        <w:t>…</w:t>
      </w:r>
    </w:p>
    <w:p w14:paraId="3A2719E8" w14:textId="734B4E0E" w:rsidR="00FF76FE" w:rsidRPr="00B77561" w:rsidRDefault="00FF76FE" w:rsidP="00B77561">
      <w:pPr>
        <w:pStyle w:val="ListNumber"/>
        <w:numPr>
          <w:ilvl w:val="0"/>
          <w:numId w:val="0"/>
        </w:numPr>
        <w:tabs>
          <w:tab w:val="left" w:pos="1418"/>
        </w:tabs>
        <w:spacing w:after="240"/>
        <w:ind w:left="1134"/>
        <w:rPr>
          <w:rFonts w:cs="Open Sans"/>
          <w:color w:val="000000" w:themeColor="text1"/>
          <w:sz w:val="22"/>
          <w:szCs w:val="22"/>
        </w:rPr>
      </w:pPr>
      <w:r>
        <w:rPr>
          <w:rFonts w:cs="Open Sans"/>
          <w:color w:val="000000" w:themeColor="text1"/>
          <w:sz w:val="22"/>
          <w:szCs w:val="22"/>
        </w:rPr>
        <w:t>It is intended to have beneficial application, in that it would make it easier for persons affected by a declared national emergency to obtain government support without having to complete, for instance, certain manner and form requirements, or requirements for official documents to be witnessed or provided.</w:t>
      </w:r>
      <w:r w:rsidR="00EA2343">
        <w:rPr>
          <w:rStyle w:val="EndnoteReference"/>
          <w:rFonts w:cs="Open Sans"/>
          <w:color w:val="000000" w:themeColor="text1"/>
          <w:szCs w:val="22"/>
        </w:rPr>
        <w:endnoteReference w:id="36"/>
      </w:r>
      <w:r>
        <w:rPr>
          <w:rFonts w:cs="Open Sans"/>
          <w:color w:val="000000" w:themeColor="text1"/>
          <w:sz w:val="22"/>
          <w:szCs w:val="22"/>
        </w:rPr>
        <w:t xml:space="preserve"> </w:t>
      </w:r>
    </w:p>
    <w:p w14:paraId="282AE2B4" w14:textId="2AFE5943" w:rsidR="00B77561" w:rsidRDefault="00C90A37" w:rsidP="002B10D8">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While</w:t>
      </w:r>
      <w:r w:rsidR="00921BF5">
        <w:rPr>
          <w:rFonts w:cs="Open Sans"/>
          <w:color w:val="000000" w:themeColor="text1"/>
        </w:rPr>
        <w:t xml:space="preserve"> acknowledging that </w:t>
      </w:r>
      <w:r w:rsidR="00645DAE">
        <w:rPr>
          <w:rFonts w:cs="Open Sans"/>
          <w:color w:val="000000" w:themeColor="text1"/>
        </w:rPr>
        <w:t>s </w:t>
      </w:r>
      <w:r w:rsidR="000C60D5">
        <w:rPr>
          <w:rFonts w:cs="Open Sans"/>
          <w:color w:val="000000" w:themeColor="text1"/>
        </w:rPr>
        <w:t>15</w:t>
      </w:r>
      <w:r w:rsidR="00CB2AC9">
        <w:rPr>
          <w:rFonts w:cs="Open Sans"/>
          <w:color w:val="000000" w:themeColor="text1"/>
        </w:rPr>
        <w:t>(2)</w:t>
      </w:r>
      <w:r w:rsidR="000C60D5">
        <w:rPr>
          <w:rFonts w:cs="Open Sans"/>
          <w:color w:val="000000" w:themeColor="text1"/>
        </w:rPr>
        <w:t xml:space="preserve"> of the Act </w:t>
      </w:r>
      <w:r w:rsidR="00921BF5">
        <w:rPr>
          <w:rFonts w:cs="Open Sans"/>
          <w:color w:val="000000" w:themeColor="text1"/>
        </w:rPr>
        <w:t xml:space="preserve">could be classified as a Henry VIII clause, </w:t>
      </w:r>
      <w:r w:rsidR="00415062">
        <w:rPr>
          <w:rFonts w:cs="Open Sans"/>
          <w:color w:val="000000" w:themeColor="text1"/>
        </w:rPr>
        <w:t xml:space="preserve">the </w:t>
      </w:r>
      <w:r w:rsidR="00190E4A">
        <w:rPr>
          <w:rFonts w:cs="Open Sans"/>
          <w:color w:val="000000" w:themeColor="text1"/>
        </w:rPr>
        <w:t xml:space="preserve">Revised </w:t>
      </w:r>
      <w:r w:rsidR="00415062">
        <w:rPr>
          <w:rFonts w:cs="Open Sans"/>
          <w:color w:val="000000" w:themeColor="text1"/>
        </w:rPr>
        <w:t xml:space="preserve">Explanatory Memorandum </w:t>
      </w:r>
      <w:r w:rsidR="0086134D">
        <w:rPr>
          <w:rFonts w:cs="Open Sans"/>
          <w:color w:val="000000" w:themeColor="text1"/>
        </w:rPr>
        <w:t>states</w:t>
      </w:r>
      <w:r w:rsidR="00CB2AC9">
        <w:rPr>
          <w:rFonts w:cs="Open Sans"/>
          <w:color w:val="000000" w:themeColor="text1"/>
        </w:rPr>
        <w:t xml:space="preserve"> that this is </w:t>
      </w:r>
      <w:r w:rsidR="00415062">
        <w:rPr>
          <w:rFonts w:cs="Open Sans"/>
          <w:color w:val="000000" w:themeColor="text1"/>
        </w:rPr>
        <w:t>justifie</w:t>
      </w:r>
      <w:r w:rsidR="00CB2AC9">
        <w:rPr>
          <w:rFonts w:cs="Open Sans"/>
          <w:color w:val="000000" w:themeColor="text1"/>
        </w:rPr>
        <w:t>d in the context of a national emergency declaration</w:t>
      </w:r>
      <w:r w:rsidR="00415062">
        <w:rPr>
          <w:rFonts w:cs="Open Sans"/>
          <w:color w:val="000000" w:themeColor="text1"/>
        </w:rPr>
        <w:t xml:space="preserve"> on the basis that it is limited by time</w:t>
      </w:r>
      <w:r w:rsidR="00271DE1">
        <w:rPr>
          <w:rFonts w:cs="Open Sans"/>
          <w:color w:val="000000" w:themeColor="text1"/>
        </w:rPr>
        <w:t xml:space="preserve">, targeted to facilitate the provision of support to the community and </w:t>
      </w:r>
      <w:r w:rsidR="000C60D5">
        <w:rPr>
          <w:rFonts w:cs="Open Sans"/>
          <w:color w:val="000000" w:themeColor="text1"/>
        </w:rPr>
        <w:t xml:space="preserve">is limited to </w:t>
      </w:r>
      <w:r w:rsidR="00645DAE">
        <w:rPr>
          <w:rFonts w:cs="Open Sans"/>
          <w:color w:val="000000" w:themeColor="text1"/>
        </w:rPr>
        <w:t xml:space="preserve">provisions dealing with </w:t>
      </w:r>
      <w:r w:rsidR="000C60D5">
        <w:rPr>
          <w:rFonts w:cs="Open Sans"/>
          <w:color w:val="000000" w:themeColor="text1"/>
        </w:rPr>
        <w:t xml:space="preserve">the list </w:t>
      </w:r>
      <w:r w:rsidR="00645DAE">
        <w:rPr>
          <w:rFonts w:cs="Open Sans"/>
          <w:color w:val="000000" w:themeColor="text1"/>
        </w:rPr>
        <w:t xml:space="preserve">of matters </w:t>
      </w:r>
      <w:r w:rsidR="000C60D5">
        <w:rPr>
          <w:rFonts w:cs="Open Sans"/>
          <w:color w:val="000000" w:themeColor="text1"/>
        </w:rPr>
        <w:t>specified in s 15(1) of the Act.</w:t>
      </w:r>
      <w:r w:rsidR="00D61B16">
        <w:rPr>
          <w:rStyle w:val="EndnoteReference"/>
          <w:rFonts w:cs="Open Sans"/>
          <w:color w:val="000000" w:themeColor="text1"/>
        </w:rPr>
        <w:endnoteReference w:id="37"/>
      </w:r>
      <w:r w:rsidR="000C60D5">
        <w:rPr>
          <w:rFonts w:cs="Open Sans"/>
          <w:color w:val="000000" w:themeColor="text1"/>
        </w:rPr>
        <w:t xml:space="preserve"> Th</w:t>
      </w:r>
      <w:r w:rsidR="00AE3CF4">
        <w:rPr>
          <w:rFonts w:cs="Open Sans"/>
          <w:color w:val="000000" w:themeColor="text1"/>
        </w:rPr>
        <w:t xml:space="preserve">e </w:t>
      </w:r>
      <w:r w:rsidR="00190E4A">
        <w:rPr>
          <w:rFonts w:cs="Open Sans"/>
          <w:color w:val="000000" w:themeColor="text1"/>
        </w:rPr>
        <w:t xml:space="preserve">Revised </w:t>
      </w:r>
      <w:r w:rsidR="00AE3CF4">
        <w:rPr>
          <w:rFonts w:cs="Open Sans"/>
          <w:color w:val="000000" w:themeColor="text1"/>
        </w:rPr>
        <w:t>Explanatory Memorandum provides that such power would not extend to any substantive provisions in the legislation.</w:t>
      </w:r>
      <w:r w:rsidR="008F341E">
        <w:rPr>
          <w:rStyle w:val="EndnoteReference"/>
          <w:rFonts w:cs="Open Sans"/>
          <w:color w:val="000000" w:themeColor="text1"/>
        </w:rPr>
        <w:endnoteReference w:id="38"/>
      </w:r>
      <w:r w:rsidR="00AE3CF4">
        <w:rPr>
          <w:rFonts w:cs="Open Sans"/>
          <w:color w:val="000000" w:themeColor="text1"/>
        </w:rPr>
        <w:t xml:space="preserve"> </w:t>
      </w:r>
    </w:p>
    <w:p w14:paraId="078BA71F" w14:textId="4575780C" w:rsidR="007353DC" w:rsidRPr="00695329" w:rsidRDefault="00693617" w:rsidP="00E05F1D">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w:t>
      </w:r>
      <w:r w:rsidR="007353DC">
        <w:rPr>
          <w:rFonts w:cs="Open Sans"/>
          <w:color w:val="000000" w:themeColor="text1"/>
        </w:rPr>
        <w:t>he purpose of th</w:t>
      </w:r>
      <w:r w:rsidR="002D3CD7">
        <w:rPr>
          <w:rFonts w:cs="Open Sans"/>
          <w:color w:val="000000" w:themeColor="text1"/>
        </w:rPr>
        <w:t>e retrospective application of a Minister’s determination</w:t>
      </w:r>
      <w:r w:rsidR="007353DC">
        <w:rPr>
          <w:rFonts w:cs="Open Sans"/>
          <w:color w:val="000000" w:themeColor="text1"/>
        </w:rPr>
        <w:t xml:space="preserve"> is</w:t>
      </w:r>
      <w:r>
        <w:rPr>
          <w:rFonts w:cs="Open Sans"/>
          <w:color w:val="000000" w:themeColor="text1"/>
        </w:rPr>
        <w:t xml:space="preserve"> explained to be</w:t>
      </w:r>
      <w:r w:rsidR="007353DC">
        <w:rPr>
          <w:rFonts w:cs="Open Sans"/>
          <w:color w:val="000000" w:themeColor="text1"/>
        </w:rPr>
        <w:t xml:space="preserve"> to</w:t>
      </w:r>
      <w:r w:rsidR="00EA2343">
        <w:rPr>
          <w:rFonts w:cs="Open Sans"/>
          <w:color w:val="000000" w:themeColor="text1"/>
        </w:rPr>
        <w:t xml:space="preserve"> validate approaches to </w:t>
      </w:r>
      <w:r>
        <w:rPr>
          <w:rFonts w:cs="Open Sans"/>
          <w:color w:val="000000" w:themeColor="text1"/>
        </w:rPr>
        <w:t>manner and form</w:t>
      </w:r>
      <w:r w:rsidRPr="00693617">
        <w:rPr>
          <w:rFonts w:cs="Open Sans"/>
          <w:color w:val="000000" w:themeColor="text1"/>
        </w:rPr>
        <w:t xml:space="preserve"> </w:t>
      </w:r>
      <w:r w:rsidR="00EA2343" w:rsidRPr="00693617">
        <w:rPr>
          <w:rFonts w:cs="Open Sans"/>
          <w:color w:val="000000" w:themeColor="text1"/>
        </w:rPr>
        <w:lastRenderedPageBreak/>
        <w:t>requirements</w:t>
      </w:r>
      <w:r>
        <w:rPr>
          <w:rFonts w:cs="Open Sans"/>
          <w:color w:val="000000" w:themeColor="text1"/>
        </w:rPr>
        <w:t>, verification of identity requirements and reporting requirements</w:t>
      </w:r>
      <w:r w:rsidR="00EA2343">
        <w:rPr>
          <w:rFonts w:cs="Open Sans"/>
          <w:color w:val="000000" w:themeColor="text1"/>
        </w:rPr>
        <w:t xml:space="preserve"> which, in the immediate aftermath of an emergency, </w:t>
      </w:r>
      <w:r>
        <w:rPr>
          <w:rFonts w:cs="Open Sans"/>
          <w:color w:val="000000" w:themeColor="text1"/>
        </w:rPr>
        <w:t xml:space="preserve">may </w:t>
      </w:r>
      <w:r w:rsidR="00EA2343" w:rsidRPr="00DE1050">
        <w:rPr>
          <w:rFonts w:cs="Open Sans"/>
          <w:color w:val="000000" w:themeColor="text1"/>
        </w:rPr>
        <w:t>otherwise have been invalid.</w:t>
      </w:r>
      <w:r w:rsidR="0071298A" w:rsidRPr="00DE1050">
        <w:rPr>
          <w:rStyle w:val="EndnoteReference"/>
          <w:rFonts w:cs="Open Sans"/>
          <w:color w:val="000000" w:themeColor="text1"/>
        </w:rPr>
        <w:endnoteReference w:id="39"/>
      </w:r>
      <w:r w:rsidR="00390CE2" w:rsidRPr="00695329">
        <w:rPr>
          <w:rFonts w:cs="Open Sans"/>
          <w:color w:val="000000" w:themeColor="text1"/>
        </w:rPr>
        <w:t xml:space="preserve"> </w:t>
      </w:r>
    </w:p>
    <w:p w14:paraId="5C6DF950" w14:textId="6B4F7BD5" w:rsidR="007709F5" w:rsidRPr="00143648" w:rsidRDefault="007709F5" w:rsidP="007709F5">
      <w:pPr>
        <w:pStyle w:val="ListNumber"/>
        <w:numPr>
          <w:ilvl w:val="0"/>
          <w:numId w:val="3"/>
        </w:numPr>
        <w:tabs>
          <w:tab w:val="num" w:pos="993"/>
          <w:tab w:val="left" w:pos="1418"/>
        </w:tabs>
        <w:spacing w:after="240"/>
        <w:ind w:left="709" w:hanging="567"/>
        <w:rPr>
          <w:rFonts w:cs="Open Sans"/>
          <w:color w:val="000000" w:themeColor="text1"/>
        </w:rPr>
      </w:pPr>
      <w:r w:rsidRPr="00143648">
        <w:rPr>
          <w:rFonts w:cs="Open Sans"/>
          <w:color w:val="000000" w:themeColor="text1"/>
        </w:rPr>
        <w:t xml:space="preserve">By s 17 of the Act, if the powers and functions under the national emergency laws listed in s 10 are exercised during the period in which a national emergency declaration is in force, the Minister responsible for administering the relevant national emergency law must prepare a report detailing the powers that have been exercised under the national emergency law and provide it to the Minister administering this Act, who must table the report in each House of Parliament as soon as practicable. </w:t>
      </w:r>
    </w:p>
    <w:p w14:paraId="06BF34D4" w14:textId="7B0CC825" w:rsidR="0086134D" w:rsidRPr="000132E7" w:rsidRDefault="00221816" w:rsidP="00E05F1D">
      <w:pPr>
        <w:pStyle w:val="ListNumber"/>
        <w:numPr>
          <w:ilvl w:val="0"/>
          <w:numId w:val="3"/>
        </w:numPr>
        <w:tabs>
          <w:tab w:val="num" w:pos="993"/>
          <w:tab w:val="left" w:pos="1418"/>
        </w:tabs>
        <w:spacing w:after="240"/>
        <w:ind w:left="709" w:hanging="567"/>
        <w:rPr>
          <w:rFonts w:cs="Open Sans"/>
          <w:color w:val="000000" w:themeColor="text1"/>
        </w:rPr>
      </w:pPr>
      <w:r w:rsidRPr="00DE1050">
        <w:rPr>
          <w:rFonts w:cs="Open Sans"/>
          <w:color w:val="000000" w:themeColor="text1"/>
        </w:rPr>
        <w:t>In general, the Commission</w:t>
      </w:r>
      <w:r w:rsidRPr="001E1255">
        <w:rPr>
          <w:rFonts w:cs="Open Sans"/>
          <w:color w:val="000000" w:themeColor="text1"/>
        </w:rPr>
        <w:t xml:space="preserve"> consider</w:t>
      </w:r>
      <w:r w:rsidRPr="000132E7">
        <w:rPr>
          <w:rFonts w:cs="Open Sans"/>
          <w:color w:val="000000" w:themeColor="text1"/>
        </w:rPr>
        <w:t xml:space="preserve">s </w:t>
      </w:r>
      <w:r w:rsidRPr="00695329">
        <w:rPr>
          <w:rFonts w:cs="Open Sans"/>
          <w:color w:val="000000" w:themeColor="text1"/>
        </w:rPr>
        <w:t xml:space="preserve">that Henry VIII clauses should be avoided </w:t>
      </w:r>
      <w:r w:rsidR="001E1255">
        <w:rPr>
          <w:rFonts w:cs="Open Sans"/>
          <w:color w:val="000000" w:themeColor="text1"/>
        </w:rPr>
        <w:t>unless there is</w:t>
      </w:r>
      <w:r w:rsidR="00295561" w:rsidRPr="001E1255">
        <w:rPr>
          <w:rFonts w:cs="Open Sans"/>
          <w:color w:val="000000" w:themeColor="text1"/>
        </w:rPr>
        <w:t xml:space="preserve"> sufficient justification</w:t>
      </w:r>
      <w:r w:rsidR="007709F5" w:rsidRPr="001E1255">
        <w:rPr>
          <w:rFonts w:cs="Open Sans"/>
          <w:color w:val="000000" w:themeColor="text1"/>
        </w:rPr>
        <w:t>,</w:t>
      </w:r>
      <w:r w:rsidR="00295561" w:rsidRPr="001E1255">
        <w:rPr>
          <w:rFonts w:cs="Open Sans"/>
          <w:color w:val="000000" w:themeColor="text1"/>
        </w:rPr>
        <w:t xml:space="preserve"> </w:t>
      </w:r>
      <w:r w:rsidRPr="001E1255">
        <w:rPr>
          <w:rFonts w:cs="Open Sans"/>
          <w:color w:val="000000" w:themeColor="text1"/>
        </w:rPr>
        <w:t xml:space="preserve">to ensure </w:t>
      </w:r>
      <w:r w:rsidR="00295561" w:rsidRPr="001E1255">
        <w:rPr>
          <w:rFonts w:cs="Open Sans"/>
          <w:color w:val="000000" w:themeColor="text1"/>
        </w:rPr>
        <w:t xml:space="preserve">that </w:t>
      </w:r>
      <w:r w:rsidRPr="001E1255">
        <w:rPr>
          <w:rFonts w:cs="Open Sans"/>
          <w:color w:val="000000" w:themeColor="text1"/>
        </w:rPr>
        <w:t xml:space="preserve">primary legislation is not overridden by the Executive without the </w:t>
      </w:r>
      <w:r w:rsidRPr="000132E7">
        <w:rPr>
          <w:rFonts w:cs="Open Sans"/>
          <w:color w:val="000000" w:themeColor="text1"/>
        </w:rPr>
        <w:t>appropriate</w:t>
      </w:r>
      <w:r w:rsidRPr="00695329">
        <w:rPr>
          <w:rFonts w:cs="Open Sans"/>
          <w:color w:val="000000" w:themeColor="text1"/>
        </w:rPr>
        <w:t xml:space="preserve"> parliamentary oversight and scrutiny.</w:t>
      </w:r>
      <w:r w:rsidRPr="00DE1050">
        <w:rPr>
          <w:rFonts w:cs="Open Sans"/>
          <w:color w:val="000000" w:themeColor="text1"/>
        </w:rPr>
        <w:t xml:space="preserve"> The</w:t>
      </w:r>
      <w:r w:rsidRPr="001E1255">
        <w:rPr>
          <w:rFonts w:cs="Open Sans"/>
          <w:color w:val="000000" w:themeColor="text1"/>
        </w:rPr>
        <w:t xml:space="preserve"> Commission accepts that, </w:t>
      </w:r>
      <w:r w:rsidRPr="000132E7">
        <w:rPr>
          <w:rFonts w:cs="Open Sans"/>
          <w:color w:val="000000" w:themeColor="text1"/>
        </w:rPr>
        <w:t>i</w:t>
      </w:r>
      <w:r w:rsidRPr="00695329">
        <w:rPr>
          <w:rFonts w:cs="Open Sans"/>
          <w:color w:val="000000" w:themeColor="text1"/>
        </w:rPr>
        <w:t xml:space="preserve">n the context of a national emergency, </w:t>
      </w:r>
      <w:r w:rsidR="00295561" w:rsidRPr="00695329">
        <w:rPr>
          <w:rFonts w:cs="Open Sans"/>
          <w:color w:val="000000" w:themeColor="text1"/>
        </w:rPr>
        <w:t>compliance</w:t>
      </w:r>
      <w:r w:rsidR="00A735CB">
        <w:rPr>
          <w:rFonts w:cs="Open Sans"/>
          <w:color w:val="000000" w:themeColor="text1"/>
        </w:rPr>
        <w:t xml:space="preserve"> by the public</w:t>
      </w:r>
      <w:r w:rsidR="00C53E8B">
        <w:rPr>
          <w:rFonts w:cs="Open Sans"/>
          <w:color w:val="000000" w:themeColor="text1"/>
        </w:rPr>
        <w:t xml:space="preserve"> </w:t>
      </w:r>
      <w:r w:rsidR="00295561" w:rsidRPr="00695329">
        <w:rPr>
          <w:rFonts w:cs="Open Sans"/>
          <w:color w:val="000000" w:themeColor="text1"/>
        </w:rPr>
        <w:t xml:space="preserve">with </w:t>
      </w:r>
      <w:r w:rsidRPr="00DE1050">
        <w:rPr>
          <w:rFonts w:cs="Open Sans"/>
          <w:color w:val="000000" w:themeColor="text1"/>
        </w:rPr>
        <w:t xml:space="preserve">legislative requirements of manner and form, verification of </w:t>
      </w:r>
      <w:r w:rsidRPr="001E1255">
        <w:rPr>
          <w:rFonts w:cs="Open Sans"/>
          <w:color w:val="000000" w:themeColor="text1"/>
        </w:rPr>
        <w:t>identit</w:t>
      </w:r>
      <w:r w:rsidRPr="000132E7">
        <w:rPr>
          <w:rFonts w:cs="Open Sans"/>
          <w:color w:val="000000" w:themeColor="text1"/>
        </w:rPr>
        <w:t xml:space="preserve">y and reporting </w:t>
      </w:r>
      <w:r w:rsidRPr="00695329">
        <w:rPr>
          <w:rFonts w:cs="Open Sans"/>
          <w:color w:val="000000" w:themeColor="text1"/>
        </w:rPr>
        <w:t xml:space="preserve">may </w:t>
      </w:r>
      <w:r w:rsidR="00295561" w:rsidRPr="00695329">
        <w:rPr>
          <w:rFonts w:cs="Open Sans"/>
          <w:color w:val="000000" w:themeColor="text1"/>
        </w:rPr>
        <w:t>be difficult</w:t>
      </w:r>
      <w:r w:rsidRPr="00695329">
        <w:rPr>
          <w:rFonts w:cs="Open Sans"/>
          <w:color w:val="000000" w:themeColor="text1"/>
        </w:rPr>
        <w:t xml:space="preserve">. </w:t>
      </w:r>
      <w:r w:rsidR="001E1255">
        <w:rPr>
          <w:rFonts w:cs="Open Sans"/>
          <w:color w:val="000000" w:themeColor="text1"/>
        </w:rPr>
        <w:t xml:space="preserve">This was evidenced in the COVID-19 </w:t>
      </w:r>
      <w:r w:rsidR="00A735CB">
        <w:rPr>
          <w:rFonts w:cs="Open Sans"/>
          <w:color w:val="000000" w:themeColor="text1"/>
        </w:rPr>
        <w:t xml:space="preserve">response </w:t>
      </w:r>
      <w:r w:rsidR="001E1255">
        <w:rPr>
          <w:rFonts w:cs="Open Sans"/>
          <w:color w:val="000000" w:themeColor="text1"/>
        </w:rPr>
        <w:t xml:space="preserve">during 2020. </w:t>
      </w:r>
      <w:r w:rsidRPr="001E1255">
        <w:rPr>
          <w:rFonts w:cs="Open Sans"/>
          <w:color w:val="000000" w:themeColor="text1"/>
        </w:rPr>
        <w:t>It may also be difficult in the circumstances of a national emergency for Parliament to sit for extended periods to address such issues</w:t>
      </w:r>
      <w:r w:rsidRPr="00695329">
        <w:rPr>
          <w:rFonts w:cs="Open Sans"/>
          <w:color w:val="000000" w:themeColor="text1"/>
        </w:rPr>
        <w:t xml:space="preserve">. </w:t>
      </w:r>
      <w:r w:rsidR="006A3BFD">
        <w:rPr>
          <w:rFonts w:cs="Open Sans"/>
          <w:color w:val="000000" w:themeColor="text1"/>
        </w:rPr>
        <w:t>The Commission also acknowledges that</w:t>
      </w:r>
      <w:r w:rsidR="001E1255">
        <w:rPr>
          <w:rFonts w:cs="Open Sans"/>
          <w:color w:val="000000" w:themeColor="text1"/>
        </w:rPr>
        <w:t xml:space="preserve"> some degree of oversight is included in the Act through the requirement for </w:t>
      </w:r>
      <w:r w:rsidR="006A3BFD">
        <w:rPr>
          <w:rFonts w:cs="Open Sans"/>
          <w:color w:val="000000" w:themeColor="text1"/>
        </w:rPr>
        <w:t xml:space="preserve">Ministers </w:t>
      </w:r>
      <w:r w:rsidR="001E1255">
        <w:rPr>
          <w:rFonts w:cs="Open Sans"/>
          <w:color w:val="000000" w:themeColor="text1"/>
        </w:rPr>
        <w:t>to report their use of these powers which are then</w:t>
      </w:r>
      <w:r w:rsidR="006A3BFD">
        <w:rPr>
          <w:rFonts w:cs="Open Sans"/>
          <w:color w:val="000000" w:themeColor="text1"/>
        </w:rPr>
        <w:t xml:space="preserve"> to be tabled in Parliament</w:t>
      </w:r>
      <w:r w:rsidR="005D43D0">
        <w:rPr>
          <w:rFonts w:cs="Open Sans"/>
          <w:color w:val="000000" w:themeColor="text1"/>
        </w:rPr>
        <w:t>. H</w:t>
      </w:r>
      <w:r w:rsidR="006A3BFD">
        <w:rPr>
          <w:rFonts w:cs="Open Sans"/>
          <w:color w:val="000000" w:themeColor="text1"/>
        </w:rPr>
        <w:t>owever</w:t>
      </w:r>
      <w:r w:rsidR="005D43D0">
        <w:rPr>
          <w:rFonts w:cs="Open Sans"/>
          <w:color w:val="000000" w:themeColor="text1"/>
        </w:rPr>
        <w:t>,</w:t>
      </w:r>
      <w:r w:rsidR="006A3BFD">
        <w:rPr>
          <w:rFonts w:cs="Open Sans"/>
          <w:color w:val="000000" w:themeColor="text1"/>
        </w:rPr>
        <w:t xml:space="preserve"> </w:t>
      </w:r>
      <w:r w:rsidR="00516D94">
        <w:rPr>
          <w:rFonts w:cs="Open Sans"/>
          <w:color w:val="000000" w:themeColor="text1"/>
        </w:rPr>
        <w:t>s 15 of the Act</w:t>
      </w:r>
      <w:r w:rsidR="005D43D0" w:rsidRPr="00987BB3">
        <w:rPr>
          <w:rFonts w:cs="Open Sans"/>
          <w:color w:val="000000" w:themeColor="text1"/>
        </w:rPr>
        <w:t xml:space="preserve"> </w:t>
      </w:r>
      <w:r w:rsidR="005D43D0">
        <w:rPr>
          <w:rFonts w:cs="Open Sans"/>
          <w:color w:val="000000" w:themeColor="text1"/>
        </w:rPr>
        <w:t>confers</w:t>
      </w:r>
      <w:r w:rsidR="005D43D0" w:rsidRPr="00987BB3">
        <w:rPr>
          <w:rFonts w:cs="Open Sans"/>
          <w:color w:val="000000" w:themeColor="text1"/>
        </w:rPr>
        <w:t xml:space="preserve"> significant power </w:t>
      </w:r>
      <w:r w:rsidR="005D43D0">
        <w:rPr>
          <w:rFonts w:cs="Open Sans"/>
          <w:color w:val="000000" w:themeColor="text1"/>
        </w:rPr>
        <w:t>on</w:t>
      </w:r>
      <w:r w:rsidR="005D43D0" w:rsidRPr="00987BB3">
        <w:rPr>
          <w:rFonts w:cs="Open Sans"/>
          <w:color w:val="000000" w:themeColor="text1"/>
        </w:rPr>
        <w:t xml:space="preserve"> Ministers to</w:t>
      </w:r>
      <w:r w:rsidR="005D43D0">
        <w:rPr>
          <w:rFonts w:cs="Open Sans"/>
          <w:color w:val="000000" w:themeColor="text1"/>
        </w:rPr>
        <w:t xml:space="preserve"> make</w:t>
      </w:r>
      <w:r w:rsidR="005D43D0" w:rsidRPr="00987BB3">
        <w:rPr>
          <w:rFonts w:cs="Open Sans"/>
          <w:color w:val="000000" w:themeColor="text1"/>
        </w:rPr>
        <w:t xml:space="preserve"> determinations which override the operation of primary legislation </w:t>
      </w:r>
      <w:r w:rsidR="005D43D0">
        <w:rPr>
          <w:rFonts w:cs="Open Sans"/>
          <w:color w:val="000000" w:themeColor="text1"/>
        </w:rPr>
        <w:t xml:space="preserve">they administer </w:t>
      </w:r>
      <w:r w:rsidR="005D43D0" w:rsidRPr="00987BB3">
        <w:rPr>
          <w:rFonts w:cs="Open Sans"/>
          <w:color w:val="000000" w:themeColor="text1"/>
        </w:rPr>
        <w:t xml:space="preserve">without </w:t>
      </w:r>
      <w:r w:rsidR="005D43D0">
        <w:rPr>
          <w:rFonts w:cs="Open Sans"/>
          <w:color w:val="000000" w:themeColor="text1"/>
        </w:rPr>
        <w:t>the usual consideration or scrutiny of</w:t>
      </w:r>
      <w:r w:rsidR="005D43D0" w:rsidRPr="00987BB3">
        <w:rPr>
          <w:rFonts w:cs="Open Sans"/>
          <w:color w:val="000000" w:themeColor="text1"/>
        </w:rPr>
        <w:t xml:space="preserve"> Parliament</w:t>
      </w:r>
      <w:r w:rsidR="005D43D0">
        <w:rPr>
          <w:rFonts w:cs="Open Sans"/>
          <w:color w:val="000000" w:themeColor="text1"/>
        </w:rPr>
        <w:t xml:space="preserve"> and </w:t>
      </w:r>
      <w:r w:rsidR="006A3BFD">
        <w:rPr>
          <w:rFonts w:cs="Open Sans"/>
          <w:color w:val="000000" w:themeColor="text1"/>
        </w:rPr>
        <w:t xml:space="preserve">the Commission considers that further protections should be introduced to assist in ensuring that these powers are not misused or overused. </w:t>
      </w:r>
    </w:p>
    <w:p w14:paraId="4336844A" w14:textId="634E8573" w:rsidR="005D43D0" w:rsidRDefault="005D43D0" w:rsidP="005D43D0">
      <w:pPr>
        <w:pStyle w:val="ListNumber"/>
        <w:numPr>
          <w:ilvl w:val="0"/>
          <w:numId w:val="3"/>
        </w:numPr>
        <w:tabs>
          <w:tab w:val="num" w:pos="993"/>
          <w:tab w:val="left" w:pos="1418"/>
        </w:tabs>
        <w:spacing w:after="240"/>
        <w:ind w:left="709" w:hanging="567"/>
        <w:rPr>
          <w:rFonts w:cs="Open Sans"/>
          <w:color w:val="000000" w:themeColor="text1"/>
        </w:rPr>
      </w:pPr>
      <w:r w:rsidRPr="000132E7">
        <w:rPr>
          <w:rFonts w:cs="Open Sans"/>
          <w:color w:val="000000" w:themeColor="text1"/>
        </w:rPr>
        <w:t xml:space="preserve">Currently, s 15 would operate during the period of a national emergency declaration regardless of the impact of the emergency on Parliament. That is, Ministers are empowered to make determinations under the Act overriding the operation of primary legislation even </w:t>
      </w:r>
      <w:r w:rsidRPr="001E1255">
        <w:rPr>
          <w:rFonts w:cs="Open Sans"/>
          <w:color w:val="000000" w:themeColor="text1"/>
        </w:rPr>
        <w:t xml:space="preserve">where Parliament is not </w:t>
      </w:r>
      <w:r w:rsidRPr="00381C33">
        <w:rPr>
          <w:rFonts w:cs="Open Sans"/>
          <w:color w:val="000000" w:themeColor="text1"/>
        </w:rPr>
        <w:t xml:space="preserve">affected </w:t>
      </w:r>
      <w:r w:rsidRPr="000132E7">
        <w:rPr>
          <w:rFonts w:cs="Open Sans"/>
          <w:color w:val="000000" w:themeColor="text1"/>
        </w:rPr>
        <w:t xml:space="preserve">by the national emergency and may be fully operational. The Commission considers that the operation of s 15 should be </w:t>
      </w:r>
      <w:r w:rsidR="0014232A">
        <w:rPr>
          <w:rFonts w:cs="Open Sans"/>
          <w:color w:val="000000" w:themeColor="text1"/>
        </w:rPr>
        <w:t xml:space="preserve">conditioned on circumstances preventing </w:t>
      </w:r>
      <w:r w:rsidR="002C453E">
        <w:rPr>
          <w:rFonts w:cs="Open Sans"/>
          <w:color w:val="000000" w:themeColor="text1"/>
        </w:rPr>
        <w:t>P</w:t>
      </w:r>
      <w:r w:rsidR="0014232A">
        <w:rPr>
          <w:rFonts w:cs="Open Sans"/>
          <w:color w:val="000000" w:themeColor="text1"/>
        </w:rPr>
        <w:t xml:space="preserve">arliament from sitting to consider </w:t>
      </w:r>
      <w:r w:rsidR="00E3281F">
        <w:rPr>
          <w:rFonts w:cs="Open Sans"/>
          <w:color w:val="000000" w:themeColor="text1"/>
        </w:rPr>
        <w:t>such matters during a national emergency</w:t>
      </w:r>
      <w:r w:rsidR="00B26B92">
        <w:rPr>
          <w:rFonts w:cs="Open Sans"/>
          <w:color w:val="000000" w:themeColor="text1"/>
        </w:rPr>
        <w:t xml:space="preserve"> within a reasonable time after the date on which the declaration is made</w:t>
      </w:r>
      <w:r w:rsidR="00E3281F">
        <w:rPr>
          <w:rFonts w:cs="Open Sans"/>
          <w:color w:val="000000" w:themeColor="text1"/>
        </w:rPr>
        <w:t xml:space="preserve">. </w:t>
      </w:r>
      <w:r w:rsidR="001857AC">
        <w:rPr>
          <w:rFonts w:cs="Open Sans"/>
          <w:color w:val="000000" w:themeColor="text1"/>
        </w:rPr>
        <w:t xml:space="preserve">Such an approach </w:t>
      </w:r>
      <w:r w:rsidR="00B26B92">
        <w:rPr>
          <w:rFonts w:cs="Open Sans"/>
          <w:color w:val="000000" w:themeColor="text1"/>
        </w:rPr>
        <w:t xml:space="preserve">would </w:t>
      </w:r>
      <w:r w:rsidR="001857AC">
        <w:rPr>
          <w:rFonts w:cs="Open Sans"/>
          <w:color w:val="000000" w:themeColor="text1"/>
        </w:rPr>
        <w:t>ensure that, where a national emergency declaration does not prevent Parliament from sitting, Ministers are not afforded such significant power to override primary legislation by determination.</w:t>
      </w:r>
    </w:p>
    <w:p w14:paraId="68D76D93" w14:textId="7671CD4C" w:rsidR="00381C33" w:rsidRPr="00143648" w:rsidRDefault="000D53D2" w:rsidP="00143648">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lastRenderedPageBreak/>
        <w:t>In addition, t</w:t>
      </w:r>
      <w:r w:rsidR="00381C33">
        <w:rPr>
          <w:rFonts w:cs="Open Sans"/>
          <w:color w:val="000000" w:themeColor="text1"/>
        </w:rPr>
        <w:t xml:space="preserve">he Commission considers that </w:t>
      </w:r>
      <w:r w:rsidR="00BD03BB">
        <w:rPr>
          <w:rFonts w:cs="Open Sans"/>
          <w:color w:val="000000" w:themeColor="text1"/>
        </w:rPr>
        <w:t>p</w:t>
      </w:r>
      <w:r w:rsidR="00381C33">
        <w:rPr>
          <w:rFonts w:cs="Open Sans"/>
          <w:color w:val="000000" w:themeColor="text1"/>
        </w:rPr>
        <w:t xml:space="preserve">arliamentary scrutiny in the period of a national emergency could be achieved through the establishment of a specialised committee upon the declaration </w:t>
      </w:r>
      <w:r>
        <w:rPr>
          <w:rFonts w:cs="Open Sans"/>
          <w:color w:val="000000" w:themeColor="text1"/>
        </w:rPr>
        <w:t xml:space="preserve">of a national emergency </w:t>
      </w:r>
      <w:r w:rsidR="00381C33">
        <w:rPr>
          <w:rFonts w:cs="Open Sans"/>
          <w:color w:val="000000" w:themeColor="text1"/>
        </w:rPr>
        <w:t xml:space="preserve">by the Governor-General. </w:t>
      </w:r>
      <w:r w:rsidR="00BD03BB">
        <w:rPr>
          <w:rFonts w:cs="Open Sans"/>
          <w:color w:val="000000" w:themeColor="text1"/>
        </w:rPr>
        <w:t xml:space="preserve">The focus of such a committee </w:t>
      </w:r>
      <w:r w:rsidR="00BD03BB">
        <w:rPr>
          <w:lang w:val="en-GB"/>
        </w:rPr>
        <w:t>would be on the exercise of emergency powers under the Act</w:t>
      </w:r>
      <w:r w:rsidR="00F66BD6">
        <w:rPr>
          <w:lang w:val="en-GB"/>
        </w:rPr>
        <w:t>, including s 15 of the Act,</w:t>
      </w:r>
      <w:r w:rsidR="00BD03BB">
        <w:rPr>
          <w:rFonts w:cs="Open Sans"/>
          <w:color w:val="000000" w:themeColor="text1"/>
        </w:rPr>
        <w:t xml:space="preserve"> and could provide an avenue by which parliamentary oversight and scrutiny </w:t>
      </w:r>
      <w:r w:rsidR="00895F9E">
        <w:rPr>
          <w:rFonts w:cs="Open Sans"/>
          <w:color w:val="000000" w:themeColor="text1"/>
        </w:rPr>
        <w:t xml:space="preserve">are </w:t>
      </w:r>
      <w:r w:rsidR="00BD03BB">
        <w:rPr>
          <w:rFonts w:cs="Open Sans"/>
          <w:color w:val="000000" w:themeColor="text1"/>
        </w:rPr>
        <w:t xml:space="preserve">retained in emergency situations, even during periods where Parliament has been affected by the emergency. </w:t>
      </w:r>
      <w:r w:rsidR="00381C33">
        <w:rPr>
          <w:rFonts w:cs="Open Sans"/>
          <w:color w:val="000000" w:themeColor="text1"/>
        </w:rPr>
        <w:t xml:space="preserve">The establishment and operation of </w:t>
      </w:r>
      <w:r w:rsidR="009405BA">
        <w:rPr>
          <w:rFonts w:cs="Open Sans"/>
          <w:color w:val="000000" w:themeColor="text1"/>
        </w:rPr>
        <w:t>the</w:t>
      </w:r>
      <w:r w:rsidR="00C53E8B">
        <w:rPr>
          <w:rFonts w:cs="Open Sans"/>
          <w:color w:val="000000" w:themeColor="text1"/>
        </w:rPr>
        <w:t xml:space="preserve"> </w:t>
      </w:r>
      <w:r w:rsidR="00381C33">
        <w:rPr>
          <w:rFonts w:cs="Open Sans"/>
          <w:color w:val="000000" w:themeColor="text1"/>
        </w:rPr>
        <w:t>Senate Select Committee on COVID-19 has</w:t>
      </w:r>
      <w:r>
        <w:rPr>
          <w:rFonts w:cs="Open Sans"/>
          <w:color w:val="000000" w:themeColor="text1"/>
        </w:rPr>
        <w:t xml:space="preserve"> provided </w:t>
      </w:r>
      <w:r w:rsidR="00BD03BB">
        <w:rPr>
          <w:rFonts w:cs="Open Sans"/>
          <w:color w:val="000000" w:themeColor="text1"/>
        </w:rPr>
        <w:t xml:space="preserve">a useful example of how such a committee could operate. </w:t>
      </w:r>
    </w:p>
    <w:p w14:paraId="347D9BC8" w14:textId="77777777" w:rsidR="00212C73" w:rsidRDefault="00212C73" w:rsidP="00C80BE7">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t>Recommendation 3</w:t>
      </w:r>
    </w:p>
    <w:p w14:paraId="3D41673B" w14:textId="3C9B3DB1" w:rsidR="00190AFF" w:rsidRDefault="00190AFF" w:rsidP="00190AFF">
      <w:pPr>
        <w:pStyle w:val="ListNumber"/>
        <w:numPr>
          <w:ilvl w:val="0"/>
          <w:numId w:val="0"/>
        </w:numPr>
        <w:tabs>
          <w:tab w:val="left" w:pos="1418"/>
        </w:tabs>
        <w:spacing w:after="240"/>
        <w:ind w:left="709"/>
      </w:pPr>
      <w:r w:rsidRPr="001857AC">
        <w:rPr>
          <w:rFonts w:cs="Open Sans"/>
          <w:color w:val="000000" w:themeColor="text1"/>
        </w:rPr>
        <w:t xml:space="preserve">Section 15 of the Act should be amended to include a condition that, before a Minister is able to make a determination </w:t>
      </w:r>
      <w:r>
        <w:rPr>
          <w:rFonts w:cs="Open Sans"/>
          <w:color w:val="000000" w:themeColor="text1"/>
        </w:rPr>
        <w:t>under s 15</w:t>
      </w:r>
      <w:r w:rsidRPr="001857AC">
        <w:rPr>
          <w:rFonts w:cs="Open Sans"/>
          <w:color w:val="000000" w:themeColor="text1"/>
        </w:rPr>
        <w:t>, the Minister must be satisfied that, by reason of the emergency, Parliament is unable to sit within a reasonable time</w:t>
      </w:r>
      <w:r>
        <w:rPr>
          <w:rFonts w:cs="Open Sans"/>
          <w:color w:val="000000" w:themeColor="text1"/>
        </w:rPr>
        <w:t xml:space="preserve"> of the commencement of the national emergency declaration</w:t>
      </w:r>
      <w:r w:rsidRPr="001857AC">
        <w:rPr>
          <w:rFonts w:cs="Open Sans"/>
          <w:color w:val="000000" w:themeColor="text1"/>
        </w:rPr>
        <w:t xml:space="preserve">. </w:t>
      </w:r>
      <w:r w:rsidR="00273415">
        <w:rPr>
          <w:rFonts w:cs="Open Sans"/>
          <w:color w:val="000000" w:themeColor="text1"/>
        </w:rPr>
        <w:t xml:space="preserve">It should also be amended to </w:t>
      </w:r>
      <w:r w:rsidR="00273415">
        <w:t>make clear that any exercise of this power by a Minister must be proportionate to the demonstrated need resulting from the emergency.</w:t>
      </w:r>
    </w:p>
    <w:p w14:paraId="7CFE084D" w14:textId="6B21019E" w:rsidR="00F66BD6" w:rsidRPr="00143648" w:rsidRDefault="00F66BD6" w:rsidP="00190AFF">
      <w:pPr>
        <w:pStyle w:val="ListNumber"/>
        <w:numPr>
          <w:ilvl w:val="0"/>
          <w:numId w:val="0"/>
        </w:numPr>
        <w:tabs>
          <w:tab w:val="left" w:pos="1418"/>
        </w:tabs>
        <w:spacing w:after="240"/>
        <w:ind w:left="709"/>
        <w:rPr>
          <w:b/>
          <w:bCs/>
        </w:rPr>
      </w:pPr>
      <w:r w:rsidRPr="00143648">
        <w:rPr>
          <w:b/>
          <w:bCs/>
        </w:rPr>
        <w:t>Recommendation 4</w:t>
      </w:r>
    </w:p>
    <w:p w14:paraId="6C4804E7" w14:textId="03D85FC0" w:rsidR="00F66BD6" w:rsidRDefault="009405BA" w:rsidP="00190AFF">
      <w:pPr>
        <w:pStyle w:val="ListNumber"/>
        <w:numPr>
          <w:ilvl w:val="0"/>
          <w:numId w:val="0"/>
        </w:numPr>
        <w:tabs>
          <w:tab w:val="left" w:pos="1418"/>
        </w:tabs>
        <w:spacing w:after="240"/>
        <w:ind w:left="709"/>
      </w:pPr>
      <w:r>
        <w:t>The Act should provide for the establishment of a</w:t>
      </w:r>
      <w:r w:rsidR="00F66BD6">
        <w:t xml:space="preserve"> specialised committee upon the declaration of a national emergency by the Governor-General, focused on the exercise of the national emergency laws under the Act. </w:t>
      </w:r>
    </w:p>
    <w:p w14:paraId="43F90074" w14:textId="3A4C9959" w:rsidR="00163B9A" w:rsidRDefault="00163B9A" w:rsidP="00163B9A">
      <w:pPr>
        <w:pStyle w:val="Heading1"/>
      </w:pPr>
      <w:bookmarkStart w:id="21" w:name="_Toc67495698"/>
      <w:r>
        <w:t>Exemption</w:t>
      </w:r>
      <w:r w:rsidR="002C453E">
        <w:t>s</w:t>
      </w:r>
      <w:r>
        <w:t xml:space="preserve"> from disallowance</w:t>
      </w:r>
      <w:bookmarkEnd w:id="21"/>
      <w:r>
        <w:t xml:space="preserve"> </w:t>
      </w:r>
    </w:p>
    <w:p w14:paraId="5B67FD09" w14:textId="388802A4" w:rsidR="00B5248E" w:rsidRDefault="00577E2F" w:rsidP="00B5248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Section 11(6) of the Act provides that </w:t>
      </w:r>
      <w:r w:rsidR="00127E67">
        <w:rPr>
          <w:rFonts w:cs="Open Sans"/>
          <w:color w:val="000000" w:themeColor="text1"/>
        </w:rPr>
        <w:t xml:space="preserve">a national emergency declaration </w:t>
      </w:r>
      <w:r w:rsidR="000A004E">
        <w:rPr>
          <w:rFonts w:cs="Open Sans"/>
          <w:color w:val="000000" w:themeColor="text1"/>
        </w:rPr>
        <w:t xml:space="preserve">made pursuant to s 11(1) of the Act </w:t>
      </w:r>
      <w:r w:rsidR="00127E67">
        <w:rPr>
          <w:rFonts w:cs="Open Sans"/>
          <w:color w:val="000000" w:themeColor="text1"/>
        </w:rPr>
        <w:t>is a legislative instrument</w:t>
      </w:r>
      <w:r w:rsidR="00A01465">
        <w:rPr>
          <w:rFonts w:cs="Open Sans"/>
          <w:color w:val="000000" w:themeColor="text1"/>
        </w:rPr>
        <w:t>, however it</w:t>
      </w:r>
      <w:r w:rsidR="00127E67">
        <w:rPr>
          <w:rFonts w:cs="Open Sans"/>
          <w:color w:val="000000" w:themeColor="text1"/>
        </w:rPr>
        <w:t xml:space="preserve"> is not subject to disallowance under s 42 of the </w:t>
      </w:r>
      <w:r w:rsidR="00127E67" w:rsidRPr="00127E67">
        <w:rPr>
          <w:rFonts w:cs="Open Sans"/>
          <w:i/>
          <w:iCs/>
          <w:color w:val="000000" w:themeColor="text1"/>
        </w:rPr>
        <w:t>Legislation Act 2003</w:t>
      </w:r>
      <w:r w:rsidR="00127E67">
        <w:rPr>
          <w:rFonts w:cs="Open Sans"/>
          <w:color w:val="000000" w:themeColor="text1"/>
        </w:rPr>
        <w:t xml:space="preserve"> (Cth)</w:t>
      </w:r>
      <w:r w:rsidR="00C1343E">
        <w:rPr>
          <w:rFonts w:cs="Open Sans"/>
          <w:color w:val="000000" w:themeColor="text1"/>
        </w:rPr>
        <w:t xml:space="preserve"> (Legislation Act)</w:t>
      </w:r>
      <w:r w:rsidR="00127E67">
        <w:rPr>
          <w:rFonts w:cs="Open Sans"/>
          <w:color w:val="000000" w:themeColor="text1"/>
        </w:rPr>
        <w:t xml:space="preserve">. </w:t>
      </w:r>
    </w:p>
    <w:p w14:paraId="193631BE" w14:textId="78DF0204" w:rsidR="00A01465" w:rsidRDefault="00A01465" w:rsidP="00B5248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The Act also</w:t>
      </w:r>
      <w:r w:rsidR="009439A8">
        <w:rPr>
          <w:rFonts w:cs="Open Sans"/>
          <w:color w:val="000000" w:themeColor="text1"/>
        </w:rPr>
        <w:t xml:space="preserve"> </w:t>
      </w:r>
      <w:r w:rsidR="00C1343E">
        <w:rPr>
          <w:rFonts w:cs="Open Sans"/>
          <w:color w:val="000000" w:themeColor="text1"/>
        </w:rPr>
        <w:t xml:space="preserve">provides that </w:t>
      </w:r>
      <w:r w:rsidR="009439A8">
        <w:rPr>
          <w:rFonts w:cs="Open Sans"/>
          <w:color w:val="000000" w:themeColor="text1"/>
        </w:rPr>
        <w:t xml:space="preserve">the following </w:t>
      </w:r>
      <w:r w:rsidR="00C1343E">
        <w:rPr>
          <w:rFonts w:cs="Open Sans"/>
          <w:color w:val="000000" w:themeColor="text1"/>
        </w:rPr>
        <w:t>are</w:t>
      </w:r>
      <w:r w:rsidR="009439A8">
        <w:rPr>
          <w:rFonts w:cs="Open Sans"/>
          <w:color w:val="000000" w:themeColor="text1"/>
        </w:rPr>
        <w:t xml:space="preserve"> legislative instruments which are</w:t>
      </w:r>
      <w:r>
        <w:rPr>
          <w:rFonts w:cs="Open Sans"/>
          <w:color w:val="000000" w:themeColor="text1"/>
        </w:rPr>
        <w:t xml:space="preserve"> exempt from disallowance: </w:t>
      </w:r>
    </w:p>
    <w:p w14:paraId="0295A778" w14:textId="316C6A34" w:rsidR="00A01465" w:rsidRDefault="00A01465" w:rsidP="00562000">
      <w:pPr>
        <w:pStyle w:val="ListNumber"/>
        <w:numPr>
          <w:ilvl w:val="0"/>
          <w:numId w:val="0"/>
        </w:numPr>
        <w:tabs>
          <w:tab w:val="left" w:pos="1418"/>
        </w:tabs>
        <w:spacing w:after="240"/>
        <w:ind w:left="1418" w:hanging="425"/>
        <w:rPr>
          <w:rFonts w:cs="Open Sans"/>
          <w:color w:val="000000" w:themeColor="text1"/>
        </w:rPr>
      </w:pPr>
      <w:r w:rsidRPr="00562000">
        <w:rPr>
          <w:rFonts w:cs="Open Sans"/>
          <w:color w:val="000000" w:themeColor="text1"/>
        </w:rPr>
        <w:t xml:space="preserve">(a) </w:t>
      </w:r>
      <w:r w:rsidRPr="00562000">
        <w:rPr>
          <w:rFonts w:cs="Open Sans"/>
          <w:color w:val="000000" w:themeColor="text1"/>
        </w:rPr>
        <w:tab/>
      </w:r>
      <w:r w:rsidR="00562000">
        <w:rPr>
          <w:rFonts w:cs="Open Sans"/>
          <w:color w:val="000000" w:themeColor="text1"/>
        </w:rPr>
        <w:t>variations of a national emergency declaration by the Governor</w:t>
      </w:r>
      <w:r w:rsidR="00136515">
        <w:rPr>
          <w:rFonts w:cs="Open Sans"/>
          <w:color w:val="000000" w:themeColor="text1"/>
        </w:rPr>
        <w:noBreakHyphen/>
      </w:r>
      <w:r w:rsidR="00562000">
        <w:rPr>
          <w:rFonts w:cs="Open Sans"/>
          <w:color w:val="000000" w:themeColor="text1"/>
        </w:rPr>
        <w:t>General to extend the duration of a declaration</w:t>
      </w:r>
      <w:r w:rsidR="009439A8">
        <w:rPr>
          <w:rFonts w:cs="Open Sans"/>
          <w:color w:val="000000" w:themeColor="text1"/>
        </w:rPr>
        <w:t xml:space="preserve"> under s</w:t>
      </w:r>
      <w:r w:rsidR="00F44710">
        <w:rPr>
          <w:rFonts w:cs="Open Sans"/>
          <w:color w:val="000000" w:themeColor="text1"/>
        </w:rPr>
        <w:t> </w:t>
      </w:r>
      <w:r w:rsidR="009439A8">
        <w:rPr>
          <w:rFonts w:cs="Open Sans"/>
          <w:color w:val="000000" w:themeColor="text1"/>
        </w:rPr>
        <w:t>12(1) of the Act</w:t>
      </w:r>
      <w:r w:rsidR="009439A8">
        <w:rPr>
          <w:rStyle w:val="EndnoteReference"/>
          <w:rFonts w:cs="Open Sans"/>
          <w:color w:val="000000" w:themeColor="text1"/>
        </w:rPr>
        <w:endnoteReference w:id="40"/>
      </w:r>
      <w:r w:rsidR="00562000">
        <w:rPr>
          <w:rFonts w:cs="Open Sans"/>
          <w:color w:val="000000" w:themeColor="text1"/>
        </w:rPr>
        <w:t xml:space="preserve"> </w:t>
      </w:r>
    </w:p>
    <w:p w14:paraId="3B793957" w14:textId="4FD1F79C" w:rsidR="00562000" w:rsidRDefault="00562000" w:rsidP="00562000">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lastRenderedPageBreak/>
        <w:t>(b)</w:t>
      </w:r>
      <w:r>
        <w:rPr>
          <w:rFonts w:cs="Open Sans"/>
          <w:color w:val="000000" w:themeColor="text1"/>
        </w:rPr>
        <w:tab/>
        <w:t xml:space="preserve">variations of any other aspect of a national emergency declaration by the Governor-General </w:t>
      </w:r>
      <w:r w:rsidR="009439A8">
        <w:rPr>
          <w:rFonts w:cs="Open Sans"/>
          <w:color w:val="000000" w:themeColor="text1"/>
        </w:rPr>
        <w:t>under s 13(1) of the Act</w:t>
      </w:r>
      <w:r w:rsidR="009439A8">
        <w:rPr>
          <w:rStyle w:val="EndnoteReference"/>
          <w:rFonts w:cs="Open Sans"/>
          <w:color w:val="000000" w:themeColor="text1"/>
        </w:rPr>
        <w:endnoteReference w:id="41"/>
      </w:r>
    </w:p>
    <w:p w14:paraId="429A3DE4" w14:textId="6E02DBAA" w:rsidR="00562000" w:rsidRPr="00562000" w:rsidRDefault="00562000" w:rsidP="00562000">
      <w:pPr>
        <w:pStyle w:val="ListNumber"/>
        <w:numPr>
          <w:ilvl w:val="0"/>
          <w:numId w:val="0"/>
        </w:numPr>
        <w:tabs>
          <w:tab w:val="left" w:pos="1418"/>
        </w:tabs>
        <w:spacing w:after="240"/>
        <w:ind w:left="1418" w:hanging="425"/>
        <w:rPr>
          <w:rFonts w:cs="Open Sans"/>
          <w:color w:val="000000" w:themeColor="text1"/>
        </w:rPr>
      </w:pPr>
      <w:r>
        <w:rPr>
          <w:rFonts w:cs="Open Sans"/>
          <w:color w:val="000000" w:themeColor="text1"/>
        </w:rPr>
        <w:t>(c)</w:t>
      </w:r>
      <w:r>
        <w:rPr>
          <w:rFonts w:cs="Open Sans"/>
          <w:color w:val="000000" w:themeColor="text1"/>
        </w:rPr>
        <w:tab/>
        <w:t>revocation of a national emergency declaration by the Governor</w:t>
      </w:r>
      <w:r w:rsidR="00136515">
        <w:rPr>
          <w:rFonts w:cs="Open Sans"/>
          <w:color w:val="000000" w:themeColor="text1"/>
        </w:rPr>
        <w:noBreakHyphen/>
      </w:r>
      <w:r>
        <w:rPr>
          <w:rFonts w:cs="Open Sans"/>
          <w:color w:val="000000" w:themeColor="text1"/>
        </w:rPr>
        <w:t>General</w:t>
      </w:r>
      <w:r w:rsidR="009439A8">
        <w:rPr>
          <w:rFonts w:cs="Open Sans"/>
          <w:color w:val="000000" w:themeColor="text1"/>
        </w:rPr>
        <w:t xml:space="preserve"> under </w:t>
      </w:r>
      <w:r>
        <w:rPr>
          <w:rFonts w:cs="Open Sans"/>
          <w:color w:val="000000" w:themeColor="text1"/>
        </w:rPr>
        <w:t>s 14(</w:t>
      </w:r>
      <w:r w:rsidR="009439A8">
        <w:rPr>
          <w:rFonts w:cs="Open Sans"/>
          <w:color w:val="000000" w:themeColor="text1"/>
        </w:rPr>
        <w:t>1</w:t>
      </w:r>
      <w:r>
        <w:rPr>
          <w:rFonts w:cs="Open Sans"/>
          <w:color w:val="000000" w:themeColor="text1"/>
        </w:rPr>
        <w:t>) of the Act.</w:t>
      </w:r>
      <w:r w:rsidR="009439A8">
        <w:rPr>
          <w:rStyle w:val="EndnoteReference"/>
          <w:rFonts w:cs="Open Sans"/>
          <w:color w:val="000000" w:themeColor="text1"/>
        </w:rPr>
        <w:endnoteReference w:id="42"/>
      </w:r>
      <w:r>
        <w:rPr>
          <w:rFonts w:cs="Open Sans"/>
          <w:color w:val="000000" w:themeColor="text1"/>
        </w:rPr>
        <w:t xml:space="preserve"> </w:t>
      </w:r>
    </w:p>
    <w:p w14:paraId="52DE1EB2" w14:textId="56627C58" w:rsidR="00125FC9" w:rsidRDefault="00125FC9" w:rsidP="00125FC9">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Exempting </w:t>
      </w:r>
      <w:r w:rsidR="00D26E33">
        <w:rPr>
          <w:rFonts w:cs="Open Sans"/>
          <w:color w:val="000000" w:themeColor="text1"/>
        </w:rPr>
        <w:t>legislative instruments</w:t>
      </w:r>
      <w:r>
        <w:rPr>
          <w:rFonts w:cs="Open Sans"/>
          <w:color w:val="000000" w:themeColor="text1"/>
        </w:rPr>
        <w:t xml:space="preserve"> from disallowance </w:t>
      </w:r>
      <w:r w:rsidR="00D26E33">
        <w:rPr>
          <w:rFonts w:cs="Open Sans"/>
          <w:color w:val="000000" w:themeColor="text1"/>
        </w:rPr>
        <w:t>under</w:t>
      </w:r>
      <w:r>
        <w:rPr>
          <w:rFonts w:cs="Open Sans"/>
          <w:color w:val="000000" w:themeColor="text1"/>
        </w:rPr>
        <w:t xml:space="preserve"> s 42 of the </w:t>
      </w:r>
      <w:r w:rsidRPr="00C80BE7">
        <w:rPr>
          <w:rFonts w:cs="Open Sans"/>
          <w:color w:val="000000" w:themeColor="text1"/>
        </w:rPr>
        <w:t>Legislation Act</w:t>
      </w:r>
      <w:r>
        <w:rPr>
          <w:rFonts w:cs="Open Sans"/>
          <w:color w:val="000000" w:themeColor="text1"/>
        </w:rPr>
        <w:t xml:space="preserve"> is </w:t>
      </w:r>
      <w:r w:rsidR="00D26E33">
        <w:rPr>
          <w:rFonts w:cs="Open Sans"/>
          <w:color w:val="000000" w:themeColor="text1"/>
        </w:rPr>
        <w:t xml:space="preserve">a </w:t>
      </w:r>
      <w:r>
        <w:rPr>
          <w:rFonts w:cs="Open Sans"/>
          <w:color w:val="000000" w:themeColor="text1"/>
        </w:rPr>
        <w:t xml:space="preserve">serious matter, </w:t>
      </w:r>
      <w:r w:rsidR="005A346B">
        <w:rPr>
          <w:rFonts w:cs="Open Sans"/>
          <w:color w:val="000000" w:themeColor="text1"/>
        </w:rPr>
        <w:t>significantly decreasing the capacity for parliamentary scrutiny of</w:t>
      </w:r>
      <w:r>
        <w:rPr>
          <w:rFonts w:cs="Open Sans"/>
          <w:color w:val="000000" w:themeColor="text1"/>
        </w:rPr>
        <w:t xml:space="preserve"> the Governor-General’s declarations. In the view of the Commission, such exemptions should not be made unless </w:t>
      </w:r>
      <w:r w:rsidR="00E968FE">
        <w:rPr>
          <w:rFonts w:cs="Open Sans"/>
          <w:color w:val="000000" w:themeColor="text1"/>
        </w:rPr>
        <w:t xml:space="preserve">they are </w:t>
      </w:r>
      <w:r>
        <w:rPr>
          <w:rFonts w:cs="Open Sans"/>
          <w:color w:val="000000" w:themeColor="text1"/>
        </w:rPr>
        <w:t xml:space="preserve">sufficiently justified. </w:t>
      </w:r>
    </w:p>
    <w:p w14:paraId="6D1F60F2" w14:textId="4E022573" w:rsidR="00DF0E52" w:rsidRDefault="00190AFF" w:rsidP="00125FC9">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Again, </w:t>
      </w:r>
      <w:r w:rsidR="00920C46">
        <w:rPr>
          <w:rFonts w:cs="Open Sans"/>
          <w:color w:val="000000" w:themeColor="text1"/>
        </w:rPr>
        <w:t>ss</w:t>
      </w:r>
      <w:r w:rsidR="00DF0E52">
        <w:rPr>
          <w:rFonts w:cs="Open Sans"/>
          <w:color w:val="000000" w:themeColor="text1"/>
        </w:rPr>
        <w:t xml:space="preserve"> 11 and 12 of the Act a</w:t>
      </w:r>
      <w:r w:rsidR="00D26E33">
        <w:rPr>
          <w:rFonts w:cs="Open Sans"/>
          <w:color w:val="000000" w:themeColor="text1"/>
        </w:rPr>
        <w:t xml:space="preserve">ppear to have been modelled from the </w:t>
      </w:r>
      <w:r w:rsidR="00D26E33" w:rsidRPr="00C80BE7">
        <w:rPr>
          <w:rFonts w:cs="Open Sans"/>
          <w:color w:val="000000" w:themeColor="text1"/>
        </w:rPr>
        <w:t>Biosecurity Act</w:t>
      </w:r>
      <w:r w:rsidR="00D26E33">
        <w:rPr>
          <w:rFonts w:cs="Open Sans"/>
          <w:color w:val="000000" w:themeColor="text1"/>
        </w:rPr>
        <w:t xml:space="preserve"> </w:t>
      </w:r>
      <w:r w:rsidR="00DF0E52">
        <w:rPr>
          <w:rFonts w:cs="Open Sans"/>
          <w:color w:val="000000" w:themeColor="text1"/>
        </w:rPr>
        <w:t xml:space="preserve">which </w:t>
      </w:r>
      <w:r w:rsidR="000B16D0">
        <w:rPr>
          <w:rFonts w:cs="Open Sans"/>
          <w:color w:val="000000" w:themeColor="text1"/>
        </w:rPr>
        <w:t>empowers the Governor-General to declare a biosecurity emergency</w:t>
      </w:r>
      <w:r w:rsidR="00BB68D0">
        <w:rPr>
          <w:rStyle w:val="EndnoteReference"/>
          <w:rFonts w:cs="Open Sans"/>
          <w:color w:val="000000" w:themeColor="text1"/>
        </w:rPr>
        <w:endnoteReference w:id="43"/>
      </w:r>
      <w:r w:rsidR="000B16D0">
        <w:rPr>
          <w:rFonts w:cs="Open Sans"/>
          <w:color w:val="000000" w:themeColor="text1"/>
        </w:rPr>
        <w:t xml:space="preserve"> and a human biosecurity emergency</w:t>
      </w:r>
      <w:r w:rsidR="00BB68D0">
        <w:rPr>
          <w:rStyle w:val="EndnoteReference"/>
          <w:rFonts w:cs="Open Sans"/>
          <w:color w:val="000000" w:themeColor="text1"/>
        </w:rPr>
        <w:endnoteReference w:id="44"/>
      </w:r>
      <w:r w:rsidR="000B16D0">
        <w:rPr>
          <w:rFonts w:cs="Open Sans"/>
          <w:color w:val="000000" w:themeColor="text1"/>
        </w:rPr>
        <w:t xml:space="preserve"> and extend the duration of those declarations.</w:t>
      </w:r>
      <w:r w:rsidR="00BB68D0">
        <w:rPr>
          <w:rStyle w:val="EndnoteReference"/>
          <w:rFonts w:cs="Open Sans"/>
          <w:color w:val="000000" w:themeColor="text1"/>
        </w:rPr>
        <w:endnoteReference w:id="45"/>
      </w:r>
      <w:r w:rsidR="00BB68D0">
        <w:rPr>
          <w:rFonts w:cs="Open Sans"/>
          <w:color w:val="000000" w:themeColor="text1"/>
        </w:rPr>
        <w:t xml:space="preserve"> The declarations and any extensions of those declarations </w:t>
      </w:r>
      <w:r>
        <w:rPr>
          <w:rFonts w:cs="Open Sans"/>
          <w:color w:val="000000" w:themeColor="text1"/>
        </w:rPr>
        <w:t xml:space="preserve">under that Act </w:t>
      </w:r>
      <w:r w:rsidR="00BB68D0">
        <w:rPr>
          <w:rFonts w:cs="Open Sans"/>
          <w:color w:val="000000" w:themeColor="text1"/>
        </w:rPr>
        <w:t>are legislative instruments which are exempt from disallowance.</w:t>
      </w:r>
      <w:r w:rsidR="00E968FE">
        <w:rPr>
          <w:rStyle w:val="EndnoteReference"/>
          <w:rFonts w:cs="Open Sans"/>
          <w:color w:val="000000" w:themeColor="text1"/>
        </w:rPr>
        <w:endnoteReference w:id="46"/>
      </w:r>
      <w:r w:rsidR="00BB68D0">
        <w:rPr>
          <w:rFonts w:cs="Open Sans"/>
          <w:color w:val="000000" w:themeColor="text1"/>
        </w:rPr>
        <w:t xml:space="preserve"> </w:t>
      </w:r>
    </w:p>
    <w:p w14:paraId="64FFC721" w14:textId="5D363E43" w:rsidR="00A01465" w:rsidRDefault="005B0DE9" w:rsidP="00B5248E">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rationale for </w:t>
      </w:r>
      <w:r w:rsidR="00964CC7">
        <w:rPr>
          <w:rFonts w:cs="Open Sans"/>
          <w:color w:val="000000" w:themeColor="text1"/>
        </w:rPr>
        <w:t>exempting the legislative instruments</w:t>
      </w:r>
      <w:r>
        <w:rPr>
          <w:rFonts w:cs="Open Sans"/>
          <w:color w:val="000000" w:themeColor="text1"/>
        </w:rPr>
        <w:t xml:space="preserve"> from disallowance </w:t>
      </w:r>
      <w:r w:rsidR="00964CC7">
        <w:rPr>
          <w:rFonts w:cs="Open Sans"/>
          <w:color w:val="000000" w:themeColor="text1"/>
        </w:rPr>
        <w:t xml:space="preserve">in the Act </w:t>
      </w:r>
      <w:r w:rsidR="00D26E33">
        <w:rPr>
          <w:rFonts w:cs="Open Sans"/>
          <w:color w:val="000000" w:themeColor="text1"/>
        </w:rPr>
        <w:t>is</w:t>
      </w:r>
      <w:r>
        <w:rPr>
          <w:rFonts w:cs="Open Sans"/>
          <w:color w:val="000000" w:themeColor="text1"/>
        </w:rPr>
        <w:t xml:space="preserve"> explained in the </w:t>
      </w:r>
      <w:r w:rsidR="00190E4A">
        <w:rPr>
          <w:rFonts w:cs="Open Sans"/>
          <w:color w:val="000000" w:themeColor="text1"/>
        </w:rPr>
        <w:t xml:space="preserve">Revised </w:t>
      </w:r>
      <w:r>
        <w:rPr>
          <w:rFonts w:cs="Open Sans"/>
          <w:color w:val="000000" w:themeColor="text1"/>
        </w:rPr>
        <w:t xml:space="preserve">Explanatory Memorandum as follows: </w:t>
      </w:r>
    </w:p>
    <w:p w14:paraId="0280A591" w14:textId="73386A03" w:rsidR="005B0DE9" w:rsidRDefault="005B0DE9" w:rsidP="005B0DE9">
      <w:pPr>
        <w:pStyle w:val="ListNumber"/>
        <w:numPr>
          <w:ilvl w:val="0"/>
          <w:numId w:val="0"/>
        </w:numPr>
        <w:tabs>
          <w:tab w:val="left" w:pos="1418"/>
        </w:tabs>
        <w:spacing w:after="240"/>
        <w:ind w:left="1134"/>
        <w:rPr>
          <w:rFonts w:cs="Open Sans"/>
          <w:color w:val="000000" w:themeColor="text1"/>
          <w:sz w:val="22"/>
          <w:szCs w:val="22"/>
        </w:rPr>
      </w:pPr>
      <w:r w:rsidRPr="005B0DE9">
        <w:rPr>
          <w:rFonts w:cs="Open Sans"/>
          <w:color w:val="000000" w:themeColor="text1"/>
          <w:sz w:val="22"/>
          <w:szCs w:val="22"/>
        </w:rPr>
        <w:t xml:space="preserve">A core objective of the declaration is to clearly signal to the Australian community the severity of the emergency event, and provide certainty about the Commonwealth’s role, and the statutory powers that are available, in respect of a particular emergency event. This objective would be undermined if such a declaration were disallowable, as the prospect of disallowance is likely to call into question the status of the emergency event. </w:t>
      </w:r>
    </w:p>
    <w:p w14:paraId="5647DD04" w14:textId="4640FD82" w:rsidR="005B0DE9" w:rsidRDefault="005B0DE9" w:rsidP="005B0DE9">
      <w:pPr>
        <w:pStyle w:val="ListNumber"/>
        <w:numPr>
          <w:ilvl w:val="0"/>
          <w:numId w:val="0"/>
        </w:numPr>
        <w:tabs>
          <w:tab w:val="left" w:pos="1418"/>
        </w:tabs>
        <w:spacing w:after="240"/>
        <w:ind w:left="1134"/>
        <w:rPr>
          <w:rFonts w:cs="Open Sans"/>
          <w:color w:val="000000" w:themeColor="text1"/>
          <w:sz w:val="22"/>
          <w:szCs w:val="22"/>
        </w:rPr>
      </w:pPr>
      <w:r>
        <w:rPr>
          <w:rFonts w:cs="Open Sans"/>
          <w:color w:val="000000" w:themeColor="text1"/>
          <w:sz w:val="22"/>
          <w:szCs w:val="22"/>
        </w:rPr>
        <w:t>…</w:t>
      </w:r>
    </w:p>
    <w:p w14:paraId="2714D963" w14:textId="57A7B4AA" w:rsidR="005B0DE9" w:rsidRPr="005B0DE9" w:rsidRDefault="005B0DE9" w:rsidP="005B0DE9">
      <w:pPr>
        <w:pStyle w:val="ListNumber"/>
        <w:numPr>
          <w:ilvl w:val="0"/>
          <w:numId w:val="0"/>
        </w:numPr>
        <w:tabs>
          <w:tab w:val="left" w:pos="1418"/>
        </w:tabs>
        <w:spacing w:after="240"/>
        <w:ind w:left="1134"/>
        <w:rPr>
          <w:rFonts w:cs="Open Sans"/>
          <w:color w:val="000000" w:themeColor="text1"/>
          <w:sz w:val="22"/>
          <w:szCs w:val="22"/>
        </w:rPr>
      </w:pPr>
      <w:r w:rsidRPr="005B0DE9">
        <w:rPr>
          <w:rFonts w:cs="Open Sans"/>
          <w:color w:val="000000" w:themeColor="text1"/>
          <w:sz w:val="22"/>
          <w:szCs w:val="22"/>
        </w:rPr>
        <w:t>If a declaration were disallowed, it would destabilise the framework under which emergency response agencies are operating, leading to uncertainty and potential delays in the response and recovery effort where time is of the essence</w:t>
      </w:r>
      <w:r w:rsidR="00D26E33">
        <w:rPr>
          <w:rFonts w:cs="Open Sans"/>
          <w:color w:val="000000" w:themeColor="text1"/>
          <w:sz w:val="22"/>
          <w:szCs w:val="22"/>
        </w:rPr>
        <w:t>.</w:t>
      </w:r>
      <w:r w:rsidR="00136515" w:rsidRPr="00136515">
        <w:rPr>
          <w:rStyle w:val="EndnoteReference"/>
          <w:rFonts w:cs="Open Sans"/>
          <w:color w:val="000000" w:themeColor="text1"/>
        </w:rPr>
        <w:t xml:space="preserve"> </w:t>
      </w:r>
      <w:r w:rsidR="00136515">
        <w:rPr>
          <w:rStyle w:val="EndnoteReference"/>
          <w:rFonts w:cs="Open Sans"/>
          <w:color w:val="000000" w:themeColor="text1"/>
        </w:rPr>
        <w:endnoteReference w:id="47"/>
      </w:r>
      <w:r w:rsidRPr="005B0DE9">
        <w:rPr>
          <w:rFonts w:cs="Open Sans"/>
          <w:color w:val="000000" w:themeColor="text1"/>
          <w:sz w:val="22"/>
          <w:szCs w:val="22"/>
        </w:rPr>
        <w:t xml:space="preserve"> </w:t>
      </w:r>
    </w:p>
    <w:p w14:paraId="193C6104" w14:textId="54D683CF" w:rsidR="005A0FD1" w:rsidRDefault="005A0FD1" w:rsidP="005A0FD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In response to a request from the Senate Standing Committee for the Scrutiny of Delegated Legislation for advice concerning the basis for providing that national emergency declarations in s 11(6) of the Act and extensions of those declarations in s 12(5) of the Act are exempt from disallowance, the Attorney-General advised that: </w:t>
      </w:r>
    </w:p>
    <w:p w14:paraId="0B566B43" w14:textId="48CE9F83" w:rsidR="00133DF3" w:rsidRPr="00C67DE0" w:rsidRDefault="00133DF3" w:rsidP="00C67DE0">
      <w:pPr>
        <w:pStyle w:val="ListNumber"/>
        <w:numPr>
          <w:ilvl w:val="0"/>
          <w:numId w:val="0"/>
        </w:numPr>
        <w:tabs>
          <w:tab w:val="left" w:pos="1418"/>
        </w:tabs>
        <w:spacing w:after="240"/>
        <w:ind w:left="1134"/>
        <w:rPr>
          <w:rFonts w:cs="Open Sans"/>
          <w:color w:val="000000" w:themeColor="text1"/>
          <w:sz w:val="22"/>
          <w:szCs w:val="22"/>
        </w:rPr>
      </w:pPr>
      <w:r w:rsidRPr="00C67DE0">
        <w:rPr>
          <w:rFonts w:cs="Open Sans"/>
          <w:color w:val="000000" w:themeColor="text1"/>
          <w:sz w:val="22"/>
          <w:szCs w:val="22"/>
        </w:rPr>
        <w:t xml:space="preserve">Although disallowance of an instrument does not invalidate actions taken under the instrument prior to the time of disallowance, the prospect of a </w:t>
      </w:r>
      <w:r w:rsidRPr="00C67DE0">
        <w:rPr>
          <w:rFonts w:cs="Open Sans"/>
          <w:color w:val="000000" w:themeColor="text1"/>
          <w:sz w:val="22"/>
          <w:szCs w:val="22"/>
        </w:rPr>
        <w:lastRenderedPageBreak/>
        <w:t>declaration being disallowed would undermine the key objective of the [Act] – to provide a clear, certain and unambiguous signal about the significance and severity of an emergency event. If the status of the declaration were to change following a successful motion to disallow, this could suggest (potentially erroneously) that the emergency no longer exists. While it is accepted that the rate of successful disallowance motions are low, the possibility of disallowance cannot be unequivocally discounted.</w:t>
      </w:r>
      <w:r w:rsidR="00476202">
        <w:rPr>
          <w:rStyle w:val="EndnoteReference"/>
          <w:rFonts w:cs="Open Sans"/>
          <w:color w:val="000000" w:themeColor="text1"/>
        </w:rPr>
        <w:endnoteReference w:id="48"/>
      </w:r>
    </w:p>
    <w:p w14:paraId="45A40E76" w14:textId="1F26AB06" w:rsidR="00650109" w:rsidRPr="005A0FD1" w:rsidRDefault="004669FD" w:rsidP="005A0FD1">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If an emergency</w:t>
      </w:r>
      <w:r w:rsidR="00A80827">
        <w:rPr>
          <w:rFonts w:cs="Open Sans"/>
          <w:color w:val="000000" w:themeColor="text1"/>
        </w:rPr>
        <w:t>, in fact,</w:t>
      </w:r>
      <w:r w:rsidR="00EB1497">
        <w:rPr>
          <w:rFonts w:cs="Open Sans"/>
          <w:color w:val="000000" w:themeColor="text1"/>
        </w:rPr>
        <w:t xml:space="preserve"> had recently occurred,</w:t>
      </w:r>
      <w:r>
        <w:rPr>
          <w:rFonts w:cs="Open Sans"/>
          <w:color w:val="000000" w:themeColor="text1"/>
        </w:rPr>
        <w:t xml:space="preserve"> </w:t>
      </w:r>
      <w:r w:rsidR="00A80827">
        <w:rPr>
          <w:rFonts w:cs="Open Sans"/>
          <w:color w:val="000000" w:themeColor="text1"/>
        </w:rPr>
        <w:t>was</w:t>
      </w:r>
      <w:r>
        <w:rPr>
          <w:rFonts w:cs="Open Sans"/>
          <w:color w:val="000000" w:themeColor="text1"/>
        </w:rPr>
        <w:t xml:space="preserve"> occurring, or</w:t>
      </w:r>
      <w:r w:rsidR="00A80827">
        <w:rPr>
          <w:rFonts w:cs="Open Sans"/>
          <w:color w:val="000000" w:themeColor="text1"/>
        </w:rPr>
        <w:t xml:space="preserve"> was</w:t>
      </w:r>
      <w:r>
        <w:rPr>
          <w:rFonts w:cs="Open Sans"/>
          <w:color w:val="000000" w:themeColor="text1"/>
        </w:rPr>
        <w:t xml:space="preserve"> likely to occur, giving rise to the requirement for a national emergency declaration by the Governor-General, it is unclear how the prospect of disallowance would call into question the status of the emergency. In the event of a challenge to a legislative instrument made under the Act, </w:t>
      </w:r>
      <w:r w:rsidR="00BF4AFB">
        <w:rPr>
          <w:rFonts w:cs="Open Sans"/>
          <w:color w:val="000000" w:themeColor="text1"/>
        </w:rPr>
        <w:t>where an</w:t>
      </w:r>
      <w:r>
        <w:rPr>
          <w:rFonts w:cs="Open Sans"/>
          <w:color w:val="000000" w:themeColor="text1"/>
        </w:rPr>
        <w:t xml:space="preserve"> emergency </w:t>
      </w:r>
      <w:r w:rsidR="00BF4AFB">
        <w:rPr>
          <w:rFonts w:cs="Open Sans"/>
          <w:color w:val="000000" w:themeColor="text1"/>
        </w:rPr>
        <w:t>had necessitated</w:t>
      </w:r>
      <w:r>
        <w:rPr>
          <w:rFonts w:cs="Open Sans"/>
          <w:color w:val="000000" w:themeColor="text1"/>
        </w:rPr>
        <w:t xml:space="preserve"> the declaration, the challenge would likely fail after</w:t>
      </w:r>
      <w:r w:rsidR="00A80827">
        <w:rPr>
          <w:rFonts w:cs="Open Sans"/>
          <w:color w:val="000000" w:themeColor="text1"/>
        </w:rPr>
        <w:t xml:space="preserve"> consideration by</w:t>
      </w:r>
      <w:r>
        <w:rPr>
          <w:rFonts w:cs="Open Sans"/>
          <w:color w:val="000000" w:themeColor="text1"/>
        </w:rPr>
        <w:t xml:space="preserve"> </w:t>
      </w:r>
      <w:r w:rsidR="00EB1497">
        <w:rPr>
          <w:rFonts w:cs="Open Sans"/>
          <w:color w:val="000000" w:themeColor="text1"/>
        </w:rPr>
        <w:t>P</w:t>
      </w:r>
      <w:r>
        <w:rPr>
          <w:rFonts w:cs="Open Sans"/>
          <w:color w:val="000000" w:themeColor="text1"/>
        </w:rPr>
        <w:t xml:space="preserve">arliament. </w:t>
      </w:r>
      <w:r w:rsidR="00CC6DD8">
        <w:rPr>
          <w:rFonts w:cs="Open Sans"/>
          <w:color w:val="000000" w:themeColor="text1"/>
        </w:rPr>
        <w:t>However, if a declaration were made in circumstances where there was in fact no national emergency, it would be important for this to be able to be scrutinised by Parliament given the far</w:t>
      </w:r>
      <w:r w:rsidR="00A0121D">
        <w:rPr>
          <w:rFonts w:cs="Open Sans"/>
          <w:color w:val="000000" w:themeColor="text1"/>
        </w:rPr>
        <w:t>-</w:t>
      </w:r>
      <w:r w:rsidR="00CC6DD8">
        <w:rPr>
          <w:rFonts w:cs="Open Sans"/>
          <w:color w:val="000000" w:themeColor="text1"/>
        </w:rPr>
        <w:t xml:space="preserve">reaching effects of a declaration. It is precisely because </w:t>
      </w:r>
      <w:r w:rsidR="0010127B">
        <w:rPr>
          <w:rFonts w:cs="Open Sans"/>
          <w:color w:val="000000" w:themeColor="text1"/>
        </w:rPr>
        <w:t>of the significance of the measures contained in this Act that ordinary principles of scrutiny and accountability are so important.</w:t>
      </w:r>
      <w:r w:rsidR="00C67DE0">
        <w:rPr>
          <w:rFonts w:cs="Open Sans"/>
          <w:color w:val="000000" w:themeColor="text1"/>
        </w:rPr>
        <w:t xml:space="preserve"> Further, </w:t>
      </w:r>
      <w:r w:rsidR="00F83B3A">
        <w:rPr>
          <w:rFonts w:cs="Open Sans"/>
          <w:color w:val="000000" w:themeColor="text1"/>
        </w:rPr>
        <w:t>as noted by the Attorney-General, given that disallowance of an instrument does not invalidate the actions taken under the instrument prior to the time of disallowance, it is difficult to understand how disallowance of a national emergency declaration would lead to uncertainty in taking action under the declaration while it is in force simply on the grounds that it may be disallowed at a later time.</w:t>
      </w:r>
    </w:p>
    <w:p w14:paraId="7D27997E" w14:textId="1B492791" w:rsidR="005B0DE9" w:rsidRDefault="00BF4AFB" w:rsidP="005B0DE9">
      <w:pPr>
        <w:pStyle w:val="ListNumber"/>
        <w:numPr>
          <w:ilvl w:val="0"/>
          <w:numId w:val="3"/>
        </w:numPr>
        <w:tabs>
          <w:tab w:val="num" w:pos="993"/>
          <w:tab w:val="left" w:pos="1418"/>
        </w:tabs>
        <w:spacing w:after="240"/>
        <w:ind w:left="709" w:hanging="567"/>
        <w:rPr>
          <w:rFonts w:cs="Open Sans"/>
          <w:color w:val="000000" w:themeColor="text1"/>
        </w:rPr>
      </w:pPr>
      <w:r>
        <w:rPr>
          <w:rFonts w:cs="Open Sans"/>
          <w:color w:val="000000" w:themeColor="text1"/>
        </w:rPr>
        <w:t xml:space="preserve">The Commission does not consider </w:t>
      </w:r>
      <w:r w:rsidR="00A80827">
        <w:rPr>
          <w:rFonts w:cs="Open Sans"/>
          <w:color w:val="000000" w:themeColor="text1"/>
        </w:rPr>
        <w:t>the</w:t>
      </w:r>
      <w:r>
        <w:rPr>
          <w:rFonts w:cs="Open Sans"/>
          <w:color w:val="000000" w:themeColor="text1"/>
        </w:rPr>
        <w:t xml:space="preserve"> justification </w:t>
      </w:r>
      <w:r w:rsidR="00A80827">
        <w:rPr>
          <w:rFonts w:cs="Open Sans"/>
          <w:color w:val="000000" w:themeColor="text1"/>
        </w:rPr>
        <w:t>for the</w:t>
      </w:r>
      <w:r>
        <w:rPr>
          <w:rFonts w:cs="Open Sans"/>
          <w:color w:val="000000" w:themeColor="text1"/>
        </w:rPr>
        <w:t xml:space="preserve"> exemption of these legislative instruments from disallowance</w:t>
      </w:r>
      <w:r w:rsidR="00A80827">
        <w:rPr>
          <w:rFonts w:cs="Open Sans"/>
          <w:color w:val="000000" w:themeColor="text1"/>
        </w:rPr>
        <w:t xml:space="preserve"> to be sufficient to warrant such exemption</w:t>
      </w:r>
      <w:r>
        <w:rPr>
          <w:rFonts w:cs="Open Sans"/>
          <w:color w:val="000000" w:themeColor="text1"/>
        </w:rPr>
        <w:t xml:space="preserve"> and recommends deletion of </w:t>
      </w:r>
      <w:r w:rsidR="00A80827">
        <w:rPr>
          <w:rFonts w:cs="Open Sans"/>
          <w:color w:val="000000" w:themeColor="text1"/>
        </w:rPr>
        <w:t xml:space="preserve">the words </w:t>
      </w:r>
      <w:r w:rsidR="00A80827" w:rsidRPr="007A2ACC">
        <w:rPr>
          <w:rFonts w:cs="Open Sans"/>
          <w:color w:val="000000" w:themeColor="text1"/>
        </w:rPr>
        <w:t>‘</w:t>
      </w:r>
      <w:r w:rsidR="00A80827" w:rsidRPr="00C80BE7">
        <w:rPr>
          <w:rFonts w:cs="Open Sans"/>
          <w:color w:val="000000" w:themeColor="text1"/>
        </w:rPr>
        <w:t>but section 42 (disallowance) of the Legislation Act 2003 does not apply to the</w:t>
      </w:r>
      <w:r w:rsidR="00A80827" w:rsidRPr="00A80827">
        <w:rPr>
          <w:rFonts w:cs="Open Sans"/>
          <w:i/>
          <w:iCs/>
          <w:color w:val="000000" w:themeColor="text1"/>
        </w:rPr>
        <w:t xml:space="preserve"> </w:t>
      </w:r>
      <w:r w:rsidR="00A80827" w:rsidRPr="00A80827">
        <w:rPr>
          <w:rFonts w:cs="Open Sans"/>
          <w:color w:val="000000" w:themeColor="text1"/>
        </w:rPr>
        <w:t>[declaration</w:t>
      </w:r>
      <w:r w:rsidR="00A80827">
        <w:rPr>
          <w:rFonts w:cs="Open Sans"/>
          <w:color w:val="000000" w:themeColor="text1"/>
        </w:rPr>
        <w:t xml:space="preserve">, </w:t>
      </w:r>
      <w:r w:rsidR="00A80827" w:rsidRPr="00A80827">
        <w:rPr>
          <w:rFonts w:cs="Open Sans"/>
          <w:color w:val="000000" w:themeColor="text1"/>
        </w:rPr>
        <w:t>variation</w:t>
      </w:r>
      <w:r w:rsidR="00A80827">
        <w:rPr>
          <w:rFonts w:cs="Open Sans"/>
          <w:color w:val="000000" w:themeColor="text1"/>
        </w:rPr>
        <w:t xml:space="preserve"> or revocation</w:t>
      </w:r>
      <w:r w:rsidR="00A80827" w:rsidRPr="00A80827">
        <w:rPr>
          <w:rFonts w:cs="Open Sans"/>
          <w:color w:val="000000" w:themeColor="text1"/>
        </w:rPr>
        <w:t>]’ in ss 11(6), 12(5), 13(3) and 14(2) of the Act.</w:t>
      </w:r>
      <w:r w:rsidR="00A80827">
        <w:rPr>
          <w:sz w:val="22"/>
          <w:szCs w:val="22"/>
        </w:rPr>
        <w:t xml:space="preserve"> </w:t>
      </w:r>
    </w:p>
    <w:p w14:paraId="543B8182" w14:textId="64FBB0A1" w:rsidR="00212C73" w:rsidRDefault="00212C73" w:rsidP="00C80BE7">
      <w:pPr>
        <w:pStyle w:val="ListNumber"/>
        <w:keepNext/>
        <w:numPr>
          <w:ilvl w:val="0"/>
          <w:numId w:val="0"/>
        </w:numPr>
        <w:tabs>
          <w:tab w:val="left" w:pos="1418"/>
        </w:tabs>
        <w:spacing w:after="240"/>
        <w:ind w:left="709"/>
        <w:rPr>
          <w:rFonts w:cs="Open Sans"/>
          <w:b/>
          <w:bCs/>
          <w:color w:val="000000" w:themeColor="text1"/>
        </w:rPr>
      </w:pPr>
      <w:r>
        <w:rPr>
          <w:rFonts w:cs="Open Sans"/>
          <w:b/>
          <w:bCs/>
          <w:color w:val="000000" w:themeColor="text1"/>
        </w:rPr>
        <w:t xml:space="preserve">Recommendation </w:t>
      </w:r>
      <w:r w:rsidR="00F66BD6">
        <w:rPr>
          <w:rFonts w:cs="Open Sans"/>
          <w:b/>
          <w:bCs/>
          <w:color w:val="000000" w:themeColor="text1"/>
        </w:rPr>
        <w:t>5</w:t>
      </w:r>
    </w:p>
    <w:p w14:paraId="09E42CD3" w14:textId="75A846AD" w:rsidR="00212C73" w:rsidRDefault="00212C73" w:rsidP="00212C73">
      <w:pPr>
        <w:pStyle w:val="ListNumber"/>
        <w:numPr>
          <w:ilvl w:val="0"/>
          <w:numId w:val="0"/>
        </w:numPr>
        <w:tabs>
          <w:tab w:val="left" w:pos="1418"/>
        </w:tabs>
        <w:spacing w:after="240"/>
        <w:ind w:left="709"/>
        <w:rPr>
          <w:rFonts w:cs="Open Sans"/>
          <w:color w:val="000000" w:themeColor="text1"/>
        </w:rPr>
      </w:pPr>
      <w:r>
        <w:rPr>
          <w:rFonts w:cs="Open Sans"/>
          <w:color w:val="000000" w:themeColor="text1"/>
        </w:rPr>
        <w:t xml:space="preserve">Sections 11(6), 12(5), 13(3) and 14(2) of the Act should be amended to remove the exemption from disallowance with respect to the relevant legislative instrument. </w:t>
      </w:r>
    </w:p>
    <w:p w14:paraId="7C697A31" w14:textId="61904B62" w:rsidR="0082232F" w:rsidRPr="0082232F" w:rsidRDefault="0082232F" w:rsidP="00143648">
      <w:pPr>
        <w:pStyle w:val="Heading1"/>
        <w:numPr>
          <w:ilvl w:val="0"/>
          <w:numId w:val="0"/>
        </w:numPr>
        <w:shd w:val="clear" w:color="auto" w:fill="FFFFFF"/>
        <w:spacing w:before="300" w:after="150"/>
        <w:rPr>
          <w:b w:val="0"/>
          <w:bCs w:val="0"/>
          <w:sz w:val="20"/>
          <w:szCs w:val="20"/>
        </w:rPr>
      </w:pPr>
    </w:p>
    <w:p w14:paraId="512088F9" w14:textId="77777777" w:rsidR="002750B1" w:rsidRPr="007766D4" w:rsidRDefault="002750B1" w:rsidP="002750B1">
      <w:pPr>
        <w:pStyle w:val="ListNumber"/>
        <w:numPr>
          <w:ilvl w:val="0"/>
          <w:numId w:val="0"/>
        </w:numPr>
        <w:tabs>
          <w:tab w:val="left" w:pos="1418"/>
        </w:tabs>
        <w:spacing w:after="240"/>
        <w:rPr>
          <w:rFonts w:cs="Open Sans"/>
          <w:b/>
          <w:color w:val="000000" w:themeColor="text1"/>
        </w:rPr>
      </w:pPr>
    </w:p>
    <w:p w14:paraId="6DD22723" w14:textId="77777777" w:rsidR="00660E50" w:rsidRDefault="00660E50"/>
    <w:sectPr w:rsidR="00660E50" w:rsidSect="00660E5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0613" w14:textId="77777777" w:rsidR="000F4907" w:rsidRDefault="000F4907" w:rsidP="002750B1">
      <w:pPr>
        <w:spacing w:after="0" w:line="240" w:lineRule="auto"/>
      </w:pPr>
      <w:r>
        <w:separator/>
      </w:r>
    </w:p>
  </w:endnote>
  <w:endnote w:type="continuationSeparator" w:id="0">
    <w:p w14:paraId="034E39E4" w14:textId="77777777" w:rsidR="000F4907" w:rsidRDefault="000F4907" w:rsidP="002750B1">
      <w:pPr>
        <w:spacing w:after="0" w:line="240" w:lineRule="auto"/>
      </w:pPr>
      <w:r>
        <w:continuationSeparator/>
      </w:r>
    </w:p>
  </w:endnote>
  <w:endnote w:id="1">
    <w:p w14:paraId="657CA75C" w14:textId="2E50F475" w:rsidR="006A3BFD" w:rsidRPr="00895DC0" w:rsidRDefault="006A3BFD">
      <w:pPr>
        <w:pStyle w:val="EndnoteText"/>
        <w:rPr>
          <w:lang w:val="en-US"/>
        </w:rPr>
      </w:pPr>
      <w:r>
        <w:rPr>
          <w:rStyle w:val="EndnoteReference"/>
        </w:rPr>
        <w:endnoteRef/>
      </w:r>
      <w:r>
        <w:t xml:space="preserve"> Revised </w:t>
      </w:r>
      <w:r w:rsidRPr="009B7FC7">
        <w:t>Explanatory Memorandum</w:t>
      </w:r>
      <w:r>
        <w:t xml:space="preserve">, National Emergency Declaration Bill 2020 (Cth) 2; </w:t>
      </w:r>
      <w:r w:rsidRPr="00205485">
        <w:rPr>
          <w:i/>
          <w:iCs/>
        </w:rPr>
        <w:t>Royal Commission into National Natural Disaster Arrangements</w:t>
      </w:r>
      <w:r>
        <w:t xml:space="preserve"> (Final Report, October 2020) 149. </w:t>
      </w:r>
    </w:p>
  </w:endnote>
  <w:endnote w:id="2">
    <w:p w14:paraId="61F3DC8E" w14:textId="77777777" w:rsidR="006A3BFD" w:rsidRPr="00A87BDC" w:rsidRDefault="006A3BFD" w:rsidP="00144003">
      <w:pPr>
        <w:pStyle w:val="EndnoteText"/>
        <w:rPr>
          <w:lang w:val="en-US"/>
        </w:rPr>
      </w:pPr>
      <w:r>
        <w:rPr>
          <w:rStyle w:val="EndnoteReference"/>
        </w:rPr>
        <w:endnoteRef/>
      </w:r>
      <w:r>
        <w:t xml:space="preserve"> </w:t>
      </w:r>
      <w:r w:rsidRPr="00205485">
        <w:rPr>
          <w:i/>
          <w:iCs/>
        </w:rPr>
        <w:t>Royal Commission into National Natural Disaster Arrangements</w:t>
      </w:r>
      <w:r>
        <w:t xml:space="preserve"> (Final Report, October 2020) 149.</w:t>
      </w:r>
    </w:p>
  </w:endnote>
  <w:endnote w:id="3">
    <w:p w14:paraId="04206A3A" w14:textId="5983FE08" w:rsidR="006A3BFD" w:rsidRDefault="006A3BFD">
      <w:pPr>
        <w:pStyle w:val="EndnoteText"/>
      </w:pPr>
      <w:r>
        <w:rPr>
          <w:rStyle w:val="EndnoteReference"/>
        </w:rPr>
        <w:endnoteRef/>
      </w:r>
      <w:r>
        <w:t xml:space="preserve"> </w:t>
      </w:r>
      <w:r w:rsidRPr="008377B4">
        <w:rPr>
          <w:rFonts w:cstheme="minorHAnsi"/>
          <w:i/>
          <w:iCs/>
        </w:rPr>
        <w:t>Liquid Fuel Emergency Act 1984</w:t>
      </w:r>
      <w:r w:rsidR="00E16B9C">
        <w:rPr>
          <w:rFonts w:cstheme="minorHAnsi"/>
          <w:i/>
          <w:iCs/>
        </w:rPr>
        <w:t xml:space="preserve"> </w:t>
      </w:r>
      <w:r w:rsidR="00E16B9C">
        <w:rPr>
          <w:rFonts w:cstheme="minorHAnsi"/>
        </w:rPr>
        <w:t>(</w:t>
      </w:r>
      <w:r w:rsidR="00E16B9C">
        <w:rPr>
          <w:rFonts w:cstheme="minorHAnsi"/>
        </w:rPr>
        <w:t>Cth)</w:t>
      </w:r>
      <w:r w:rsidRPr="008377B4">
        <w:rPr>
          <w:rFonts w:cstheme="minorHAnsi"/>
        </w:rPr>
        <w:t>, s</w:t>
      </w:r>
      <w:r>
        <w:rPr>
          <w:rFonts w:cstheme="minorHAnsi"/>
        </w:rPr>
        <w:t>s</w:t>
      </w:r>
      <w:r w:rsidRPr="008377B4">
        <w:rPr>
          <w:rFonts w:cstheme="minorHAnsi"/>
        </w:rPr>
        <w:t xml:space="preserve"> 16</w:t>
      </w:r>
      <w:r>
        <w:rPr>
          <w:rFonts w:cstheme="minorHAnsi"/>
        </w:rPr>
        <w:t>-24</w:t>
      </w:r>
      <w:r w:rsidRPr="008377B4">
        <w:rPr>
          <w:rFonts w:cstheme="minorHAnsi"/>
        </w:rPr>
        <w:t>.</w:t>
      </w:r>
    </w:p>
  </w:endnote>
  <w:endnote w:id="4">
    <w:p w14:paraId="3F9850C3" w14:textId="79190196" w:rsidR="006A3BFD" w:rsidRDefault="006A3BFD">
      <w:pPr>
        <w:pStyle w:val="EndnoteText"/>
      </w:pPr>
      <w:r>
        <w:rPr>
          <w:rStyle w:val="EndnoteReference"/>
        </w:rPr>
        <w:endnoteRef/>
      </w:r>
      <w:r>
        <w:t xml:space="preserve"> </w:t>
      </w:r>
      <w:r w:rsidRPr="008377B4">
        <w:rPr>
          <w:i/>
          <w:iCs/>
        </w:rPr>
        <w:t>Competition and Consumer Act 2010</w:t>
      </w:r>
      <w:r>
        <w:t xml:space="preserve"> (Cth), </w:t>
      </w:r>
      <w:r>
        <w:rPr>
          <w:rFonts w:cs="Open Sans"/>
          <w:color w:val="000000" w:themeColor="text1"/>
        </w:rPr>
        <w:t>ss 88 and 90 and see s 45AD for an example of conduct that may be authorised.</w:t>
      </w:r>
    </w:p>
  </w:endnote>
  <w:endnote w:id="5">
    <w:p w14:paraId="122FAB80" w14:textId="7F717488" w:rsidR="006A3BFD" w:rsidRDefault="006A3BFD">
      <w:pPr>
        <w:pStyle w:val="EndnoteText"/>
      </w:pPr>
      <w:r>
        <w:rPr>
          <w:rStyle w:val="EndnoteReference"/>
        </w:rPr>
        <w:endnoteRef/>
      </w:r>
      <w:r>
        <w:t xml:space="preserve"> </w:t>
      </w:r>
      <w:r w:rsidRPr="00F15272">
        <w:rPr>
          <w:i/>
          <w:iCs/>
        </w:rPr>
        <w:t>Competition and Consumer Act 2010</w:t>
      </w:r>
      <w:r>
        <w:t xml:space="preserve"> (Cth), </w:t>
      </w:r>
      <w:r>
        <w:rPr>
          <w:rFonts w:cs="Open Sans"/>
          <w:color w:val="000000" w:themeColor="text1"/>
        </w:rPr>
        <w:t>ss 90(7)(c).</w:t>
      </w:r>
    </w:p>
  </w:endnote>
  <w:endnote w:id="6">
    <w:p w14:paraId="46845191" w14:textId="5930A20E" w:rsidR="006A3BFD" w:rsidRDefault="006A3BFD">
      <w:pPr>
        <w:pStyle w:val="EndnoteText"/>
      </w:pPr>
      <w:r>
        <w:rPr>
          <w:rStyle w:val="EndnoteReference"/>
        </w:rPr>
        <w:endnoteRef/>
      </w:r>
      <w:r>
        <w:t xml:space="preserve"> </w:t>
      </w:r>
      <w:r w:rsidRPr="00F15272">
        <w:rPr>
          <w:rFonts w:cs="Open Sans"/>
          <w:i/>
          <w:iCs/>
          <w:color w:val="000000" w:themeColor="text1"/>
        </w:rPr>
        <w:t>Telecommunications Act 1997</w:t>
      </w:r>
      <w:r>
        <w:rPr>
          <w:rFonts w:cs="Open Sans"/>
          <w:color w:val="000000" w:themeColor="text1"/>
        </w:rPr>
        <w:t xml:space="preserve"> (Cth), s 313(4B).</w:t>
      </w:r>
    </w:p>
  </w:endnote>
  <w:endnote w:id="7">
    <w:p w14:paraId="2762F0AA" w14:textId="02879D89" w:rsidR="006A3BFD" w:rsidRDefault="006A3BFD">
      <w:pPr>
        <w:pStyle w:val="EndnoteText"/>
      </w:pPr>
      <w:r>
        <w:rPr>
          <w:rStyle w:val="EndnoteReference"/>
        </w:rPr>
        <w:endnoteRef/>
      </w:r>
      <w:r>
        <w:t xml:space="preserve"> </w:t>
      </w:r>
      <w:r w:rsidRPr="00F15272">
        <w:rPr>
          <w:rFonts w:cs="Open Sans"/>
          <w:i/>
          <w:iCs/>
          <w:color w:val="000000" w:themeColor="text1"/>
        </w:rPr>
        <w:t>Telecommunications Act 1997</w:t>
      </w:r>
      <w:r>
        <w:rPr>
          <w:rFonts w:cs="Open Sans"/>
          <w:color w:val="000000" w:themeColor="text1"/>
        </w:rPr>
        <w:t xml:space="preserve"> (Cth), s 313(7).</w:t>
      </w:r>
    </w:p>
  </w:endnote>
  <w:endnote w:id="8">
    <w:p w14:paraId="17E3DD22" w14:textId="2FCF5595" w:rsidR="006A3BFD" w:rsidRPr="008377B4" w:rsidRDefault="006A3BFD">
      <w:pPr>
        <w:pStyle w:val="EndnoteText"/>
      </w:pPr>
      <w:r>
        <w:rPr>
          <w:rStyle w:val="EndnoteReference"/>
        </w:rPr>
        <w:endnoteRef/>
      </w:r>
      <w:r>
        <w:t xml:space="preserve"> </w:t>
      </w:r>
      <w:r w:rsidRPr="008377B4">
        <w:rPr>
          <w:rFonts w:cstheme="minorHAnsi"/>
          <w:i/>
          <w:iCs/>
        </w:rPr>
        <w:t>Jervis Bay Territory Emergency Management Ordinance 2015</w:t>
      </w:r>
      <w:r>
        <w:rPr>
          <w:rFonts w:cstheme="minorHAnsi"/>
          <w:i/>
          <w:iCs/>
        </w:rPr>
        <w:t xml:space="preserve"> </w:t>
      </w:r>
      <w:r w:rsidRPr="008377B4">
        <w:rPr>
          <w:rFonts w:cstheme="minorHAnsi"/>
        </w:rPr>
        <w:t>(Cth),</w:t>
      </w:r>
      <w:r w:rsidRPr="008377B4">
        <w:rPr>
          <w:rFonts w:cstheme="minorHAnsi"/>
          <w:i/>
          <w:iCs/>
        </w:rPr>
        <w:t xml:space="preserve"> </w:t>
      </w:r>
      <w:r w:rsidRPr="008377B4">
        <w:rPr>
          <w:rFonts w:cstheme="minorHAnsi"/>
        </w:rPr>
        <w:t xml:space="preserve">s 15. </w:t>
      </w:r>
    </w:p>
  </w:endnote>
  <w:endnote w:id="9">
    <w:p w14:paraId="40993BE2" w14:textId="6C9C0593" w:rsidR="006A3BFD" w:rsidRPr="008377B4" w:rsidRDefault="006A3BFD">
      <w:pPr>
        <w:pStyle w:val="EndnoteText"/>
      </w:pPr>
      <w:r>
        <w:rPr>
          <w:rStyle w:val="EndnoteReference"/>
        </w:rPr>
        <w:endnoteRef/>
      </w:r>
      <w:r>
        <w:t xml:space="preserve"> </w:t>
      </w:r>
      <w:r w:rsidRPr="008377B4">
        <w:rPr>
          <w:rFonts w:cstheme="minorHAnsi"/>
          <w:i/>
          <w:iCs/>
        </w:rPr>
        <w:t>Christmas Island Emergency Management Ordinance 2012</w:t>
      </w:r>
      <w:r w:rsidR="006521CE">
        <w:rPr>
          <w:rFonts w:cstheme="minorHAnsi"/>
          <w:i/>
          <w:iCs/>
        </w:rPr>
        <w:t xml:space="preserve"> </w:t>
      </w:r>
      <w:r w:rsidR="006521CE" w:rsidRPr="008377B4">
        <w:rPr>
          <w:rFonts w:cstheme="minorHAnsi"/>
        </w:rPr>
        <w:t>(</w:t>
      </w:r>
      <w:r w:rsidR="006521CE" w:rsidRPr="008377B4">
        <w:rPr>
          <w:rFonts w:cstheme="minorHAnsi"/>
        </w:rPr>
        <w:t>Cth)</w:t>
      </w:r>
      <w:r w:rsidRPr="008377B4">
        <w:rPr>
          <w:rFonts w:cstheme="minorHAnsi"/>
        </w:rPr>
        <w:t>, ss 16A and 17.</w:t>
      </w:r>
    </w:p>
  </w:endnote>
  <w:endnote w:id="10">
    <w:p w14:paraId="481972D3" w14:textId="5AE1E670" w:rsidR="006A3BFD" w:rsidRPr="008377B4" w:rsidRDefault="006A3BFD">
      <w:pPr>
        <w:pStyle w:val="EndnoteText"/>
      </w:pPr>
      <w:r>
        <w:rPr>
          <w:rStyle w:val="EndnoteReference"/>
        </w:rPr>
        <w:endnoteRef/>
      </w:r>
      <w:r>
        <w:t xml:space="preserve"> </w:t>
      </w:r>
      <w:r w:rsidRPr="008377B4">
        <w:rPr>
          <w:rFonts w:cstheme="minorHAnsi"/>
          <w:i/>
          <w:iCs/>
        </w:rPr>
        <w:t>Cocos (Keeling) Islands Emergency Management Ordinance 2012</w:t>
      </w:r>
      <w:r w:rsidR="006521CE">
        <w:rPr>
          <w:rFonts w:cstheme="minorHAnsi"/>
          <w:i/>
          <w:iCs/>
        </w:rPr>
        <w:t xml:space="preserve"> </w:t>
      </w:r>
      <w:r w:rsidR="006521CE" w:rsidRPr="008377B4">
        <w:rPr>
          <w:rFonts w:cstheme="minorHAnsi"/>
        </w:rPr>
        <w:t>(</w:t>
      </w:r>
      <w:r w:rsidR="006521CE" w:rsidRPr="008377B4">
        <w:rPr>
          <w:rFonts w:cstheme="minorHAnsi"/>
        </w:rPr>
        <w:t>Cth)</w:t>
      </w:r>
      <w:r w:rsidRPr="008377B4">
        <w:rPr>
          <w:rFonts w:cstheme="minorHAnsi"/>
        </w:rPr>
        <w:t>, ss 16A and 17.</w:t>
      </w:r>
    </w:p>
  </w:endnote>
  <w:endnote w:id="11">
    <w:p w14:paraId="2E7788A2" w14:textId="73E383D2" w:rsidR="006A3BFD" w:rsidRPr="008377B4" w:rsidRDefault="006A3BFD">
      <w:pPr>
        <w:pStyle w:val="EndnoteText"/>
        <w:rPr>
          <w:sz w:val="22"/>
          <w:szCs w:val="22"/>
        </w:rPr>
      </w:pPr>
      <w:r>
        <w:rPr>
          <w:rStyle w:val="EndnoteReference"/>
        </w:rPr>
        <w:endnoteRef/>
      </w:r>
      <w:r>
        <w:t xml:space="preserve"> </w:t>
      </w:r>
      <w:r w:rsidRPr="008377B4">
        <w:rPr>
          <w:rFonts w:cstheme="minorHAnsi"/>
          <w:i/>
          <w:iCs/>
        </w:rPr>
        <w:t xml:space="preserve">Disaster and Emergency Management Act 2001 </w:t>
      </w:r>
      <w:r w:rsidRPr="008377B4">
        <w:rPr>
          <w:rFonts w:cstheme="minorHAnsi"/>
        </w:rPr>
        <w:t>(</w:t>
      </w:r>
      <w:r w:rsidR="006521CE">
        <w:rPr>
          <w:rFonts w:cstheme="minorHAnsi"/>
        </w:rPr>
        <w:t>NI</w:t>
      </w:r>
      <w:r w:rsidRPr="008377B4">
        <w:rPr>
          <w:rFonts w:cstheme="minorHAnsi"/>
        </w:rPr>
        <w:t>), s 9.</w:t>
      </w:r>
    </w:p>
  </w:endnote>
  <w:endnote w:id="12">
    <w:p w14:paraId="19C6E640" w14:textId="6C47C197" w:rsidR="006A3BFD" w:rsidRDefault="006A3BFD">
      <w:pPr>
        <w:pStyle w:val="EndnoteText"/>
      </w:pPr>
      <w:r>
        <w:rPr>
          <w:rStyle w:val="EndnoteReference"/>
        </w:rPr>
        <w:endnoteRef/>
      </w:r>
      <w:r>
        <w:t xml:space="preserve"> Revised Explanatory Memorandum, National Emergency Declaration Bill 2020 (Cth) 1</w:t>
      </w:r>
      <w:r>
        <w:rPr>
          <w:lang w:val="en-US"/>
        </w:rPr>
        <w:t>7.</w:t>
      </w:r>
      <w:r>
        <w:t xml:space="preserve"> </w:t>
      </w:r>
    </w:p>
  </w:endnote>
  <w:endnote w:id="13">
    <w:p w14:paraId="2EED2E6C" w14:textId="7E9867B7" w:rsidR="006A3BFD" w:rsidRPr="006D2C8C" w:rsidRDefault="006A3BFD">
      <w:pPr>
        <w:pStyle w:val="EndnoteText"/>
        <w:rPr>
          <w:lang w:val="en-US"/>
        </w:rPr>
      </w:pPr>
      <w:r>
        <w:rPr>
          <w:rStyle w:val="EndnoteReference"/>
        </w:rPr>
        <w:endnoteRef/>
      </w:r>
      <w:r>
        <w:t xml:space="preserve"> </w:t>
      </w:r>
      <w:r>
        <w:rPr>
          <w:lang w:val="en-US"/>
        </w:rPr>
        <w:t xml:space="preserve">See </w:t>
      </w:r>
      <w:r w:rsidRPr="006D2C8C">
        <w:rPr>
          <w:i/>
          <w:iCs/>
          <w:lang w:val="en-US"/>
        </w:rPr>
        <w:t>Biosecurity Act 2015</w:t>
      </w:r>
      <w:r>
        <w:rPr>
          <w:lang w:val="en-US"/>
        </w:rPr>
        <w:t xml:space="preserve"> (Cth), ss 444 and 476.</w:t>
      </w:r>
    </w:p>
  </w:endnote>
  <w:endnote w:id="14">
    <w:p w14:paraId="3232E8EB" w14:textId="77777777" w:rsidR="006A3BFD" w:rsidRPr="001E395E" w:rsidRDefault="006A3BFD" w:rsidP="00144003">
      <w:pPr>
        <w:pStyle w:val="EndnoteText"/>
        <w:rPr>
          <w:lang w:val="en-US"/>
        </w:rPr>
      </w:pPr>
      <w:r>
        <w:rPr>
          <w:rStyle w:val="EndnoteReference"/>
        </w:rPr>
        <w:endnoteRef/>
      </w:r>
      <w:r>
        <w:t xml:space="preserve"> Revised </w:t>
      </w:r>
      <w:r w:rsidRPr="009B7FC7">
        <w:t>Explanatory Memorandum</w:t>
      </w:r>
      <w:r>
        <w:t>, National Emergency Declaration Bill 2020 (Cth) 1</w:t>
      </w:r>
      <w:r>
        <w:rPr>
          <w:lang w:val="en-US"/>
        </w:rPr>
        <w:t>7.</w:t>
      </w:r>
    </w:p>
  </w:endnote>
  <w:endnote w:id="15">
    <w:p w14:paraId="15CD24C0" w14:textId="657846EE" w:rsidR="006A3BFD" w:rsidRDefault="006A3BFD">
      <w:pPr>
        <w:pStyle w:val="EndnoteText"/>
      </w:pPr>
      <w:r>
        <w:rPr>
          <w:rStyle w:val="EndnoteReference"/>
        </w:rPr>
        <w:endnoteRef/>
      </w:r>
      <w:r>
        <w:t xml:space="preserve"> Revised Explanatory Memorandum, National Emergency Declaration Bill 2020 (Cth) 21.</w:t>
      </w:r>
    </w:p>
  </w:endnote>
  <w:endnote w:id="16">
    <w:p w14:paraId="244C4A6C" w14:textId="2FFEBE0A" w:rsidR="006A3BFD" w:rsidRDefault="006A3BFD">
      <w:pPr>
        <w:pStyle w:val="EndnoteText"/>
      </w:pPr>
      <w:r>
        <w:rPr>
          <w:rStyle w:val="EndnoteReference"/>
        </w:rPr>
        <w:endnoteRef/>
      </w:r>
      <w:r>
        <w:t xml:space="preserve"> Revised Explanatory Memorandum, National Emergency Declaration Bill 2020 (Cth) 10.</w:t>
      </w:r>
    </w:p>
  </w:endnote>
  <w:endnote w:id="17">
    <w:p w14:paraId="331CA34A" w14:textId="3719BC40" w:rsidR="006A3BFD" w:rsidRDefault="006A3BFD">
      <w:pPr>
        <w:pStyle w:val="EndnoteText"/>
      </w:pPr>
      <w:r>
        <w:rPr>
          <w:rStyle w:val="EndnoteReference"/>
        </w:rPr>
        <w:endnoteRef/>
      </w:r>
      <w:r>
        <w:t xml:space="preserve"> Standing Committee for the Scrutiny of Bills, Scrutiny Digest 3 of 2021 (February 2021) 35. </w:t>
      </w:r>
    </w:p>
  </w:endnote>
  <w:endnote w:id="18">
    <w:p w14:paraId="4164C8C7" w14:textId="2FC5571E" w:rsidR="006A3BFD" w:rsidRDefault="006A3BFD">
      <w:pPr>
        <w:pStyle w:val="EndnoteText"/>
      </w:pPr>
      <w:r>
        <w:rPr>
          <w:rStyle w:val="EndnoteReference"/>
        </w:rPr>
        <w:endnoteRef/>
      </w:r>
      <w:r>
        <w:t xml:space="preserve"> Revised Explanatory Memorandum, National Emergency Declaration Bill 2020 (Cth) 13.</w:t>
      </w:r>
    </w:p>
  </w:endnote>
  <w:endnote w:id="19">
    <w:p w14:paraId="50E54B56" w14:textId="1393497E" w:rsidR="006A3BFD" w:rsidRPr="006D6A93" w:rsidRDefault="006A3BFD" w:rsidP="00593B8C">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11(1)(a).</w:t>
      </w:r>
    </w:p>
  </w:endnote>
  <w:endnote w:id="20">
    <w:p w14:paraId="0C64274A" w14:textId="77777777" w:rsidR="006A3BFD" w:rsidRDefault="006A3BFD" w:rsidP="007326E6">
      <w:pPr>
        <w:pStyle w:val="EndnoteText"/>
      </w:pPr>
      <w:r>
        <w:rPr>
          <w:rStyle w:val="EndnoteReference"/>
        </w:rPr>
        <w:endnoteRef/>
      </w:r>
      <w:r>
        <w:t xml:space="preserve"> Revised </w:t>
      </w:r>
      <w:r w:rsidRPr="009B7FC7">
        <w:t>Explanatory Memorandum</w:t>
      </w:r>
      <w:r>
        <w:t>, National Emergency Declaration Bill 2020 (Cth) 1</w:t>
      </w:r>
      <w:r>
        <w:rPr>
          <w:lang w:val="en-US"/>
        </w:rPr>
        <w:t>3.</w:t>
      </w:r>
    </w:p>
  </w:endnote>
  <w:endnote w:id="21">
    <w:p w14:paraId="19A384BA" w14:textId="590F1428" w:rsidR="006A3BFD" w:rsidRDefault="006A3BFD">
      <w:pPr>
        <w:pStyle w:val="EndnoteText"/>
      </w:pPr>
      <w:r>
        <w:rPr>
          <w:rStyle w:val="EndnoteReference"/>
        </w:rPr>
        <w:endnoteRef/>
      </w:r>
      <w:r>
        <w:t xml:space="preserve"> Revised </w:t>
      </w:r>
      <w:r w:rsidRPr="009B7FC7">
        <w:t>Explanatory Memorandum</w:t>
      </w:r>
      <w:r>
        <w:t>, National Emergency Declaration Bill 2020 (Cth) 1</w:t>
      </w:r>
      <w:r>
        <w:rPr>
          <w:lang w:val="en-US"/>
        </w:rPr>
        <w:t>3-14.</w:t>
      </w:r>
    </w:p>
  </w:endnote>
  <w:endnote w:id="22">
    <w:p w14:paraId="322C59B2" w14:textId="1016E478" w:rsidR="006A3BFD" w:rsidRPr="00B10A6C" w:rsidRDefault="006A3BFD" w:rsidP="00B10A6C">
      <w:pPr>
        <w:pStyle w:val="Default"/>
        <w:rPr>
          <w:rFonts w:ascii="Open Sans" w:eastAsia="MS Mincho" w:hAnsi="Open Sans" w:cs="Times New Roman"/>
          <w:i/>
          <w:iCs/>
          <w:color w:val="auto"/>
          <w:sz w:val="20"/>
          <w:szCs w:val="20"/>
          <w:lang w:val="en-US" w:eastAsia="en-AU"/>
        </w:rPr>
      </w:pPr>
      <w:r>
        <w:rPr>
          <w:rStyle w:val="EndnoteReference"/>
        </w:rPr>
        <w:endnoteRef/>
      </w:r>
      <w:r>
        <w:t xml:space="preserve"> </w:t>
      </w:r>
      <w:r w:rsidRPr="00B10A6C">
        <w:rPr>
          <w:rFonts w:ascii="Open Sans" w:eastAsia="MS Mincho" w:hAnsi="Open Sans" w:cs="Times New Roman"/>
          <w:i/>
          <w:iCs/>
          <w:color w:val="auto"/>
          <w:sz w:val="20"/>
          <w:szCs w:val="20"/>
          <w:lang w:val="en-US" w:eastAsia="en-AU"/>
        </w:rPr>
        <w:t xml:space="preserve">State Emergency and Rescue Management Act </w:t>
      </w:r>
      <w:r w:rsidRPr="00B10A6C">
        <w:rPr>
          <w:rFonts w:ascii="Open Sans" w:eastAsia="MS Mincho" w:hAnsi="Open Sans" w:cs="Times New Roman"/>
          <w:color w:val="auto"/>
          <w:sz w:val="20"/>
          <w:szCs w:val="20"/>
          <w:lang w:val="en-US" w:eastAsia="en-AU"/>
        </w:rPr>
        <w:t>1989 (NSW), s 4;</w:t>
      </w:r>
      <w:r w:rsidRPr="00B10A6C">
        <w:rPr>
          <w:rFonts w:ascii="Open Sans" w:eastAsia="MS Mincho" w:hAnsi="Open Sans" w:cs="Times New Roman"/>
          <w:i/>
          <w:iCs/>
          <w:color w:val="auto"/>
          <w:sz w:val="20"/>
          <w:szCs w:val="20"/>
          <w:lang w:val="en-US" w:eastAsia="en-AU"/>
        </w:rPr>
        <w:t xml:space="preserve"> Emergency Management Act 2013 </w:t>
      </w:r>
      <w:r w:rsidRPr="00B10A6C">
        <w:rPr>
          <w:rFonts w:ascii="Open Sans" w:eastAsia="MS Mincho" w:hAnsi="Open Sans" w:cs="Times New Roman"/>
          <w:color w:val="auto"/>
          <w:sz w:val="20"/>
          <w:szCs w:val="20"/>
          <w:lang w:val="en-US" w:eastAsia="en-AU"/>
        </w:rPr>
        <w:t>(Vic), s 3;</w:t>
      </w:r>
      <w:r w:rsidRPr="00B10A6C">
        <w:rPr>
          <w:rFonts w:ascii="Open Sans" w:eastAsia="MS Mincho" w:hAnsi="Open Sans" w:cs="Times New Roman"/>
          <w:i/>
          <w:iCs/>
          <w:color w:val="auto"/>
          <w:sz w:val="20"/>
          <w:szCs w:val="20"/>
          <w:lang w:val="en-US" w:eastAsia="en-AU"/>
        </w:rPr>
        <w:t xml:space="preserve"> </w:t>
      </w:r>
      <w:r>
        <w:rPr>
          <w:rFonts w:ascii="Open Sans" w:eastAsia="MS Mincho" w:hAnsi="Open Sans" w:cs="Times New Roman"/>
          <w:i/>
          <w:iCs/>
          <w:color w:val="auto"/>
          <w:sz w:val="20"/>
          <w:szCs w:val="20"/>
          <w:lang w:val="en-US" w:eastAsia="en-AU"/>
        </w:rPr>
        <w:t xml:space="preserve">Emergency Management Act 2004 </w:t>
      </w:r>
      <w:r w:rsidRPr="00B10A6C">
        <w:rPr>
          <w:rFonts w:ascii="Open Sans" w:eastAsia="MS Mincho" w:hAnsi="Open Sans" w:cs="Times New Roman"/>
          <w:color w:val="auto"/>
          <w:sz w:val="20"/>
          <w:szCs w:val="20"/>
          <w:lang w:val="en-US" w:eastAsia="en-AU"/>
        </w:rPr>
        <w:t>(SA), s 3;</w:t>
      </w:r>
      <w:r>
        <w:rPr>
          <w:rFonts w:ascii="Open Sans" w:eastAsia="MS Mincho" w:hAnsi="Open Sans" w:cs="Times New Roman"/>
          <w:i/>
          <w:iCs/>
          <w:color w:val="auto"/>
          <w:sz w:val="20"/>
          <w:szCs w:val="20"/>
          <w:lang w:val="en-US" w:eastAsia="en-AU"/>
        </w:rPr>
        <w:t xml:space="preserve"> Emergency Management Act 2005 </w:t>
      </w:r>
      <w:r w:rsidRPr="00B10A6C">
        <w:rPr>
          <w:rFonts w:ascii="Open Sans" w:eastAsia="MS Mincho" w:hAnsi="Open Sans" w:cs="Times New Roman"/>
          <w:color w:val="auto"/>
          <w:sz w:val="20"/>
          <w:szCs w:val="20"/>
          <w:lang w:val="en-US" w:eastAsia="en-AU"/>
        </w:rPr>
        <w:t xml:space="preserve">(WA), s 3; </w:t>
      </w:r>
      <w:r>
        <w:rPr>
          <w:rFonts w:ascii="Open Sans" w:eastAsia="MS Mincho" w:hAnsi="Open Sans" w:cs="Times New Roman"/>
          <w:i/>
          <w:iCs/>
          <w:color w:val="auto"/>
          <w:sz w:val="20"/>
          <w:szCs w:val="20"/>
          <w:lang w:val="en-US" w:eastAsia="en-AU"/>
        </w:rPr>
        <w:t xml:space="preserve">Emergency Management Act 2006 </w:t>
      </w:r>
      <w:r w:rsidRPr="001B3D52">
        <w:rPr>
          <w:rFonts w:ascii="Open Sans" w:eastAsia="MS Mincho" w:hAnsi="Open Sans" w:cs="Times New Roman"/>
          <w:color w:val="auto"/>
          <w:sz w:val="20"/>
          <w:szCs w:val="20"/>
          <w:lang w:val="en-US" w:eastAsia="en-AU"/>
        </w:rPr>
        <w:t>(Tas), s 3;</w:t>
      </w:r>
      <w:r>
        <w:rPr>
          <w:rFonts w:ascii="Open Sans" w:eastAsia="MS Mincho" w:hAnsi="Open Sans" w:cs="Times New Roman"/>
          <w:i/>
          <w:iCs/>
          <w:color w:val="auto"/>
          <w:sz w:val="20"/>
          <w:szCs w:val="20"/>
          <w:lang w:val="en-US" w:eastAsia="en-AU"/>
        </w:rPr>
        <w:t xml:space="preserve"> </w:t>
      </w:r>
      <w:r w:rsidRPr="00B10A6C">
        <w:rPr>
          <w:rFonts w:ascii="Open Sans" w:eastAsia="MS Mincho" w:hAnsi="Open Sans" w:cs="Times New Roman"/>
          <w:i/>
          <w:iCs/>
          <w:color w:val="auto"/>
          <w:sz w:val="20"/>
          <w:szCs w:val="20"/>
          <w:lang w:val="en-US" w:eastAsia="en-AU"/>
        </w:rPr>
        <w:t xml:space="preserve">Emergencies Act 2004 </w:t>
      </w:r>
      <w:r w:rsidRPr="00B10A6C">
        <w:rPr>
          <w:rFonts w:ascii="Open Sans" w:eastAsia="MS Mincho" w:hAnsi="Open Sans" w:cs="Times New Roman"/>
          <w:color w:val="auto"/>
          <w:sz w:val="20"/>
          <w:szCs w:val="20"/>
          <w:lang w:val="en-US" w:eastAsia="en-AU"/>
        </w:rPr>
        <w:t xml:space="preserve">(ACT), s 4; </w:t>
      </w:r>
      <w:r w:rsidRPr="00F556F2">
        <w:rPr>
          <w:rFonts w:ascii="Open Sans" w:eastAsia="MS Mincho" w:hAnsi="Open Sans" w:cs="Times New Roman"/>
          <w:i/>
          <w:iCs/>
          <w:color w:val="auto"/>
          <w:sz w:val="20"/>
          <w:szCs w:val="20"/>
          <w:lang w:val="en-US" w:eastAsia="en-AU"/>
        </w:rPr>
        <w:t xml:space="preserve">Emergency Management Act 2013 </w:t>
      </w:r>
      <w:r w:rsidRPr="00F556F2">
        <w:rPr>
          <w:rFonts w:ascii="Open Sans" w:eastAsia="MS Mincho" w:hAnsi="Open Sans" w:cs="Times New Roman"/>
          <w:color w:val="auto"/>
          <w:sz w:val="20"/>
          <w:szCs w:val="20"/>
          <w:lang w:val="en-US" w:eastAsia="en-AU"/>
        </w:rPr>
        <w:t>(NT</w:t>
      </w:r>
      <w:r w:rsidRPr="00895F9E">
        <w:rPr>
          <w:rFonts w:ascii="Open Sans" w:eastAsia="MS Mincho" w:hAnsi="Open Sans" w:cs="Open Sans"/>
          <w:color w:val="auto"/>
          <w:sz w:val="20"/>
          <w:szCs w:val="20"/>
          <w:lang w:val="en-US" w:eastAsia="en-AU"/>
        </w:rPr>
        <w:t xml:space="preserve">), s 8; </w:t>
      </w:r>
      <w:r w:rsidRPr="00CB7994">
        <w:rPr>
          <w:rFonts w:ascii="Open Sans" w:hAnsi="Open Sans" w:cs="Open Sans"/>
          <w:i/>
          <w:iCs/>
          <w:sz w:val="20"/>
          <w:szCs w:val="20"/>
          <w:lang w:val="en-US"/>
        </w:rPr>
        <w:t>Disaster Management Act 2003</w:t>
      </w:r>
      <w:r w:rsidRPr="00CB7994">
        <w:rPr>
          <w:rFonts w:ascii="Open Sans" w:hAnsi="Open Sans" w:cs="Open Sans"/>
          <w:sz w:val="20"/>
          <w:szCs w:val="20"/>
          <w:lang w:val="en-US"/>
        </w:rPr>
        <w:t xml:space="preserve"> (Qld), s 13</w:t>
      </w:r>
      <w:r w:rsidRPr="00895F9E">
        <w:rPr>
          <w:rFonts w:ascii="Open Sans" w:eastAsia="MS Mincho" w:hAnsi="Open Sans" w:cs="Open Sans"/>
          <w:color w:val="auto"/>
          <w:sz w:val="20"/>
          <w:szCs w:val="20"/>
          <w:lang w:val="en-US" w:eastAsia="en-AU"/>
        </w:rPr>
        <w:t>.</w:t>
      </w:r>
    </w:p>
  </w:endnote>
  <w:endnote w:id="23">
    <w:p w14:paraId="2D696F1E" w14:textId="08C57113" w:rsidR="006A3BFD" w:rsidRPr="001B3D52" w:rsidRDefault="006A3BFD">
      <w:pPr>
        <w:pStyle w:val="EndnoteText"/>
        <w:rPr>
          <w:lang w:val="en-US"/>
        </w:rPr>
      </w:pPr>
      <w:r>
        <w:rPr>
          <w:rStyle w:val="EndnoteReference"/>
        </w:rPr>
        <w:endnoteRef/>
      </w:r>
      <w:r>
        <w:t xml:space="preserve"> </w:t>
      </w:r>
      <w:r w:rsidRPr="00F556F2">
        <w:rPr>
          <w:i/>
          <w:iCs/>
          <w:lang w:val="en-US"/>
        </w:rPr>
        <w:t>Emergency Management Act 2013</w:t>
      </w:r>
      <w:r>
        <w:rPr>
          <w:lang w:val="en-US"/>
        </w:rPr>
        <w:t xml:space="preserve"> (NT), s 8. </w:t>
      </w:r>
    </w:p>
  </w:endnote>
  <w:endnote w:id="24">
    <w:p w14:paraId="33047D86" w14:textId="5449D63D" w:rsidR="006A3BFD" w:rsidRPr="00B36055" w:rsidRDefault="006A3BFD">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15(2).</w:t>
      </w:r>
    </w:p>
  </w:endnote>
  <w:endnote w:id="25">
    <w:p w14:paraId="1702CE7A" w14:textId="3BF89B86" w:rsidR="006A3BFD" w:rsidRPr="00B36055" w:rsidRDefault="006A3BFD">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15(1).</w:t>
      </w:r>
    </w:p>
  </w:endnote>
  <w:endnote w:id="26">
    <w:p w14:paraId="0729D630" w14:textId="7DB51836" w:rsidR="006A3BFD" w:rsidRPr="00B36055" w:rsidRDefault="006A3BFD">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15(4).</w:t>
      </w:r>
    </w:p>
  </w:endnote>
  <w:endnote w:id="27">
    <w:p w14:paraId="678AFD63" w14:textId="77777777" w:rsidR="006A3BFD" w:rsidRPr="002D3CD7" w:rsidRDefault="006A3BFD" w:rsidP="008066E1">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15(6).</w:t>
      </w:r>
    </w:p>
  </w:endnote>
  <w:endnote w:id="28">
    <w:p w14:paraId="0B0C3138" w14:textId="77777777" w:rsidR="006A3BFD" w:rsidRPr="00567383" w:rsidRDefault="006A3BFD" w:rsidP="00273415">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15(7).</w:t>
      </w:r>
    </w:p>
  </w:endnote>
  <w:endnote w:id="29">
    <w:p w14:paraId="29D305DA" w14:textId="4F0C3FFA" w:rsidR="006A3BFD" w:rsidRPr="00B36055" w:rsidRDefault="006A3BFD">
      <w:pPr>
        <w:pStyle w:val="EndnoteText"/>
        <w:rPr>
          <w:lang w:val="en-US"/>
        </w:rPr>
      </w:pPr>
      <w:r>
        <w:rPr>
          <w:rStyle w:val="EndnoteReference"/>
        </w:rPr>
        <w:endnoteRef/>
      </w:r>
      <w:r>
        <w:t xml:space="preserve"> </w:t>
      </w:r>
      <w:r w:rsidRPr="00567383">
        <w:rPr>
          <w:i/>
          <w:iCs/>
          <w:lang w:val="en-US"/>
        </w:rPr>
        <w:t>National Emergency Declaration Act 2020</w:t>
      </w:r>
      <w:r>
        <w:rPr>
          <w:lang w:val="en-US"/>
        </w:rPr>
        <w:t xml:space="preserve"> (Cth), s 15(7).</w:t>
      </w:r>
    </w:p>
  </w:endnote>
  <w:endnote w:id="30">
    <w:p w14:paraId="23A2ABE2" w14:textId="0B62F00E" w:rsidR="006A3BFD" w:rsidRPr="00B36055" w:rsidRDefault="006A3BFD">
      <w:pPr>
        <w:pStyle w:val="EndnoteText"/>
        <w:rPr>
          <w:lang w:val="en-US"/>
        </w:rPr>
      </w:pPr>
      <w:r>
        <w:rPr>
          <w:rStyle w:val="EndnoteReference"/>
        </w:rPr>
        <w:endnoteRef/>
      </w:r>
      <w:r>
        <w:t xml:space="preserve"> Senate </w:t>
      </w:r>
      <w:r>
        <w:rPr>
          <w:lang w:val="en-US"/>
        </w:rPr>
        <w:t>Standing Committee for the Scrutiny of Bills, The Work of the Committee during the 41</w:t>
      </w:r>
      <w:r w:rsidRPr="00B36055">
        <w:rPr>
          <w:vertAlign w:val="superscript"/>
          <w:lang w:val="en-US"/>
        </w:rPr>
        <w:t>st</w:t>
      </w:r>
      <w:r>
        <w:rPr>
          <w:lang w:val="en-US"/>
        </w:rPr>
        <w:t xml:space="preserve"> Parliament November 2004 – October 2007 (September 2008) 5.4.</w:t>
      </w:r>
    </w:p>
  </w:endnote>
  <w:endnote w:id="31">
    <w:p w14:paraId="61C4E462" w14:textId="4261B527" w:rsidR="00DE13E7" w:rsidRPr="00B36055" w:rsidRDefault="00DE13E7">
      <w:pPr>
        <w:pStyle w:val="EndnoteText"/>
        <w:rPr>
          <w:lang w:val="en-US"/>
        </w:rPr>
      </w:pPr>
      <w:r>
        <w:rPr>
          <w:rStyle w:val="EndnoteReference"/>
        </w:rPr>
        <w:endnoteRef/>
      </w:r>
      <w:r>
        <w:t xml:space="preserve"> </w:t>
      </w:r>
      <w:r>
        <w:rPr>
          <w:lang w:val="en-US"/>
        </w:rPr>
        <w:t xml:space="preserve">Department of the Prime Minister and Cabinet, Legislation Handbook (February 2007) </w:t>
      </w:r>
      <w:r w:rsidR="00BD65F2">
        <w:rPr>
          <w:lang w:val="en-US"/>
        </w:rPr>
        <w:t>2</w:t>
      </w:r>
      <w:r>
        <w:rPr>
          <w:lang w:val="en-US"/>
        </w:rPr>
        <w:t>.</w:t>
      </w:r>
    </w:p>
  </w:endnote>
  <w:endnote w:id="32">
    <w:p w14:paraId="3D133137" w14:textId="1FCEB1F5" w:rsidR="00741830" w:rsidRPr="00B36055" w:rsidRDefault="00741830">
      <w:pPr>
        <w:pStyle w:val="EndnoteText"/>
        <w:rPr>
          <w:lang w:val="en-US"/>
        </w:rPr>
      </w:pPr>
      <w:r>
        <w:rPr>
          <w:rStyle w:val="EndnoteReference"/>
        </w:rPr>
        <w:endnoteRef/>
      </w:r>
      <w:r>
        <w:t xml:space="preserve"> </w:t>
      </w:r>
      <w:r>
        <w:rPr>
          <w:lang w:val="en-US"/>
        </w:rPr>
        <w:t>Department of the Prime Minister and Cabinet, Legislation Handbook (February 2007) 43</w:t>
      </w:r>
      <w:r w:rsidR="00C67173">
        <w:rPr>
          <w:lang w:val="en-US"/>
        </w:rPr>
        <w:t>.</w:t>
      </w:r>
    </w:p>
  </w:endnote>
  <w:endnote w:id="33">
    <w:p w14:paraId="28A7D8DD" w14:textId="77777777" w:rsidR="00DE13E7" w:rsidRPr="009F0928" w:rsidRDefault="00DE13E7" w:rsidP="00DE13E7">
      <w:pPr>
        <w:pStyle w:val="EndnoteText"/>
        <w:rPr>
          <w:lang w:val="en-US"/>
        </w:rPr>
      </w:pPr>
      <w:r>
        <w:rPr>
          <w:rStyle w:val="EndnoteReference"/>
        </w:rPr>
        <w:endnoteRef/>
      </w:r>
      <w:r>
        <w:t xml:space="preserve"> Senate </w:t>
      </w:r>
      <w:r>
        <w:rPr>
          <w:lang w:val="en-US"/>
        </w:rPr>
        <w:t>Standing Committee for the Scrutiny of Bills, The Work of the Committee during the 41</w:t>
      </w:r>
      <w:r w:rsidRPr="009F0928">
        <w:rPr>
          <w:vertAlign w:val="superscript"/>
          <w:lang w:val="en-US"/>
        </w:rPr>
        <w:t>st</w:t>
      </w:r>
      <w:r>
        <w:rPr>
          <w:lang w:val="en-US"/>
        </w:rPr>
        <w:t xml:space="preserve"> Parliament November 2004 – October 2007 (September 2008) 5.4.</w:t>
      </w:r>
    </w:p>
  </w:endnote>
  <w:endnote w:id="34">
    <w:p w14:paraId="4EA1764F" w14:textId="248A2CE5" w:rsidR="00A12018" w:rsidRPr="00B36055" w:rsidRDefault="00A12018">
      <w:pPr>
        <w:pStyle w:val="EndnoteText"/>
        <w:rPr>
          <w:lang w:val="en-US"/>
        </w:rPr>
      </w:pPr>
      <w:r>
        <w:rPr>
          <w:rStyle w:val="EndnoteReference"/>
        </w:rPr>
        <w:endnoteRef/>
      </w:r>
      <w:r>
        <w:t xml:space="preserve"> </w:t>
      </w:r>
      <w:r w:rsidR="009405BA">
        <w:t xml:space="preserve">See, for example, </w:t>
      </w:r>
      <w:r>
        <w:t xml:space="preserve">Australian Law Reform Commission, ALRC Report 129, Traditional Rights and Freedoms—Encroachments by Commonwealth Laws (December 2015) </w:t>
      </w:r>
      <w:r w:rsidR="00D8674A">
        <w:t xml:space="preserve">454-455; </w:t>
      </w:r>
      <w:r w:rsidR="004565BE">
        <w:t>Queensland Law Reform Commission, Report No. 39, Henry VIII Clauses (June 1990);</w:t>
      </w:r>
      <w:r w:rsidR="00975E2D">
        <w:t xml:space="preserve"> Legislative Assembly of Queensland, Scrutiny of Legislation Committee, The use of “Henry VIII Clauses” in Queensland Legislation (January 2017); </w:t>
      </w:r>
      <w:r w:rsidR="001F46DC">
        <w:t xml:space="preserve">Western Australia, Legislative Council, Standing Committee on Legislation, Report 19, Revenue Laws Amendment Bill 2012, (September 2012) 1-4; </w:t>
      </w:r>
      <w:r w:rsidR="00975E2D">
        <w:t>Legislative Assembly for the ACT, Standing Committee on Justice and Community Safety (performing the duties of a Scrutiny of Bills and Subordinate Legislation Committee), Henry VIII clauses Fact sheet (November 2011)</w:t>
      </w:r>
      <w:r>
        <w:t>.</w:t>
      </w:r>
    </w:p>
  </w:endnote>
  <w:endnote w:id="35">
    <w:p w14:paraId="61984F4B" w14:textId="0E41CA59" w:rsidR="006A3BFD" w:rsidRPr="00EA2343" w:rsidRDefault="006A3BFD">
      <w:pPr>
        <w:pStyle w:val="EndnoteText"/>
        <w:rPr>
          <w:lang w:val="en-US"/>
        </w:rPr>
      </w:pPr>
      <w:r>
        <w:rPr>
          <w:rStyle w:val="EndnoteReference"/>
        </w:rPr>
        <w:endnoteRef/>
      </w:r>
      <w:r>
        <w:t xml:space="preserve"> Revised </w:t>
      </w:r>
      <w:r w:rsidRPr="009B7FC7">
        <w:t>Explanatory Memorandum</w:t>
      </w:r>
      <w:r>
        <w:t>, National Emergency Declaration Bill 2020 (</w:t>
      </w:r>
      <w:r>
        <w:t>Cth) 22-23</w:t>
      </w:r>
      <w:r>
        <w:rPr>
          <w:lang w:val="en-US"/>
        </w:rPr>
        <w:t xml:space="preserve">. </w:t>
      </w:r>
    </w:p>
  </w:endnote>
  <w:endnote w:id="36">
    <w:p w14:paraId="68E7ABD9" w14:textId="0CFC7148" w:rsidR="006A3BFD" w:rsidRPr="00EA2343" w:rsidRDefault="006A3BFD">
      <w:pPr>
        <w:pStyle w:val="EndnoteText"/>
        <w:rPr>
          <w:lang w:val="en-US"/>
        </w:rPr>
      </w:pPr>
      <w:r>
        <w:rPr>
          <w:rStyle w:val="EndnoteReference"/>
        </w:rPr>
        <w:endnoteRef/>
      </w:r>
      <w:r>
        <w:t xml:space="preserve"> Revised </w:t>
      </w:r>
      <w:r w:rsidRPr="009B7FC7">
        <w:t>Explanatory Memorandum</w:t>
      </w:r>
      <w:r>
        <w:t>, National Emergency Declaration Bill 2020 (Cth) 23</w:t>
      </w:r>
      <w:r>
        <w:rPr>
          <w:lang w:val="en-US"/>
        </w:rPr>
        <w:t>.</w:t>
      </w:r>
    </w:p>
  </w:endnote>
  <w:endnote w:id="37">
    <w:p w14:paraId="5282A367" w14:textId="0D004194" w:rsidR="006A3BFD" w:rsidRPr="00AE3CF4" w:rsidRDefault="006A3BFD" w:rsidP="00D61B16">
      <w:pPr>
        <w:pStyle w:val="EndnoteText"/>
        <w:rPr>
          <w:lang w:val="en-US"/>
        </w:rPr>
      </w:pPr>
      <w:r>
        <w:rPr>
          <w:rStyle w:val="EndnoteReference"/>
        </w:rPr>
        <w:endnoteRef/>
      </w:r>
      <w:r>
        <w:t xml:space="preserve"> Revised </w:t>
      </w:r>
      <w:r w:rsidRPr="009B7FC7">
        <w:t>Explanatory Memorandum</w:t>
      </w:r>
      <w:r>
        <w:t xml:space="preserve">, National Emergency Declaration Bill 2020 (Cth) </w:t>
      </w:r>
      <w:r>
        <w:rPr>
          <w:lang w:val="en-US"/>
        </w:rPr>
        <w:t>23.</w:t>
      </w:r>
    </w:p>
  </w:endnote>
  <w:endnote w:id="38">
    <w:p w14:paraId="7AB321A6" w14:textId="2B3E2D1C" w:rsidR="008F341E" w:rsidRDefault="008F341E">
      <w:pPr>
        <w:pStyle w:val="EndnoteText"/>
      </w:pPr>
      <w:r>
        <w:rPr>
          <w:rStyle w:val="EndnoteReference"/>
        </w:rPr>
        <w:endnoteRef/>
      </w:r>
      <w:r>
        <w:t xml:space="preserve"> Revised </w:t>
      </w:r>
      <w:r w:rsidRPr="009B7FC7">
        <w:t>Explanatory Memorandum</w:t>
      </w:r>
      <w:r>
        <w:t>, National Emergency Declaration Bill 2020 (</w:t>
      </w:r>
      <w:r>
        <w:t xml:space="preserve">Cth) </w:t>
      </w:r>
      <w:r>
        <w:rPr>
          <w:lang w:val="en-US"/>
        </w:rPr>
        <w:t>23.</w:t>
      </w:r>
    </w:p>
  </w:endnote>
  <w:endnote w:id="39">
    <w:p w14:paraId="61D07F82" w14:textId="632B2CC8" w:rsidR="006A3BFD" w:rsidRDefault="006A3BFD">
      <w:pPr>
        <w:pStyle w:val="EndnoteText"/>
      </w:pPr>
      <w:r>
        <w:rPr>
          <w:rStyle w:val="EndnoteReference"/>
        </w:rPr>
        <w:endnoteRef/>
      </w:r>
      <w:r>
        <w:t xml:space="preserve"> Revised </w:t>
      </w:r>
      <w:r w:rsidRPr="009B7FC7">
        <w:t>Explanatory Memorandum</w:t>
      </w:r>
      <w:r>
        <w:t>, National Emergency Declaration Bill 2020 (</w:t>
      </w:r>
      <w:r>
        <w:t xml:space="preserve">Cth) </w:t>
      </w:r>
      <w:r>
        <w:rPr>
          <w:lang w:val="en-US"/>
        </w:rPr>
        <w:t>24.</w:t>
      </w:r>
    </w:p>
  </w:endnote>
  <w:endnote w:id="40">
    <w:p w14:paraId="6C46355C" w14:textId="1D628E57" w:rsidR="006A3BFD" w:rsidRPr="009439A8" w:rsidRDefault="006A3BFD">
      <w:pPr>
        <w:pStyle w:val="EndnoteText"/>
        <w:rPr>
          <w:lang w:val="en-US"/>
        </w:rPr>
      </w:pPr>
      <w:r>
        <w:rPr>
          <w:rStyle w:val="EndnoteReference"/>
        </w:rPr>
        <w:endnoteRef/>
      </w:r>
      <w:r>
        <w:t xml:space="preserve"> </w:t>
      </w:r>
      <w:r w:rsidRPr="009439A8">
        <w:rPr>
          <w:i/>
          <w:iCs/>
          <w:lang w:val="en-US"/>
        </w:rPr>
        <w:t>National Emergency Declaration Act 2020</w:t>
      </w:r>
      <w:r>
        <w:rPr>
          <w:lang w:val="en-US"/>
        </w:rPr>
        <w:t xml:space="preserve"> (Cth), </w:t>
      </w:r>
      <w:r>
        <w:rPr>
          <w:rFonts w:cs="Open Sans"/>
          <w:color w:val="000000" w:themeColor="text1"/>
        </w:rPr>
        <w:t>s 12(5).</w:t>
      </w:r>
    </w:p>
  </w:endnote>
  <w:endnote w:id="41">
    <w:p w14:paraId="730B74B0" w14:textId="410CF4E1" w:rsidR="006A3BFD" w:rsidRPr="009439A8" w:rsidRDefault="006A3BFD">
      <w:pPr>
        <w:pStyle w:val="EndnoteText"/>
        <w:rPr>
          <w:lang w:val="en-US"/>
        </w:rPr>
      </w:pPr>
      <w:r>
        <w:rPr>
          <w:rStyle w:val="EndnoteReference"/>
        </w:rPr>
        <w:endnoteRef/>
      </w:r>
      <w:r>
        <w:t xml:space="preserve"> </w:t>
      </w:r>
      <w:r w:rsidRPr="009439A8">
        <w:rPr>
          <w:i/>
          <w:iCs/>
          <w:lang w:val="en-US"/>
        </w:rPr>
        <w:t>National Emergency Declaration Act 2020</w:t>
      </w:r>
      <w:r>
        <w:rPr>
          <w:lang w:val="en-US"/>
        </w:rPr>
        <w:t xml:space="preserve"> (Cth), s 13(3).</w:t>
      </w:r>
    </w:p>
  </w:endnote>
  <w:endnote w:id="42">
    <w:p w14:paraId="73B03774" w14:textId="1A57E622" w:rsidR="006A3BFD" w:rsidRPr="009439A8" w:rsidRDefault="006A3BFD">
      <w:pPr>
        <w:pStyle w:val="EndnoteText"/>
        <w:rPr>
          <w:lang w:val="en-US"/>
        </w:rPr>
      </w:pPr>
      <w:r>
        <w:rPr>
          <w:rStyle w:val="EndnoteReference"/>
        </w:rPr>
        <w:endnoteRef/>
      </w:r>
      <w:r>
        <w:t xml:space="preserve"> </w:t>
      </w:r>
      <w:r w:rsidRPr="009439A8">
        <w:rPr>
          <w:i/>
          <w:iCs/>
          <w:lang w:val="en-US"/>
        </w:rPr>
        <w:t>National Emergency Declaration Act 2020</w:t>
      </w:r>
      <w:r>
        <w:rPr>
          <w:lang w:val="en-US"/>
        </w:rPr>
        <w:t xml:space="preserve"> (Cth), s 14(2). </w:t>
      </w:r>
    </w:p>
  </w:endnote>
  <w:endnote w:id="43">
    <w:p w14:paraId="421A12EA" w14:textId="44D162D6" w:rsidR="006A3BFD" w:rsidRPr="00BB68D0" w:rsidRDefault="006A3BFD">
      <w:pPr>
        <w:pStyle w:val="EndnoteText"/>
        <w:rPr>
          <w:lang w:val="en-US"/>
        </w:rPr>
      </w:pPr>
      <w:r>
        <w:rPr>
          <w:rStyle w:val="EndnoteReference"/>
        </w:rPr>
        <w:endnoteRef/>
      </w:r>
      <w:r>
        <w:t xml:space="preserve"> See </w:t>
      </w:r>
      <w:r w:rsidRPr="00BB68D0">
        <w:rPr>
          <w:i/>
          <w:iCs/>
          <w:lang w:val="en-US"/>
        </w:rPr>
        <w:t>Biosecurity Act 2015</w:t>
      </w:r>
      <w:r>
        <w:rPr>
          <w:lang w:val="en-US"/>
        </w:rPr>
        <w:t xml:space="preserve"> (Cth), s 443(1). </w:t>
      </w:r>
    </w:p>
  </w:endnote>
  <w:endnote w:id="44">
    <w:p w14:paraId="0DD49200" w14:textId="0A1D6C08" w:rsidR="006A3BFD" w:rsidRPr="00BB68D0" w:rsidRDefault="006A3BFD">
      <w:pPr>
        <w:pStyle w:val="EndnoteText"/>
        <w:rPr>
          <w:lang w:val="en-US"/>
        </w:rPr>
      </w:pPr>
      <w:r>
        <w:rPr>
          <w:rStyle w:val="EndnoteReference"/>
        </w:rPr>
        <w:endnoteRef/>
      </w:r>
      <w:r>
        <w:t xml:space="preserve"> See </w:t>
      </w:r>
      <w:r w:rsidRPr="00BB68D0">
        <w:rPr>
          <w:i/>
          <w:iCs/>
          <w:lang w:val="en-US"/>
        </w:rPr>
        <w:t>Biosecurity Act 2015</w:t>
      </w:r>
      <w:r>
        <w:rPr>
          <w:lang w:val="en-US"/>
        </w:rPr>
        <w:t xml:space="preserve"> (Cth), s 475(1).</w:t>
      </w:r>
    </w:p>
  </w:endnote>
  <w:endnote w:id="45">
    <w:p w14:paraId="6D13CD6D" w14:textId="4D79E816" w:rsidR="006A3BFD" w:rsidRPr="00BB68D0" w:rsidRDefault="006A3BFD">
      <w:pPr>
        <w:pStyle w:val="EndnoteText"/>
        <w:rPr>
          <w:lang w:val="en-US"/>
        </w:rPr>
      </w:pPr>
      <w:r>
        <w:rPr>
          <w:rStyle w:val="EndnoteReference"/>
        </w:rPr>
        <w:endnoteRef/>
      </w:r>
      <w:r>
        <w:t xml:space="preserve"> See </w:t>
      </w:r>
      <w:r w:rsidRPr="00BB68D0">
        <w:rPr>
          <w:i/>
          <w:iCs/>
          <w:lang w:val="en-US"/>
        </w:rPr>
        <w:t xml:space="preserve">Biosecurity Act 2015 </w:t>
      </w:r>
      <w:r>
        <w:rPr>
          <w:lang w:val="en-US"/>
        </w:rPr>
        <w:t>(Cth), ss 444(1) and 476(1).</w:t>
      </w:r>
    </w:p>
  </w:endnote>
  <w:endnote w:id="46">
    <w:p w14:paraId="05E026B0" w14:textId="084F8A5E" w:rsidR="006A3BFD" w:rsidRPr="00E968FE" w:rsidRDefault="006A3BFD">
      <w:pPr>
        <w:pStyle w:val="EndnoteText"/>
        <w:rPr>
          <w:lang w:val="en-US"/>
        </w:rPr>
      </w:pPr>
      <w:r>
        <w:rPr>
          <w:rStyle w:val="EndnoteReference"/>
        </w:rPr>
        <w:endnoteRef/>
      </w:r>
      <w:r>
        <w:t xml:space="preserve"> See </w:t>
      </w:r>
      <w:r w:rsidRPr="00E968FE">
        <w:rPr>
          <w:i/>
          <w:iCs/>
          <w:lang w:val="en-US"/>
        </w:rPr>
        <w:t>Biosecurity Act 2015</w:t>
      </w:r>
      <w:r>
        <w:rPr>
          <w:lang w:val="en-US"/>
        </w:rPr>
        <w:t xml:space="preserve"> (Cth), ss 443(2), 444(2), 475(2) and 476(2).</w:t>
      </w:r>
    </w:p>
  </w:endnote>
  <w:endnote w:id="47">
    <w:p w14:paraId="5A8FBF38" w14:textId="77777777" w:rsidR="00136515" w:rsidRPr="00D26E33" w:rsidRDefault="00136515" w:rsidP="00136515">
      <w:pPr>
        <w:pStyle w:val="EndnoteText"/>
        <w:rPr>
          <w:lang w:val="en-US"/>
        </w:rPr>
      </w:pPr>
      <w:r>
        <w:rPr>
          <w:rStyle w:val="EndnoteReference"/>
        </w:rPr>
        <w:endnoteRef/>
      </w:r>
      <w:r>
        <w:t xml:space="preserve"> Revised </w:t>
      </w:r>
      <w:r w:rsidRPr="009B7FC7">
        <w:t>Explanatory Memorandum</w:t>
      </w:r>
      <w:r>
        <w:t>, National Emergency Declaration Bill 2020 (</w:t>
      </w:r>
      <w:r>
        <w:t xml:space="preserve">Cth) </w:t>
      </w:r>
      <w:r>
        <w:rPr>
          <w:lang w:val="en-US"/>
        </w:rPr>
        <w:t>17.</w:t>
      </w:r>
    </w:p>
  </w:endnote>
  <w:endnote w:id="48">
    <w:p w14:paraId="3752D740" w14:textId="77777777" w:rsidR="00476202" w:rsidRDefault="00476202" w:rsidP="00476202">
      <w:pPr>
        <w:pStyle w:val="EndnoteText"/>
      </w:pPr>
      <w:r>
        <w:rPr>
          <w:rStyle w:val="EndnoteReference"/>
        </w:rPr>
        <w:endnoteRef/>
      </w:r>
      <w:r>
        <w:t xml:space="preserve"> Senate Standing Committee for the Scrutiny of Bills, Scrutiny Digest 3 of 2021 (February 2021) 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C17D" w14:textId="77777777" w:rsidR="006A3BFD" w:rsidRPr="000465F1" w:rsidRDefault="006A3BFD" w:rsidP="00660E50">
    <w:pPr>
      <w:pStyle w:val="Footer"/>
    </w:pPr>
    <w:r w:rsidRPr="000465F1">
      <w:t>ABN 47 996 232 602</w:t>
    </w:r>
  </w:p>
  <w:p w14:paraId="1A499CBF" w14:textId="77777777" w:rsidR="006A3BFD" w:rsidRPr="000465F1" w:rsidRDefault="006A3BFD" w:rsidP="00660E50">
    <w:pPr>
      <w:pStyle w:val="Footer"/>
    </w:pPr>
    <w:r w:rsidRPr="000465F1">
      <w:t>Level 3, 175 Pitt Street, Sydney NSW 2000</w:t>
    </w:r>
  </w:p>
  <w:p w14:paraId="150F180B" w14:textId="77777777" w:rsidR="006A3BFD" w:rsidRPr="000465F1" w:rsidRDefault="006A3BFD" w:rsidP="00660E50">
    <w:pPr>
      <w:pStyle w:val="Footer"/>
    </w:pPr>
    <w:r w:rsidRPr="000465F1">
      <w:t>GPO Box 5218, Sydney NSW 2001</w:t>
    </w:r>
  </w:p>
  <w:p w14:paraId="7F1A0A80" w14:textId="77777777" w:rsidR="006A3BFD" w:rsidRPr="000465F1" w:rsidRDefault="006A3BFD" w:rsidP="00660E50">
    <w:pPr>
      <w:pStyle w:val="Footer"/>
    </w:pPr>
    <w:r w:rsidRPr="000465F1">
      <w:t>General enquiries 1300 369 711</w:t>
    </w:r>
  </w:p>
  <w:p w14:paraId="2511CCA8" w14:textId="77777777" w:rsidR="006A3BFD" w:rsidRPr="000465F1" w:rsidRDefault="006A3BFD" w:rsidP="00660E50">
    <w:pPr>
      <w:pStyle w:val="Footer"/>
    </w:pPr>
    <w:r w:rsidRPr="000465F1">
      <w:t>Complaints info line 1300 656 419</w:t>
    </w:r>
  </w:p>
  <w:p w14:paraId="36E5221F" w14:textId="77777777" w:rsidR="006A3BFD" w:rsidRPr="000465F1" w:rsidRDefault="006A3BFD" w:rsidP="00660E50">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30E4" w14:textId="77777777" w:rsidR="006A3BFD" w:rsidRDefault="006A3BFD">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E39" w14:textId="77777777" w:rsidR="006A3BFD" w:rsidRDefault="006A3BFD" w:rsidP="00660E50">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4CCA" w14:textId="77777777" w:rsidR="006A3BFD" w:rsidRDefault="006A3BFD" w:rsidP="00660E50">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9F27" w14:textId="77777777" w:rsidR="000F4907" w:rsidRDefault="000F4907" w:rsidP="002750B1">
      <w:pPr>
        <w:spacing w:after="0" w:line="240" w:lineRule="auto"/>
      </w:pPr>
      <w:r>
        <w:separator/>
      </w:r>
    </w:p>
  </w:footnote>
  <w:footnote w:type="continuationSeparator" w:id="0">
    <w:p w14:paraId="5DCED446" w14:textId="77777777" w:rsidR="000F4907" w:rsidRDefault="000F4907" w:rsidP="0027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D8F1" w14:textId="77777777" w:rsidR="006A3BFD" w:rsidRPr="000465F1" w:rsidRDefault="00225F83" w:rsidP="00660E50">
    <w:pPr>
      <w:pStyle w:val="Header"/>
    </w:pPr>
    <w:r>
      <w:rPr>
        <w:noProof/>
      </w:rPr>
      <w:pict w14:anchorId="43E25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6028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6A3BFD" w:rsidRPr="000465F1">
      <w:t>Australian Human Rights Commission</w:t>
    </w:r>
  </w:p>
  <w:p w14:paraId="335298C0" w14:textId="77777777" w:rsidR="006A3BFD" w:rsidRPr="00622508" w:rsidRDefault="006A3BFD" w:rsidP="00660E50">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09E8" w14:textId="77777777" w:rsidR="006A3BFD" w:rsidRPr="000465F1" w:rsidRDefault="00225F83" w:rsidP="00660E50">
    <w:r>
      <w:rPr>
        <w:noProof/>
      </w:rPr>
      <w:pict w14:anchorId="5DACA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9264;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6A3BFD" w:rsidRPr="000465F1">
      <w:t>Australian Human Rights Commission</w:t>
    </w:r>
  </w:p>
  <w:p w14:paraId="480EE260" w14:textId="77777777" w:rsidR="006A3BFD" w:rsidRPr="000465F1" w:rsidRDefault="006A3BFD" w:rsidP="00660E50">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189B" w14:textId="77777777" w:rsidR="006A3BFD" w:rsidRDefault="00225F83" w:rsidP="00660E50">
    <w:pPr>
      <w:pStyle w:val="Header"/>
    </w:pPr>
    <w:r>
      <w:rPr>
        <w:noProof/>
      </w:rPr>
      <w:pict w14:anchorId="43E04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0.3pt;margin-top:-108.5pt;width:595.65pt;height:870.15pt;z-index:-251658240;mso-wrap-edited:f;mso-width-percent:0;mso-height-percent:0;mso-position-horizontal-relative:margin;mso-position-vertical-relative:margin;mso-width-percent:0;mso-height-percent:0" o:allowincell="f">
          <v:imagedata r:id="rId1" o:title="MS word cover1"/>
          <w10:wrap anchorx="margin" anchory="margin"/>
        </v:shape>
      </w:pict>
    </w:r>
    <w:r>
      <w:rPr>
        <w:noProof/>
      </w:rPr>
      <w:pict w14:anchorId="0F0CAEF0">
        <v:shape id="WordPictureWatermark1034832" o:spid="_x0000_s2049" type="#_x0000_t75" alt="report watermark" style="position:absolute;left:0;text-align:left;margin-left:-70.9pt;margin-top:-109.05pt;width:595.1pt;height:869.4pt;z-index:-251657216;mso-wrap-edited:f;mso-width-percent:0;mso-height-percent:0;mso-position-horizontal-relative:margin;mso-position-vertical-relative:margin;mso-width-percent:0;mso-height-percent:0" o:allowincell="f">
          <v:imagedata r:id="rId2" o:title="report watermark"/>
          <w10:wrap anchorx="margin" anchory="margin"/>
        </v:shape>
      </w:pict>
    </w:r>
  </w:p>
  <w:p w14:paraId="23EABDC3" w14:textId="77777777" w:rsidR="006A3BFD" w:rsidRDefault="006A3BFD" w:rsidP="00660E50">
    <w:pPr>
      <w:pStyle w:val="Header"/>
    </w:pPr>
  </w:p>
  <w:p w14:paraId="7F7EB84E" w14:textId="77777777" w:rsidR="006A3BFD" w:rsidRDefault="006A3BFD" w:rsidP="00660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6E0F" w14:textId="77777777" w:rsidR="006A3BFD" w:rsidRPr="000465F1" w:rsidRDefault="006A3BFD" w:rsidP="00660E50">
    <w:pPr>
      <w:pStyle w:val="Header"/>
    </w:pPr>
    <w:r w:rsidRPr="000465F1">
      <w:t>Australian Human Rights Commission</w:t>
    </w:r>
  </w:p>
  <w:p w14:paraId="7CB6FFED" w14:textId="77777777" w:rsidR="006A3BFD" w:rsidRPr="000465F1" w:rsidRDefault="006A3BFD" w:rsidP="00660E50">
    <w:pPr>
      <w:pStyle w:val="HeaderDocumentDate"/>
    </w:pPr>
    <w:r>
      <w:rPr>
        <w:rStyle w:val="HeaderDocumentTitle"/>
      </w:rPr>
      <w:t>Commonwealth Integrity Commission Bill 2020</w:t>
    </w:r>
    <w:r w:rsidRPr="001F62CC">
      <w:rPr>
        <w:rStyle w:val="HeaderDocumentTitle"/>
      </w:rPr>
      <w:t>,</w:t>
    </w:r>
    <w:r>
      <w:t xml:space="preserve"> 12 February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6476" w14:textId="77777777" w:rsidR="006A3BFD" w:rsidRPr="000465F1" w:rsidRDefault="006A3BFD" w:rsidP="00660E50">
    <w:pPr>
      <w:pStyle w:val="Header"/>
    </w:pPr>
    <w:bookmarkStart w:id="22" w:name="_Hlk514672172"/>
    <w:bookmarkStart w:id="23" w:name="_Hlk514672173"/>
    <w:r w:rsidRPr="000465F1">
      <w:t>Australian Human Rights Commission</w:t>
    </w:r>
  </w:p>
  <w:bookmarkEnd w:id="22"/>
  <w:bookmarkEnd w:id="23"/>
  <w:p w14:paraId="3796FE5A" w14:textId="236BCF61" w:rsidR="006A3BFD" w:rsidRDefault="006A3BFD" w:rsidP="00972C72">
    <w:pPr>
      <w:pStyle w:val="HeaderDocumentDate"/>
    </w:pPr>
    <w:r>
      <w:rPr>
        <w:rStyle w:val="HeaderDocumentTitle"/>
      </w:rPr>
      <w:t>Review of National Emergency Declaration Act 2020</w:t>
    </w:r>
    <w:r w:rsidRPr="001F62CC">
      <w:rPr>
        <w:rStyle w:val="HeaderDocumentTitle"/>
      </w:rPr>
      <w:t>,</w:t>
    </w:r>
    <w:r>
      <w:t xml:space="preserve"> 2</w:t>
    </w:r>
    <w:r w:rsidR="00433223">
      <w:t>4</w:t>
    </w:r>
    <w:r>
      <w:t xml:space="preserve"> March 2021</w:t>
    </w:r>
  </w:p>
  <w:p w14:paraId="1F7191E0" w14:textId="77777777" w:rsidR="006A3BFD" w:rsidRPr="000465F1" w:rsidRDefault="006A3BFD" w:rsidP="00972C72">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F508" w14:textId="77777777" w:rsidR="006A3BFD" w:rsidRPr="000465F1" w:rsidRDefault="006A3BFD" w:rsidP="00660E50">
    <w:pPr>
      <w:pStyle w:val="Header"/>
    </w:pPr>
    <w:r w:rsidRPr="000465F1">
      <w:t>Australian Human Rights Commission</w:t>
    </w:r>
  </w:p>
  <w:p w14:paraId="66FD27D1" w14:textId="6FBDAE78" w:rsidR="006A3BFD" w:rsidRPr="000465F1" w:rsidRDefault="006A3BFD" w:rsidP="00660E50">
    <w:pPr>
      <w:pStyle w:val="HeaderDocumentDate"/>
    </w:pPr>
    <w:r>
      <w:rPr>
        <w:rStyle w:val="HeaderDocumentTitle"/>
      </w:rPr>
      <w:t>Review of National Emergency Declaration Act 2020</w:t>
    </w:r>
    <w:r w:rsidRPr="001F62CC">
      <w:rPr>
        <w:rStyle w:val="HeaderDocumentTitle"/>
      </w:rPr>
      <w:t>,</w:t>
    </w:r>
    <w:r>
      <w:t xml:space="preserve"> 2</w:t>
    </w:r>
    <w:r w:rsidR="00433223">
      <w:t>4</w:t>
    </w:r>
    <w:r>
      <w:t xml:space="preserve">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C46C77C"/>
    <w:lvl w:ilvl="0">
      <w:start w:val="1"/>
      <w:numFmt w:val="decimal"/>
      <w:pStyle w:val="ListNumber"/>
      <w:lvlText w:val="%1."/>
      <w:lvlJc w:val="left"/>
      <w:pPr>
        <w:tabs>
          <w:tab w:val="num" w:pos="360"/>
        </w:tabs>
        <w:ind w:left="360" w:hanging="360"/>
      </w:pPr>
    </w:lvl>
  </w:abstractNum>
  <w:abstractNum w:abstractNumId="1" w15:restartNumberingAfterBreak="0">
    <w:nsid w:val="03F61FD1"/>
    <w:multiLevelType w:val="multilevel"/>
    <w:tmpl w:val="95E60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10B26"/>
    <w:multiLevelType w:val="hybridMultilevel"/>
    <w:tmpl w:val="B10E18B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61724F3"/>
    <w:multiLevelType w:val="hybridMultilevel"/>
    <w:tmpl w:val="788E761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 w15:restartNumberingAfterBreak="0">
    <w:nsid w:val="258053D1"/>
    <w:multiLevelType w:val="hybridMultilevel"/>
    <w:tmpl w:val="6BBC8C3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B627BC1"/>
    <w:multiLevelType w:val="hybridMultilevel"/>
    <w:tmpl w:val="FED01168"/>
    <w:lvl w:ilvl="0" w:tplc="2E4C80B8">
      <w:start w:val="1"/>
      <w:numFmt w:val="decimal"/>
      <w:pStyle w:val="Subnumbered"/>
      <w:lvlText w:val="%1."/>
      <w:lvlJc w:val="left"/>
      <w:pPr>
        <w:ind w:left="1211" w:hanging="360"/>
      </w:pPr>
      <w:rPr>
        <w:rFonts w:hint="default"/>
        <w:color w:val="auto"/>
      </w:rPr>
    </w:lvl>
    <w:lvl w:ilvl="1" w:tplc="0C090001">
      <w:start w:val="1"/>
      <w:numFmt w:val="bullet"/>
      <w:lvlText w:val=""/>
      <w:lvlJc w:val="left"/>
      <w:pPr>
        <w:ind w:left="-4307" w:hanging="360"/>
      </w:pPr>
      <w:rPr>
        <w:rFonts w:ascii="Symbol" w:hAnsi="Symbol" w:hint="default"/>
      </w:r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tentative="1">
      <w:start w:val="1"/>
      <w:numFmt w:val="lowerRoman"/>
      <w:lvlText w:val="%6."/>
      <w:lvlJc w:val="right"/>
      <w:pPr>
        <w:ind w:left="-1427" w:hanging="180"/>
      </w:pPr>
    </w:lvl>
    <w:lvl w:ilvl="6" w:tplc="0C09000F" w:tentative="1">
      <w:start w:val="1"/>
      <w:numFmt w:val="decimal"/>
      <w:lvlText w:val="%7."/>
      <w:lvlJc w:val="left"/>
      <w:pPr>
        <w:ind w:left="-707" w:hanging="360"/>
      </w:pPr>
    </w:lvl>
    <w:lvl w:ilvl="7" w:tplc="0C090019" w:tentative="1">
      <w:start w:val="1"/>
      <w:numFmt w:val="lowerLetter"/>
      <w:lvlText w:val="%8."/>
      <w:lvlJc w:val="left"/>
      <w:pPr>
        <w:ind w:left="13" w:hanging="360"/>
      </w:pPr>
    </w:lvl>
    <w:lvl w:ilvl="8" w:tplc="0C09001B" w:tentative="1">
      <w:start w:val="1"/>
      <w:numFmt w:val="lowerRoman"/>
      <w:lvlText w:val="%9."/>
      <w:lvlJc w:val="right"/>
      <w:pPr>
        <w:ind w:left="733" w:hanging="180"/>
      </w:pPr>
    </w:lvl>
  </w:abstractNum>
  <w:abstractNum w:abstractNumId="6" w15:restartNumberingAfterBreak="0">
    <w:nsid w:val="2CDA674E"/>
    <w:multiLevelType w:val="hybridMultilevel"/>
    <w:tmpl w:val="CCD6DB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CE208C9"/>
    <w:multiLevelType w:val="multilevel"/>
    <w:tmpl w:val="71483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4C2541"/>
    <w:multiLevelType w:val="multilevel"/>
    <w:tmpl w:val="C264F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C4EA4"/>
    <w:multiLevelType w:val="hybridMultilevel"/>
    <w:tmpl w:val="578865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D159F4"/>
    <w:multiLevelType w:val="hybridMultilevel"/>
    <w:tmpl w:val="6390E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5AB7427"/>
    <w:multiLevelType w:val="multilevel"/>
    <w:tmpl w:val="95CE6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3" w15:restartNumberingAfterBreak="0">
    <w:nsid w:val="594A472A"/>
    <w:multiLevelType w:val="hybridMultilevel"/>
    <w:tmpl w:val="C6DC6FEC"/>
    <w:lvl w:ilvl="0" w:tplc="6C0A247A">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77C7F"/>
    <w:multiLevelType w:val="hybridMultilevel"/>
    <w:tmpl w:val="E0E2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049DF"/>
    <w:multiLevelType w:val="multilevel"/>
    <w:tmpl w:val="699C1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CA7DE8"/>
    <w:multiLevelType w:val="multilevel"/>
    <w:tmpl w:val="1C068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5"/>
  </w:num>
  <w:num w:numId="4">
    <w:abstractNumId w:val="9"/>
  </w:num>
  <w:num w:numId="5">
    <w:abstractNumId w:val="10"/>
  </w:num>
  <w:num w:numId="6">
    <w:abstractNumId w:val="2"/>
  </w:num>
  <w:num w:numId="7">
    <w:abstractNumId w:val="0"/>
  </w:num>
  <w:num w:numId="8">
    <w:abstractNumId w:val="0"/>
  </w:num>
  <w:num w:numId="9">
    <w:abstractNumId w:val="11"/>
  </w:num>
  <w:num w:numId="10">
    <w:abstractNumId w:val="15"/>
  </w:num>
  <w:num w:numId="11">
    <w:abstractNumId w:val="7"/>
  </w:num>
  <w:num w:numId="12">
    <w:abstractNumId w:val="8"/>
  </w:num>
  <w:num w:numId="13">
    <w:abstractNumId w:val="16"/>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1"/>
  </w:num>
  <w:num w:numId="30">
    <w:abstractNumId w:val="0"/>
  </w:num>
  <w:num w:numId="31">
    <w:abstractNumId w:val="1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4"/>
  </w:num>
  <w:num w:numId="39">
    <w:abstractNumId w:val="14"/>
  </w:num>
  <w:num w:numId="40">
    <w:abstractNumId w:val="0"/>
  </w:num>
  <w:num w:numId="41">
    <w:abstractNumId w:val="3"/>
  </w:num>
  <w:num w:numId="42">
    <w:abstractNumId w:val="6"/>
  </w:num>
  <w:num w:numId="43">
    <w:abstractNumId w:val="0"/>
  </w:num>
  <w:num w:numId="4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1"/>
    <w:rsid w:val="000000BD"/>
    <w:rsid w:val="00000AC4"/>
    <w:rsid w:val="000132E7"/>
    <w:rsid w:val="00017726"/>
    <w:rsid w:val="00051FB5"/>
    <w:rsid w:val="00057295"/>
    <w:rsid w:val="00060F97"/>
    <w:rsid w:val="00073A7B"/>
    <w:rsid w:val="000850DD"/>
    <w:rsid w:val="000A004E"/>
    <w:rsid w:val="000A472A"/>
    <w:rsid w:val="000B16D0"/>
    <w:rsid w:val="000C60D5"/>
    <w:rsid w:val="000D53D2"/>
    <w:rsid w:val="000D6F74"/>
    <w:rsid w:val="000E00C7"/>
    <w:rsid w:val="000E3777"/>
    <w:rsid w:val="000E7D8A"/>
    <w:rsid w:val="000F3271"/>
    <w:rsid w:val="000F4907"/>
    <w:rsid w:val="000F4963"/>
    <w:rsid w:val="00100521"/>
    <w:rsid w:val="0010127B"/>
    <w:rsid w:val="00102999"/>
    <w:rsid w:val="00122B82"/>
    <w:rsid w:val="00125FC9"/>
    <w:rsid w:val="0012698D"/>
    <w:rsid w:val="00127E67"/>
    <w:rsid w:val="00133DF3"/>
    <w:rsid w:val="00136515"/>
    <w:rsid w:val="0014232A"/>
    <w:rsid w:val="00143648"/>
    <w:rsid w:val="00144003"/>
    <w:rsid w:val="00156691"/>
    <w:rsid w:val="0016079C"/>
    <w:rsid w:val="00162F3A"/>
    <w:rsid w:val="00163B9A"/>
    <w:rsid w:val="00164E06"/>
    <w:rsid w:val="00172F87"/>
    <w:rsid w:val="001743E7"/>
    <w:rsid w:val="00177B1E"/>
    <w:rsid w:val="001857AC"/>
    <w:rsid w:val="0018765A"/>
    <w:rsid w:val="00190AFF"/>
    <w:rsid w:val="00190E4A"/>
    <w:rsid w:val="00192744"/>
    <w:rsid w:val="00196614"/>
    <w:rsid w:val="001A01DD"/>
    <w:rsid w:val="001A0A15"/>
    <w:rsid w:val="001B159D"/>
    <w:rsid w:val="001B3D52"/>
    <w:rsid w:val="001B47B4"/>
    <w:rsid w:val="001C594B"/>
    <w:rsid w:val="001C76FE"/>
    <w:rsid w:val="001E1255"/>
    <w:rsid w:val="001E35D8"/>
    <w:rsid w:val="001E395E"/>
    <w:rsid w:val="001E729F"/>
    <w:rsid w:val="001F3D67"/>
    <w:rsid w:val="001F46DC"/>
    <w:rsid w:val="00205485"/>
    <w:rsid w:val="00207255"/>
    <w:rsid w:val="00211C7B"/>
    <w:rsid w:val="00212C73"/>
    <w:rsid w:val="00217C09"/>
    <w:rsid w:val="00221816"/>
    <w:rsid w:val="00225F83"/>
    <w:rsid w:val="00233641"/>
    <w:rsid w:val="0023535E"/>
    <w:rsid w:val="00256B5C"/>
    <w:rsid w:val="00261410"/>
    <w:rsid w:val="00263988"/>
    <w:rsid w:val="0027127C"/>
    <w:rsid w:val="00271DE1"/>
    <w:rsid w:val="00273415"/>
    <w:rsid w:val="002750B1"/>
    <w:rsid w:val="00277764"/>
    <w:rsid w:val="002806B4"/>
    <w:rsid w:val="0028210E"/>
    <w:rsid w:val="00291BFD"/>
    <w:rsid w:val="00295561"/>
    <w:rsid w:val="0029615A"/>
    <w:rsid w:val="002B10D8"/>
    <w:rsid w:val="002B7338"/>
    <w:rsid w:val="002C453E"/>
    <w:rsid w:val="002C7FAC"/>
    <w:rsid w:val="002D3CD7"/>
    <w:rsid w:val="002D72EE"/>
    <w:rsid w:val="002E00B5"/>
    <w:rsid w:val="002E3E91"/>
    <w:rsid w:val="002E403C"/>
    <w:rsid w:val="002F05DC"/>
    <w:rsid w:val="002F16B1"/>
    <w:rsid w:val="002F3374"/>
    <w:rsid w:val="002F7B7A"/>
    <w:rsid w:val="00303970"/>
    <w:rsid w:val="00306CD0"/>
    <w:rsid w:val="00307C58"/>
    <w:rsid w:val="00311552"/>
    <w:rsid w:val="0031393C"/>
    <w:rsid w:val="00315C14"/>
    <w:rsid w:val="00332F07"/>
    <w:rsid w:val="00336E17"/>
    <w:rsid w:val="003378AC"/>
    <w:rsid w:val="00343E78"/>
    <w:rsid w:val="003474D7"/>
    <w:rsid w:val="003623F7"/>
    <w:rsid w:val="0037461E"/>
    <w:rsid w:val="00381C33"/>
    <w:rsid w:val="00386222"/>
    <w:rsid w:val="00390CE2"/>
    <w:rsid w:val="00392D8D"/>
    <w:rsid w:val="0039389B"/>
    <w:rsid w:val="00394A4E"/>
    <w:rsid w:val="0039552E"/>
    <w:rsid w:val="00396B70"/>
    <w:rsid w:val="003C3B73"/>
    <w:rsid w:val="003D0C60"/>
    <w:rsid w:val="003E0006"/>
    <w:rsid w:val="003E64BA"/>
    <w:rsid w:val="003E761A"/>
    <w:rsid w:val="003F4CAA"/>
    <w:rsid w:val="003F5CC2"/>
    <w:rsid w:val="00415062"/>
    <w:rsid w:val="0041561A"/>
    <w:rsid w:val="004264AE"/>
    <w:rsid w:val="004321C7"/>
    <w:rsid w:val="00433223"/>
    <w:rsid w:val="00433CDD"/>
    <w:rsid w:val="0045138A"/>
    <w:rsid w:val="004565BE"/>
    <w:rsid w:val="004610C3"/>
    <w:rsid w:val="004669FD"/>
    <w:rsid w:val="00476202"/>
    <w:rsid w:val="00487284"/>
    <w:rsid w:val="0049237B"/>
    <w:rsid w:val="004C5150"/>
    <w:rsid w:val="004D0046"/>
    <w:rsid w:val="004D0308"/>
    <w:rsid w:val="004E6A96"/>
    <w:rsid w:val="005059B0"/>
    <w:rsid w:val="00516D94"/>
    <w:rsid w:val="00530FDB"/>
    <w:rsid w:val="005330AE"/>
    <w:rsid w:val="005433CC"/>
    <w:rsid w:val="00544836"/>
    <w:rsid w:val="00555C2E"/>
    <w:rsid w:val="00562000"/>
    <w:rsid w:val="00563E1F"/>
    <w:rsid w:val="0056524B"/>
    <w:rsid w:val="00567383"/>
    <w:rsid w:val="00576B71"/>
    <w:rsid w:val="00577E2F"/>
    <w:rsid w:val="00583E64"/>
    <w:rsid w:val="00585A23"/>
    <w:rsid w:val="0058762C"/>
    <w:rsid w:val="00593B8C"/>
    <w:rsid w:val="00594699"/>
    <w:rsid w:val="005A0FD1"/>
    <w:rsid w:val="005A346B"/>
    <w:rsid w:val="005A414F"/>
    <w:rsid w:val="005A7629"/>
    <w:rsid w:val="005B0DE9"/>
    <w:rsid w:val="005B49F7"/>
    <w:rsid w:val="005C09D9"/>
    <w:rsid w:val="005C6AD0"/>
    <w:rsid w:val="005D2A43"/>
    <w:rsid w:val="005D43D0"/>
    <w:rsid w:val="005D75E4"/>
    <w:rsid w:val="005E329D"/>
    <w:rsid w:val="005F1F18"/>
    <w:rsid w:val="005F487F"/>
    <w:rsid w:val="0061178C"/>
    <w:rsid w:val="00631662"/>
    <w:rsid w:val="00635B4D"/>
    <w:rsid w:val="00645DAE"/>
    <w:rsid w:val="00650109"/>
    <w:rsid w:val="00651179"/>
    <w:rsid w:val="006521CE"/>
    <w:rsid w:val="00660E50"/>
    <w:rsid w:val="006643C6"/>
    <w:rsid w:val="00670E8C"/>
    <w:rsid w:val="00675FE5"/>
    <w:rsid w:val="00693617"/>
    <w:rsid w:val="00695329"/>
    <w:rsid w:val="00696539"/>
    <w:rsid w:val="006A3BFD"/>
    <w:rsid w:val="006B2555"/>
    <w:rsid w:val="006C4D11"/>
    <w:rsid w:val="006D2C8C"/>
    <w:rsid w:val="006D5BA4"/>
    <w:rsid w:val="006D6A93"/>
    <w:rsid w:val="006E65E5"/>
    <w:rsid w:val="006E6C84"/>
    <w:rsid w:val="006F136E"/>
    <w:rsid w:val="006F1576"/>
    <w:rsid w:val="00700533"/>
    <w:rsid w:val="00700F60"/>
    <w:rsid w:val="00704708"/>
    <w:rsid w:val="0071034A"/>
    <w:rsid w:val="00711D48"/>
    <w:rsid w:val="0071298A"/>
    <w:rsid w:val="00720611"/>
    <w:rsid w:val="0072420F"/>
    <w:rsid w:val="00724290"/>
    <w:rsid w:val="00731EA2"/>
    <w:rsid w:val="007326E6"/>
    <w:rsid w:val="007353DC"/>
    <w:rsid w:val="00741830"/>
    <w:rsid w:val="0074455E"/>
    <w:rsid w:val="0075061D"/>
    <w:rsid w:val="00752162"/>
    <w:rsid w:val="007550B1"/>
    <w:rsid w:val="00762920"/>
    <w:rsid w:val="007709F5"/>
    <w:rsid w:val="00773CB4"/>
    <w:rsid w:val="00776F4D"/>
    <w:rsid w:val="00787DA3"/>
    <w:rsid w:val="00793E9E"/>
    <w:rsid w:val="007A2ACC"/>
    <w:rsid w:val="007A4A29"/>
    <w:rsid w:val="007B44B7"/>
    <w:rsid w:val="007C3C33"/>
    <w:rsid w:val="007C43CF"/>
    <w:rsid w:val="007C7C17"/>
    <w:rsid w:val="007D0B80"/>
    <w:rsid w:val="007E02B5"/>
    <w:rsid w:val="007E5ED8"/>
    <w:rsid w:val="007F4625"/>
    <w:rsid w:val="00800B99"/>
    <w:rsid w:val="008066E1"/>
    <w:rsid w:val="0082232F"/>
    <w:rsid w:val="00826ABC"/>
    <w:rsid w:val="0083499E"/>
    <w:rsid w:val="00836E1E"/>
    <w:rsid w:val="008377B4"/>
    <w:rsid w:val="00837CB0"/>
    <w:rsid w:val="00840614"/>
    <w:rsid w:val="008522BE"/>
    <w:rsid w:val="00855A2B"/>
    <w:rsid w:val="00855CE4"/>
    <w:rsid w:val="00857115"/>
    <w:rsid w:val="0086134D"/>
    <w:rsid w:val="00862DCD"/>
    <w:rsid w:val="00864429"/>
    <w:rsid w:val="00864E5C"/>
    <w:rsid w:val="008731B1"/>
    <w:rsid w:val="00873931"/>
    <w:rsid w:val="0088675E"/>
    <w:rsid w:val="00891D69"/>
    <w:rsid w:val="00895DC0"/>
    <w:rsid w:val="00895F9E"/>
    <w:rsid w:val="008B33C0"/>
    <w:rsid w:val="008C23E6"/>
    <w:rsid w:val="008D282C"/>
    <w:rsid w:val="008D3EAF"/>
    <w:rsid w:val="008D641C"/>
    <w:rsid w:val="008E3739"/>
    <w:rsid w:val="008E5A60"/>
    <w:rsid w:val="008F341E"/>
    <w:rsid w:val="00910C6F"/>
    <w:rsid w:val="00913878"/>
    <w:rsid w:val="00917B18"/>
    <w:rsid w:val="00920C46"/>
    <w:rsid w:val="00921BF5"/>
    <w:rsid w:val="009405BA"/>
    <w:rsid w:val="009439A8"/>
    <w:rsid w:val="009453CF"/>
    <w:rsid w:val="009555E6"/>
    <w:rsid w:val="00963E95"/>
    <w:rsid w:val="00964CC7"/>
    <w:rsid w:val="00972C72"/>
    <w:rsid w:val="00975E2D"/>
    <w:rsid w:val="00977119"/>
    <w:rsid w:val="009771DC"/>
    <w:rsid w:val="009830F2"/>
    <w:rsid w:val="00987BB3"/>
    <w:rsid w:val="009918C0"/>
    <w:rsid w:val="00994647"/>
    <w:rsid w:val="009B1F83"/>
    <w:rsid w:val="009B43EF"/>
    <w:rsid w:val="009B7FC7"/>
    <w:rsid w:val="009C5E70"/>
    <w:rsid w:val="009D4714"/>
    <w:rsid w:val="009E1100"/>
    <w:rsid w:val="009E6D7B"/>
    <w:rsid w:val="00A0121D"/>
    <w:rsid w:val="00A01465"/>
    <w:rsid w:val="00A01D09"/>
    <w:rsid w:val="00A062DE"/>
    <w:rsid w:val="00A12018"/>
    <w:rsid w:val="00A16A9A"/>
    <w:rsid w:val="00A200BD"/>
    <w:rsid w:val="00A30184"/>
    <w:rsid w:val="00A30A40"/>
    <w:rsid w:val="00A4782E"/>
    <w:rsid w:val="00A661B9"/>
    <w:rsid w:val="00A66BF6"/>
    <w:rsid w:val="00A735CB"/>
    <w:rsid w:val="00A80827"/>
    <w:rsid w:val="00A87BDC"/>
    <w:rsid w:val="00A91140"/>
    <w:rsid w:val="00AA56E1"/>
    <w:rsid w:val="00AA7EC7"/>
    <w:rsid w:val="00AC6F43"/>
    <w:rsid w:val="00AE3CF4"/>
    <w:rsid w:val="00AE7991"/>
    <w:rsid w:val="00AF63A5"/>
    <w:rsid w:val="00B0527C"/>
    <w:rsid w:val="00B10A6C"/>
    <w:rsid w:val="00B14256"/>
    <w:rsid w:val="00B2224C"/>
    <w:rsid w:val="00B23A6C"/>
    <w:rsid w:val="00B26B92"/>
    <w:rsid w:val="00B36055"/>
    <w:rsid w:val="00B42B85"/>
    <w:rsid w:val="00B43F1D"/>
    <w:rsid w:val="00B475AD"/>
    <w:rsid w:val="00B519FA"/>
    <w:rsid w:val="00B5248E"/>
    <w:rsid w:val="00B52B65"/>
    <w:rsid w:val="00B613C6"/>
    <w:rsid w:val="00B66773"/>
    <w:rsid w:val="00B70B56"/>
    <w:rsid w:val="00B73E55"/>
    <w:rsid w:val="00B765B8"/>
    <w:rsid w:val="00B76DF7"/>
    <w:rsid w:val="00B77561"/>
    <w:rsid w:val="00B81D3B"/>
    <w:rsid w:val="00B92A61"/>
    <w:rsid w:val="00BA1174"/>
    <w:rsid w:val="00BA270C"/>
    <w:rsid w:val="00BA6489"/>
    <w:rsid w:val="00BB0F16"/>
    <w:rsid w:val="00BB2351"/>
    <w:rsid w:val="00BB2BDB"/>
    <w:rsid w:val="00BB64C6"/>
    <w:rsid w:val="00BB68D0"/>
    <w:rsid w:val="00BC5BCE"/>
    <w:rsid w:val="00BD03BB"/>
    <w:rsid w:val="00BD4111"/>
    <w:rsid w:val="00BD65F2"/>
    <w:rsid w:val="00BF4AFB"/>
    <w:rsid w:val="00C03525"/>
    <w:rsid w:val="00C1289A"/>
    <w:rsid w:val="00C1343E"/>
    <w:rsid w:val="00C2170D"/>
    <w:rsid w:val="00C238FD"/>
    <w:rsid w:val="00C442CF"/>
    <w:rsid w:val="00C53E8B"/>
    <w:rsid w:val="00C544B9"/>
    <w:rsid w:val="00C55B74"/>
    <w:rsid w:val="00C5646F"/>
    <w:rsid w:val="00C57A68"/>
    <w:rsid w:val="00C6246E"/>
    <w:rsid w:val="00C67173"/>
    <w:rsid w:val="00C6733F"/>
    <w:rsid w:val="00C67DE0"/>
    <w:rsid w:val="00C715D3"/>
    <w:rsid w:val="00C71A4B"/>
    <w:rsid w:val="00C80303"/>
    <w:rsid w:val="00C805FB"/>
    <w:rsid w:val="00C80BE7"/>
    <w:rsid w:val="00C825BA"/>
    <w:rsid w:val="00C903B6"/>
    <w:rsid w:val="00C90A37"/>
    <w:rsid w:val="00C914B8"/>
    <w:rsid w:val="00C95EEF"/>
    <w:rsid w:val="00C976DF"/>
    <w:rsid w:val="00C97834"/>
    <w:rsid w:val="00CB2AC9"/>
    <w:rsid w:val="00CB7994"/>
    <w:rsid w:val="00CC4F44"/>
    <w:rsid w:val="00CC6D69"/>
    <w:rsid w:val="00CC6DD8"/>
    <w:rsid w:val="00CD3BBF"/>
    <w:rsid w:val="00CD4107"/>
    <w:rsid w:val="00CD51FE"/>
    <w:rsid w:val="00CE64F8"/>
    <w:rsid w:val="00CF3D21"/>
    <w:rsid w:val="00CF42D6"/>
    <w:rsid w:val="00CF4C7D"/>
    <w:rsid w:val="00CF7BE7"/>
    <w:rsid w:val="00D02130"/>
    <w:rsid w:val="00D03809"/>
    <w:rsid w:val="00D05EC7"/>
    <w:rsid w:val="00D125B8"/>
    <w:rsid w:val="00D1322F"/>
    <w:rsid w:val="00D15091"/>
    <w:rsid w:val="00D26E33"/>
    <w:rsid w:val="00D41EBE"/>
    <w:rsid w:val="00D55AC6"/>
    <w:rsid w:val="00D57EFA"/>
    <w:rsid w:val="00D60ECF"/>
    <w:rsid w:val="00D61004"/>
    <w:rsid w:val="00D61B16"/>
    <w:rsid w:val="00D66990"/>
    <w:rsid w:val="00D77F95"/>
    <w:rsid w:val="00D8674A"/>
    <w:rsid w:val="00D87F19"/>
    <w:rsid w:val="00D901D5"/>
    <w:rsid w:val="00DA4FA4"/>
    <w:rsid w:val="00DD2F57"/>
    <w:rsid w:val="00DD41ED"/>
    <w:rsid w:val="00DE0C22"/>
    <w:rsid w:val="00DE1050"/>
    <w:rsid w:val="00DE13E7"/>
    <w:rsid w:val="00DF023D"/>
    <w:rsid w:val="00DF0E52"/>
    <w:rsid w:val="00DF2227"/>
    <w:rsid w:val="00DF2690"/>
    <w:rsid w:val="00DF4492"/>
    <w:rsid w:val="00DF5C4B"/>
    <w:rsid w:val="00E05F1D"/>
    <w:rsid w:val="00E06735"/>
    <w:rsid w:val="00E13139"/>
    <w:rsid w:val="00E15268"/>
    <w:rsid w:val="00E16B9C"/>
    <w:rsid w:val="00E27827"/>
    <w:rsid w:val="00E322B1"/>
    <w:rsid w:val="00E32652"/>
    <w:rsid w:val="00E3281F"/>
    <w:rsid w:val="00E34192"/>
    <w:rsid w:val="00E6269A"/>
    <w:rsid w:val="00E654F7"/>
    <w:rsid w:val="00E7046E"/>
    <w:rsid w:val="00E90327"/>
    <w:rsid w:val="00E968FE"/>
    <w:rsid w:val="00E97F22"/>
    <w:rsid w:val="00EA2343"/>
    <w:rsid w:val="00EB1497"/>
    <w:rsid w:val="00EB1FD1"/>
    <w:rsid w:val="00EB679B"/>
    <w:rsid w:val="00EC5941"/>
    <w:rsid w:val="00ED1166"/>
    <w:rsid w:val="00ED3B2C"/>
    <w:rsid w:val="00EE3A88"/>
    <w:rsid w:val="00EF09EA"/>
    <w:rsid w:val="00F06E07"/>
    <w:rsid w:val="00F078EA"/>
    <w:rsid w:val="00F1739D"/>
    <w:rsid w:val="00F25C7F"/>
    <w:rsid w:val="00F328B4"/>
    <w:rsid w:val="00F44710"/>
    <w:rsid w:val="00F556F2"/>
    <w:rsid w:val="00F57214"/>
    <w:rsid w:val="00F66BD6"/>
    <w:rsid w:val="00F83B3A"/>
    <w:rsid w:val="00FA059C"/>
    <w:rsid w:val="00FA5DF4"/>
    <w:rsid w:val="00FC5D12"/>
    <w:rsid w:val="00FC5F0F"/>
    <w:rsid w:val="00FD5A83"/>
    <w:rsid w:val="00FF7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15D90E"/>
  <w15:chartTrackingRefBased/>
  <w15:docId w15:val="{E8DECF7F-3B02-40F3-9236-D772C53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50B1"/>
    <w:pPr>
      <w:keepNext/>
      <w:keepLines/>
      <w:numPr>
        <w:numId w:val="1"/>
      </w:numPr>
      <w:spacing w:before="360" w:after="240" w:line="240" w:lineRule="auto"/>
      <w:outlineLvl w:val="0"/>
    </w:pPr>
    <w:rPr>
      <w:rFonts w:ascii="Open Sans" w:eastAsia="MS Mincho" w:hAnsi="Open Sans" w:cs="Times New Roman"/>
      <w:b/>
      <w:bCs/>
      <w:sz w:val="36"/>
      <w:szCs w:val="28"/>
      <w:lang w:eastAsia="en-AU"/>
    </w:rPr>
  </w:style>
  <w:style w:type="paragraph" w:styleId="Heading2">
    <w:name w:val="heading 2"/>
    <w:basedOn w:val="Heading1"/>
    <w:next w:val="Normal"/>
    <w:link w:val="Heading2Char"/>
    <w:qFormat/>
    <w:rsid w:val="002750B1"/>
    <w:pPr>
      <w:numPr>
        <w:ilvl w:val="1"/>
      </w:numPr>
      <w:outlineLvl w:val="1"/>
    </w:pPr>
    <w:rPr>
      <w:bCs w:val="0"/>
      <w:sz w:val="28"/>
      <w:szCs w:val="26"/>
    </w:rPr>
  </w:style>
  <w:style w:type="paragraph" w:styleId="Heading3">
    <w:name w:val="heading 3"/>
    <w:basedOn w:val="Heading2"/>
    <w:next w:val="Normal"/>
    <w:link w:val="Heading3Char"/>
    <w:qFormat/>
    <w:rsid w:val="002750B1"/>
    <w:pPr>
      <w:numPr>
        <w:ilvl w:val="2"/>
      </w:numPr>
      <w:outlineLvl w:val="2"/>
    </w:pPr>
    <w:rPr>
      <w:b w:val="0"/>
      <w:bCs/>
      <w:sz w:val="24"/>
    </w:rPr>
  </w:style>
  <w:style w:type="paragraph" w:styleId="Heading4">
    <w:name w:val="heading 4"/>
    <w:basedOn w:val="Heading3"/>
    <w:next w:val="Normal"/>
    <w:link w:val="Heading4Char"/>
    <w:rsid w:val="002750B1"/>
    <w:pPr>
      <w:numPr>
        <w:ilvl w:val="3"/>
      </w:numPr>
      <w:outlineLvl w:val="3"/>
    </w:pPr>
    <w:rPr>
      <w:bCs w:val="0"/>
      <w:i/>
      <w:iCs/>
    </w:rPr>
  </w:style>
  <w:style w:type="paragraph" w:styleId="Heading5">
    <w:name w:val="heading 5"/>
    <w:basedOn w:val="Normal"/>
    <w:next w:val="Normal"/>
    <w:link w:val="Heading5Char"/>
    <w:rsid w:val="002750B1"/>
    <w:pPr>
      <w:keepNext/>
      <w:keepLines/>
      <w:numPr>
        <w:ilvl w:val="4"/>
        <w:numId w:val="1"/>
      </w:numPr>
      <w:spacing w:before="200" w:after="240" w:line="240" w:lineRule="auto"/>
      <w:outlineLvl w:val="4"/>
    </w:pPr>
    <w:rPr>
      <w:rFonts w:ascii="Open Sans" w:eastAsia="MS Mincho" w:hAnsi="Open Sans" w:cs="Times New Roman"/>
      <w:sz w:val="24"/>
      <w:szCs w:val="24"/>
      <w:lang w:eastAsia="en-AU"/>
    </w:rPr>
  </w:style>
  <w:style w:type="paragraph" w:styleId="Heading6">
    <w:name w:val="heading 6"/>
    <w:basedOn w:val="Normal"/>
    <w:next w:val="Normal"/>
    <w:link w:val="Heading6Char"/>
    <w:rsid w:val="002750B1"/>
    <w:pPr>
      <w:keepNext/>
      <w:keepLines/>
      <w:numPr>
        <w:ilvl w:val="5"/>
        <w:numId w:val="1"/>
      </w:numPr>
      <w:spacing w:before="200" w:after="240" w:line="240" w:lineRule="auto"/>
      <w:outlineLvl w:val="5"/>
    </w:pPr>
    <w:rPr>
      <w:rFonts w:ascii="Open Sans" w:eastAsia="MS Mincho" w:hAnsi="Open Sans" w:cs="Times New Roman"/>
      <w:i/>
      <w:iCs/>
      <w:sz w:val="24"/>
      <w:szCs w:val="24"/>
      <w:lang w:eastAsia="en-AU"/>
    </w:rPr>
  </w:style>
  <w:style w:type="paragraph" w:styleId="Heading7">
    <w:name w:val="heading 7"/>
    <w:basedOn w:val="Normal"/>
    <w:next w:val="Normal"/>
    <w:link w:val="Heading7Char"/>
    <w:rsid w:val="002750B1"/>
    <w:pPr>
      <w:keepNext/>
      <w:keepLines/>
      <w:numPr>
        <w:ilvl w:val="6"/>
        <w:numId w:val="1"/>
      </w:numPr>
      <w:spacing w:before="200" w:after="240" w:line="240" w:lineRule="auto"/>
      <w:outlineLvl w:val="6"/>
    </w:pPr>
    <w:rPr>
      <w:rFonts w:ascii="Open Sans" w:eastAsia="MS Mincho" w:hAnsi="Open Sans" w:cs="Times New Roman"/>
      <w:i/>
      <w:iCs/>
      <w:sz w:val="24"/>
      <w:szCs w:val="24"/>
      <w:lang w:eastAsia="en-AU"/>
    </w:rPr>
  </w:style>
  <w:style w:type="paragraph" w:styleId="Heading8">
    <w:name w:val="heading 8"/>
    <w:basedOn w:val="Normal"/>
    <w:next w:val="Normal"/>
    <w:link w:val="Heading8Char"/>
    <w:rsid w:val="002750B1"/>
    <w:pPr>
      <w:keepNext/>
      <w:keepLines/>
      <w:numPr>
        <w:ilvl w:val="7"/>
        <w:numId w:val="1"/>
      </w:numPr>
      <w:spacing w:before="200" w:after="240" w:line="240" w:lineRule="auto"/>
      <w:outlineLvl w:val="7"/>
    </w:pPr>
    <w:rPr>
      <w:rFonts w:ascii="Open Sans" w:eastAsia="MS Mincho" w:hAnsi="Open Sans" w:cs="Times New Roman"/>
      <w:sz w:val="20"/>
      <w:szCs w:val="20"/>
      <w:lang w:eastAsia="en-AU"/>
    </w:rPr>
  </w:style>
  <w:style w:type="paragraph" w:styleId="Heading9">
    <w:name w:val="heading 9"/>
    <w:basedOn w:val="Normal"/>
    <w:next w:val="Normal"/>
    <w:link w:val="Heading9Char"/>
    <w:rsid w:val="002750B1"/>
    <w:pPr>
      <w:keepNext/>
      <w:keepLines/>
      <w:numPr>
        <w:ilvl w:val="8"/>
        <w:numId w:val="1"/>
      </w:numPr>
      <w:spacing w:before="200" w:after="240" w:line="240" w:lineRule="auto"/>
      <w:outlineLvl w:val="8"/>
    </w:pPr>
    <w:rPr>
      <w:rFonts w:ascii="Open Sans" w:eastAsia="MS Mincho" w:hAnsi="Open Sans" w:cs="Times New Roman"/>
      <w:i/>
      <w:i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0B1"/>
    <w:rPr>
      <w:rFonts w:ascii="Open Sans" w:eastAsia="MS Mincho" w:hAnsi="Open Sans" w:cs="Times New Roman"/>
      <w:b/>
      <w:bCs/>
      <w:sz w:val="36"/>
      <w:szCs w:val="28"/>
      <w:lang w:eastAsia="en-AU"/>
    </w:rPr>
  </w:style>
  <w:style w:type="character" w:customStyle="1" w:styleId="Heading2Char">
    <w:name w:val="Heading 2 Char"/>
    <w:basedOn w:val="DefaultParagraphFont"/>
    <w:link w:val="Heading2"/>
    <w:rsid w:val="002750B1"/>
    <w:rPr>
      <w:rFonts w:ascii="Open Sans" w:eastAsia="MS Mincho" w:hAnsi="Open Sans" w:cs="Times New Roman"/>
      <w:b/>
      <w:sz w:val="28"/>
      <w:szCs w:val="26"/>
      <w:lang w:eastAsia="en-AU"/>
    </w:rPr>
  </w:style>
  <w:style w:type="character" w:customStyle="1" w:styleId="Heading3Char">
    <w:name w:val="Heading 3 Char"/>
    <w:basedOn w:val="DefaultParagraphFont"/>
    <w:link w:val="Heading3"/>
    <w:rsid w:val="002750B1"/>
    <w:rPr>
      <w:rFonts w:ascii="Open Sans" w:eastAsia="MS Mincho" w:hAnsi="Open Sans" w:cs="Times New Roman"/>
      <w:bCs/>
      <w:sz w:val="24"/>
      <w:szCs w:val="26"/>
      <w:lang w:eastAsia="en-AU"/>
    </w:rPr>
  </w:style>
  <w:style w:type="character" w:customStyle="1" w:styleId="Heading4Char">
    <w:name w:val="Heading 4 Char"/>
    <w:basedOn w:val="DefaultParagraphFont"/>
    <w:link w:val="Heading4"/>
    <w:rsid w:val="002750B1"/>
    <w:rPr>
      <w:rFonts w:ascii="Open Sans" w:eastAsia="MS Mincho" w:hAnsi="Open Sans" w:cs="Times New Roman"/>
      <w:i/>
      <w:iCs/>
      <w:sz w:val="24"/>
      <w:szCs w:val="26"/>
      <w:lang w:eastAsia="en-AU"/>
    </w:rPr>
  </w:style>
  <w:style w:type="character" w:customStyle="1" w:styleId="Heading5Char">
    <w:name w:val="Heading 5 Char"/>
    <w:basedOn w:val="DefaultParagraphFont"/>
    <w:link w:val="Heading5"/>
    <w:rsid w:val="002750B1"/>
    <w:rPr>
      <w:rFonts w:ascii="Open Sans" w:eastAsia="MS Mincho" w:hAnsi="Open Sans" w:cs="Times New Roman"/>
      <w:sz w:val="24"/>
      <w:szCs w:val="24"/>
      <w:lang w:eastAsia="en-AU"/>
    </w:rPr>
  </w:style>
  <w:style w:type="character" w:customStyle="1" w:styleId="Heading6Char">
    <w:name w:val="Heading 6 Char"/>
    <w:basedOn w:val="DefaultParagraphFont"/>
    <w:link w:val="Heading6"/>
    <w:rsid w:val="002750B1"/>
    <w:rPr>
      <w:rFonts w:ascii="Open Sans" w:eastAsia="MS Mincho" w:hAnsi="Open Sans" w:cs="Times New Roman"/>
      <w:i/>
      <w:iCs/>
      <w:sz w:val="24"/>
      <w:szCs w:val="24"/>
      <w:lang w:eastAsia="en-AU"/>
    </w:rPr>
  </w:style>
  <w:style w:type="character" w:customStyle="1" w:styleId="Heading7Char">
    <w:name w:val="Heading 7 Char"/>
    <w:basedOn w:val="DefaultParagraphFont"/>
    <w:link w:val="Heading7"/>
    <w:rsid w:val="002750B1"/>
    <w:rPr>
      <w:rFonts w:ascii="Open Sans" w:eastAsia="MS Mincho" w:hAnsi="Open Sans" w:cs="Times New Roman"/>
      <w:i/>
      <w:iCs/>
      <w:sz w:val="24"/>
      <w:szCs w:val="24"/>
      <w:lang w:eastAsia="en-AU"/>
    </w:rPr>
  </w:style>
  <w:style w:type="character" w:customStyle="1" w:styleId="Heading8Char">
    <w:name w:val="Heading 8 Char"/>
    <w:basedOn w:val="DefaultParagraphFont"/>
    <w:link w:val="Heading8"/>
    <w:rsid w:val="002750B1"/>
    <w:rPr>
      <w:rFonts w:ascii="Open Sans" w:eastAsia="MS Mincho" w:hAnsi="Open Sans" w:cs="Times New Roman"/>
      <w:sz w:val="20"/>
      <w:szCs w:val="20"/>
      <w:lang w:eastAsia="en-AU"/>
    </w:rPr>
  </w:style>
  <w:style w:type="character" w:customStyle="1" w:styleId="Heading9Char">
    <w:name w:val="Heading 9 Char"/>
    <w:basedOn w:val="DefaultParagraphFont"/>
    <w:link w:val="Heading9"/>
    <w:rsid w:val="002750B1"/>
    <w:rPr>
      <w:rFonts w:ascii="Open Sans" w:eastAsia="MS Mincho" w:hAnsi="Open Sans" w:cs="Times New Roman"/>
      <w:i/>
      <w:iCs/>
      <w:sz w:val="20"/>
      <w:szCs w:val="20"/>
      <w:lang w:eastAsia="en-AU"/>
    </w:rPr>
  </w:style>
  <w:style w:type="paragraph" w:styleId="Header">
    <w:name w:val="header"/>
    <w:basedOn w:val="Normal"/>
    <w:link w:val="HeaderChar"/>
    <w:qFormat/>
    <w:rsid w:val="002750B1"/>
    <w:pPr>
      <w:tabs>
        <w:tab w:val="center" w:pos="4513"/>
        <w:tab w:val="right" w:pos="9026"/>
      </w:tabs>
      <w:spacing w:before="240" w:after="0" w:line="240" w:lineRule="auto"/>
      <w:jc w:val="right"/>
    </w:pPr>
    <w:rPr>
      <w:rFonts w:ascii="Open Sans" w:eastAsia="MS Mincho" w:hAnsi="Open Sans" w:cs="Times New Roman"/>
      <w:szCs w:val="24"/>
      <w:lang w:eastAsia="en-AU"/>
    </w:rPr>
  </w:style>
  <w:style w:type="character" w:customStyle="1" w:styleId="HeaderChar">
    <w:name w:val="Header Char"/>
    <w:basedOn w:val="DefaultParagraphFont"/>
    <w:link w:val="Header"/>
    <w:rsid w:val="002750B1"/>
    <w:rPr>
      <w:rFonts w:ascii="Open Sans" w:eastAsia="MS Mincho" w:hAnsi="Open Sans" w:cs="Times New Roman"/>
      <w:szCs w:val="24"/>
      <w:lang w:eastAsia="en-AU"/>
    </w:rPr>
  </w:style>
  <w:style w:type="paragraph" w:styleId="Footer">
    <w:name w:val="footer"/>
    <w:basedOn w:val="Normal"/>
    <w:link w:val="FooterChar"/>
    <w:uiPriority w:val="99"/>
    <w:rsid w:val="002750B1"/>
    <w:pPr>
      <w:tabs>
        <w:tab w:val="right" w:pos="2835"/>
        <w:tab w:val="right" w:pos="5670"/>
      </w:tabs>
      <w:spacing w:after="0" w:line="240" w:lineRule="auto"/>
      <w:ind w:left="-868"/>
    </w:pPr>
    <w:rPr>
      <w:rFonts w:ascii="Open Sans" w:eastAsia="MS Mincho" w:hAnsi="Open Sans" w:cs="Times New Roman"/>
      <w:sz w:val="18"/>
      <w:szCs w:val="24"/>
      <w:lang w:eastAsia="en-AU"/>
    </w:rPr>
  </w:style>
  <w:style w:type="character" w:customStyle="1" w:styleId="FooterChar">
    <w:name w:val="Footer Char"/>
    <w:basedOn w:val="DefaultParagraphFont"/>
    <w:link w:val="Footer"/>
    <w:uiPriority w:val="99"/>
    <w:rsid w:val="002750B1"/>
    <w:rPr>
      <w:rFonts w:ascii="Open Sans" w:eastAsia="MS Mincho" w:hAnsi="Open Sans" w:cs="Times New Roman"/>
      <w:sz w:val="18"/>
      <w:szCs w:val="24"/>
      <w:lang w:eastAsia="en-AU"/>
    </w:rPr>
  </w:style>
  <w:style w:type="paragraph" w:styleId="TOC1">
    <w:name w:val="toc 1"/>
    <w:basedOn w:val="Normal"/>
    <w:next w:val="Normal"/>
    <w:uiPriority w:val="39"/>
    <w:rsid w:val="002750B1"/>
    <w:pPr>
      <w:tabs>
        <w:tab w:val="right" w:leader="dot" w:pos="9060"/>
      </w:tabs>
      <w:spacing w:before="240" w:after="0" w:line="240" w:lineRule="auto"/>
      <w:ind w:left="720" w:hanging="720"/>
    </w:pPr>
    <w:rPr>
      <w:rFonts w:ascii="Open Sans" w:eastAsia="MS Mincho" w:hAnsi="Open Sans" w:cs="Times New Roman"/>
      <w:b/>
      <w:noProof/>
      <w:sz w:val="24"/>
      <w:szCs w:val="24"/>
      <w:lang w:eastAsia="en-AU"/>
    </w:rPr>
  </w:style>
  <w:style w:type="paragraph" w:styleId="TOC2">
    <w:name w:val="toc 2"/>
    <w:basedOn w:val="Normal"/>
    <w:next w:val="Normal"/>
    <w:uiPriority w:val="39"/>
    <w:rsid w:val="002750B1"/>
    <w:pPr>
      <w:tabs>
        <w:tab w:val="right" w:leader="dot" w:pos="9060"/>
      </w:tabs>
      <w:spacing w:after="0" w:line="240" w:lineRule="auto"/>
      <w:ind w:left="958" w:hanging="720"/>
    </w:pPr>
    <w:rPr>
      <w:rFonts w:ascii="Open Sans" w:eastAsia="MS Mincho" w:hAnsi="Open Sans" w:cs="Times New Roman"/>
      <w:b/>
      <w:i/>
      <w:noProof/>
      <w:sz w:val="24"/>
      <w:szCs w:val="24"/>
      <w:lang w:eastAsia="en-AU"/>
    </w:rPr>
  </w:style>
  <w:style w:type="character" w:styleId="Hyperlink">
    <w:name w:val="Hyperlink"/>
    <w:uiPriority w:val="99"/>
    <w:unhideWhenUsed/>
    <w:rsid w:val="002750B1"/>
    <w:rPr>
      <w:rFonts w:ascii="Open Sans" w:hAnsi="Open Sans"/>
      <w:color w:val="0000FF"/>
      <w:u w:val="single"/>
    </w:rPr>
  </w:style>
  <w:style w:type="paragraph" w:styleId="EndnoteText">
    <w:name w:val="endnote text"/>
    <w:basedOn w:val="Normal"/>
    <w:link w:val="EndnoteTextChar1"/>
    <w:uiPriority w:val="99"/>
    <w:qFormat/>
    <w:rsid w:val="002750B1"/>
    <w:pPr>
      <w:spacing w:after="0" w:line="240" w:lineRule="auto"/>
      <w:ind w:left="142" w:hanging="142"/>
    </w:pPr>
    <w:rPr>
      <w:rFonts w:ascii="Open Sans" w:eastAsia="MS Mincho" w:hAnsi="Open Sans" w:cs="Times New Roman"/>
      <w:sz w:val="20"/>
      <w:szCs w:val="20"/>
      <w:lang w:eastAsia="en-AU"/>
    </w:rPr>
  </w:style>
  <w:style w:type="character" w:customStyle="1" w:styleId="EndnoteTextChar">
    <w:name w:val="Endnote Text Char"/>
    <w:basedOn w:val="DefaultParagraphFont"/>
    <w:uiPriority w:val="99"/>
    <w:semiHidden/>
    <w:rsid w:val="002750B1"/>
    <w:rPr>
      <w:sz w:val="20"/>
      <w:szCs w:val="20"/>
    </w:rPr>
  </w:style>
  <w:style w:type="character" w:customStyle="1" w:styleId="EndnoteTextChar1">
    <w:name w:val="Endnote Text Char1"/>
    <w:link w:val="EndnoteText"/>
    <w:uiPriority w:val="99"/>
    <w:rsid w:val="002750B1"/>
    <w:rPr>
      <w:rFonts w:ascii="Open Sans" w:eastAsia="MS Mincho" w:hAnsi="Open Sans" w:cs="Times New Roman"/>
      <w:sz w:val="20"/>
      <w:szCs w:val="20"/>
      <w:lang w:eastAsia="en-AU"/>
    </w:rPr>
  </w:style>
  <w:style w:type="character" w:styleId="EndnoteReference">
    <w:name w:val="endnote reference"/>
    <w:aliases w:val="QUOTE"/>
    <w:uiPriority w:val="99"/>
    <w:qFormat/>
    <w:rsid w:val="002750B1"/>
    <w:rPr>
      <w:rFonts w:ascii="Open Sans" w:hAnsi="Open Sans"/>
      <w:sz w:val="20"/>
      <w:vertAlign w:val="superscript"/>
    </w:rPr>
  </w:style>
  <w:style w:type="paragraph" w:styleId="Date">
    <w:name w:val="Date"/>
    <w:basedOn w:val="Normal"/>
    <w:next w:val="Normal"/>
    <w:link w:val="DateChar"/>
    <w:semiHidden/>
    <w:rsid w:val="002750B1"/>
    <w:pPr>
      <w:spacing w:before="120" w:after="120" w:line="240" w:lineRule="auto"/>
      <w:jc w:val="right"/>
    </w:pPr>
    <w:rPr>
      <w:rFonts w:ascii="Open Sans" w:eastAsia="MS Mincho" w:hAnsi="Open Sans" w:cs="Times New Roman"/>
      <w:sz w:val="24"/>
      <w:szCs w:val="24"/>
      <w:lang w:eastAsia="en-AU"/>
    </w:rPr>
  </w:style>
  <w:style w:type="character" w:customStyle="1" w:styleId="DateChar">
    <w:name w:val="Date Char"/>
    <w:basedOn w:val="DefaultParagraphFont"/>
    <w:link w:val="Date"/>
    <w:semiHidden/>
    <w:rsid w:val="002750B1"/>
    <w:rPr>
      <w:rFonts w:ascii="Open Sans" w:eastAsia="MS Mincho" w:hAnsi="Open Sans" w:cs="Times New Roman"/>
      <w:sz w:val="24"/>
      <w:szCs w:val="24"/>
      <w:lang w:eastAsia="en-AU"/>
    </w:rPr>
  </w:style>
  <w:style w:type="paragraph" w:styleId="ListNumber">
    <w:name w:val="List Number"/>
    <w:basedOn w:val="Normal"/>
    <w:qFormat/>
    <w:rsid w:val="002750B1"/>
    <w:pPr>
      <w:numPr>
        <w:numId w:val="2"/>
      </w:numPr>
      <w:tabs>
        <w:tab w:val="left" w:pos="1134"/>
      </w:tabs>
      <w:spacing w:before="120" w:after="120" w:line="240" w:lineRule="auto"/>
    </w:pPr>
    <w:rPr>
      <w:rFonts w:ascii="Open Sans" w:eastAsia="MS Mincho" w:hAnsi="Open Sans" w:cs="Times New Roman"/>
      <w:sz w:val="24"/>
      <w:szCs w:val="24"/>
      <w:lang w:eastAsia="en-AU"/>
    </w:rPr>
  </w:style>
  <w:style w:type="paragraph" w:styleId="NormalWeb">
    <w:name w:val="Normal (Web)"/>
    <w:basedOn w:val="Normal"/>
    <w:uiPriority w:val="99"/>
    <w:semiHidden/>
    <w:rsid w:val="002750B1"/>
    <w:pPr>
      <w:spacing w:before="240" w:after="240" w:line="240" w:lineRule="auto"/>
    </w:pPr>
    <w:rPr>
      <w:rFonts w:ascii="Open Sans" w:eastAsia="MS Mincho" w:hAnsi="Open Sans" w:cs="Times New Roman"/>
      <w:sz w:val="24"/>
      <w:szCs w:val="24"/>
      <w:lang w:eastAsia="en-AU"/>
    </w:rPr>
  </w:style>
  <w:style w:type="paragraph" w:styleId="Subtitle">
    <w:name w:val="Subtitle"/>
    <w:basedOn w:val="Normal"/>
    <w:link w:val="SubtitleChar"/>
    <w:qFormat/>
    <w:rsid w:val="002750B1"/>
    <w:pPr>
      <w:spacing w:before="240" w:after="240" w:line="240" w:lineRule="auto"/>
      <w:jc w:val="right"/>
      <w:outlineLvl w:val="1"/>
    </w:pPr>
    <w:rPr>
      <w:rFonts w:ascii="Open Sans" w:eastAsia="MS Mincho" w:hAnsi="Open Sans" w:cs="Arial"/>
      <w:color w:val="237BBC"/>
      <w:sz w:val="28"/>
      <w:szCs w:val="24"/>
      <w:lang w:eastAsia="en-AU"/>
    </w:rPr>
  </w:style>
  <w:style w:type="character" w:customStyle="1" w:styleId="SubtitleChar">
    <w:name w:val="Subtitle Char"/>
    <w:basedOn w:val="DefaultParagraphFont"/>
    <w:link w:val="Subtitle"/>
    <w:rsid w:val="002750B1"/>
    <w:rPr>
      <w:rFonts w:ascii="Open Sans" w:eastAsia="MS Mincho" w:hAnsi="Open Sans" w:cs="Arial"/>
      <w:color w:val="237BBC"/>
      <w:sz w:val="28"/>
      <w:szCs w:val="24"/>
      <w:lang w:eastAsia="en-AU"/>
    </w:rPr>
  </w:style>
  <w:style w:type="paragraph" w:customStyle="1" w:styleId="MainTitle">
    <w:name w:val="Main Title"/>
    <w:next w:val="Subtitle"/>
    <w:qFormat/>
    <w:rsid w:val="002750B1"/>
    <w:pPr>
      <w:spacing w:before="240" w:after="240" w:line="740" w:lineRule="exact"/>
      <w:contextualSpacing/>
      <w:jc w:val="right"/>
    </w:pPr>
    <w:rPr>
      <w:rFonts w:ascii="Open Sans" w:eastAsia="Times New Roman" w:hAnsi="Open Sans" w:cs="Times New Roman"/>
      <w:bCs/>
      <w:color w:val="237BBC"/>
      <w:kern w:val="32"/>
      <w:sz w:val="56"/>
      <w:szCs w:val="32"/>
      <w:lang w:eastAsia="en-AU"/>
    </w:rPr>
  </w:style>
  <w:style w:type="character" w:customStyle="1" w:styleId="HeaderDocumentTitle">
    <w:name w:val="Header Document Title"/>
    <w:uiPriority w:val="1"/>
    <w:qFormat/>
    <w:rsid w:val="002750B1"/>
    <w:rPr>
      <w:rFonts w:ascii="Open Sans" w:hAnsi="Open Sans"/>
      <w:b/>
      <w:noProof/>
      <w:sz w:val="18"/>
    </w:rPr>
  </w:style>
  <w:style w:type="paragraph" w:customStyle="1" w:styleId="HeaderDocumentDate">
    <w:name w:val="Header Document Date"/>
    <w:basedOn w:val="Footer"/>
    <w:qFormat/>
    <w:rsid w:val="002750B1"/>
    <w:pPr>
      <w:jc w:val="right"/>
    </w:pPr>
  </w:style>
  <w:style w:type="paragraph" w:customStyle="1" w:styleId="FooterEvenPageNumber">
    <w:name w:val="Footer Even Page Number"/>
    <w:basedOn w:val="Footer"/>
    <w:rsid w:val="002750B1"/>
  </w:style>
  <w:style w:type="paragraph" w:customStyle="1" w:styleId="FooterOddPageNumber">
    <w:name w:val="Footer Odd Page Number"/>
    <w:basedOn w:val="Footer"/>
    <w:rsid w:val="002750B1"/>
    <w:pPr>
      <w:jc w:val="right"/>
    </w:pPr>
  </w:style>
  <w:style w:type="paragraph" w:customStyle="1" w:styleId="Subnumbered">
    <w:name w:val="Sub numbered"/>
    <w:basedOn w:val="ListNumber"/>
    <w:qFormat/>
    <w:rsid w:val="002750B1"/>
    <w:pPr>
      <w:numPr>
        <w:numId w:val="3"/>
      </w:numPr>
      <w:tabs>
        <w:tab w:val="left" w:pos="1418"/>
      </w:tabs>
      <w:spacing w:after="240"/>
    </w:pPr>
  </w:style>
  <w:style w:type="paragraph" w:customStyle="1" w:styleId="Default">
    <w:name w:val="Default"/>
    <w:rsid w:val="00A16A9A"/>
    <w:pPr>
      <w:autoSpaceDE w:val="0"/>
      <w:autoSpaceDN w:val="0"/>
      <w:adjustRightInd w:val="0"/>
      <w:spacing w:after="0" w:line="240" w:lineRule="auto"/>
    </w:pPr>
    <w:rPr>
      <w:rFonts w:ascii="Calibri" w:hAnsi="Calibri" w:cs="Calibri"/>
      <w:color w:val="000000"/>
      <w:sz w:val="24"/>
      <w:szCs w:val="24"/>
    </w:rPr>
  </w:style>
  <w:style w:type="paragraph" w:customStyle="1" w:styleId="CM88">
    <w:name w:val="CM88"/>
    <w:basedOn w:val="Default"/>
    <w:next w:val="Default"/>
    <w:uiPriority w:val="99"/>
    <w:rsid w:val="00A16A9A"/>
    <w:rPr>
      <w:color w:val="auto"/>
    </w:rPr>
  </w:style>
  <w:style w:type="character" w:customStyle="1" w:styleId="frag-heading">
    <w:name w:val="frag-heading"/>
    <w:basedOn w:val="DefaultParagraphFont"/>
    <w:rsid w:val="0082232F"/>
  </w:style>
  <w:style w:type="character" w:customStyle="1" w:styleId="frag-no">
    <w:name w:val="frag-no"/>
    <w:basedOn w:val="DefaultParagraphFont"/>
    <w:rsid w:val="0082232F"/>
  </w:style>
  <w:style w:type="character" w:customStyle="1" w:styleId="frag-defterm">
    <w:name w:val="frag-defterm"/>
    <w:basedOn w:val="DefaultParagraphFont"/>
    <w:rsid w:val="0082232F"/>
  </w:style>
  <w:style w:type="paragraph" w:styleId="FootnoteText">
    <w:name w:val="footnote text"/>
    <w:basedOn w:val="Normal"/>
    <w:link w:val="FootnoteTextChar"/>
    <w:uiPriority w:val="99"/>
    <w:semiHidden/>
    <w:unhideWhenUsed/>
    <w:rsid w:val="00E96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8FE"/>
    <w:rPr>
      <w:sz w:val="20"/>
      <w:szCs w:val="20"/>
    </w:rPr>
  </w:style>
  <w:style w:type="character" w:styleId="FootnoteReference">
    <w:name w:val="footnote reference"/>
    <w:basedOn w:val="DefaultParagraphFont"/>
    <w:uiPriority w:val="99"/>
    <w:semiHidden/>
    <w:unhideWhenUsed/>
    <w:rsid w:val="00E968FE"/>
    <w:rPr>
      <w:vertAlign w:val="superscript"/>
    </w:rPr>
  </w:style>
  <w:style w:type="character" w:styleId="CommentReference">
    <w:name w:val="annotation reference"/>
    <w:basedOn w:val="DefaultParagraphFont"/>
    <w:uiPriority w:val="99"/>
    <w:semiHidden/>
    <w:unhideWhenUsed/>
    <w:rsid w:val="00E322B1"/>
    <w:rPr>
      <w:sz w:val="16"/>
      <w:szCs w:val="16"/>
    </w:rPr>
  </w:style>
  <w:style w:type="paragraph" w:styleId="CommentText">
    <w:name w:val="annotation text"/>
    <w:basedOn w:val="Normal"/>
    <w:link w:val="CommentTextChar"/>
    <w:uiPriority w:val="99"/>
    <w:unhideWhenUsed/>
    <w:rsid w:val="00E322B1"/>
    <w:pPr>
      <w:spacing w:line="240" w:lineRule="auto"/>
    </w:pPr>
    <w:rPr>
      <w:sz w:val="20"/>
      <w:szCs w:val="20"/>
    </w:rPr>
  </w:style>
  <w:style w:type="character" w:customStyle="1" w:styleId="CommentTextChar">
    <w:name w:val="Comment Text Char"/>
    <w:basedOn w:val="DefaultParagraphFont"/>
    <w:link w:val="CommentText"/>
    <w:uiPriority w:val="99"/>
    <w:rsid w:val="00E322B1"/>
    <w:rPr>
      <w:sz w:val="20"/>
      <w:szCs w:val="20"/>
    </w:rPr>
  </w:style>
  <w:style w:type="paragraph" w:styleId="CommentSubject">
    <w:name w:val="annotation subject"/>
    <w:basedOn w:val="CommentText"/>
    <w:next w:val="CommentText"/>
    <w:link w:val="CommentSubjectChar"/>
    <w:uiPriority w:val="99"/>
    <w:semiHidden/>
    <w:unhideWhenUsed/>
    <w:rsid w:val="00E322B1"/>
    <w:rPr>
      <w:b/>
      <w:bCs/>
    </w:rPr>
  </w:style>
  <w:style w:type="character" w:customStyle="1" w:styleId="CommentSubjectChar">
    <w:name w:val="Comment Subject Char"/>
    <w:basedOn w:val="CommentTextChar"/>
    <w:link w:val="CommentSubject"/>
    <w:uiPriority w:val="99"/>
    <w:semiHidden/>
    <w:rsid w:val="00E322B1"/>
    <w:rPr>
      <w:b/>
      <w:bCs/>
      <w:sz w:val="20"/>
      <w:szCs w:val="20"/>
    </w:rPr>
  </w:style>
  <w:style w:type="character" w:styleId="UnresolvedMention">
    <w:name w:val="Unresolved Mention"/>
    <w:basedOn w:val="DefaultParagraphFont"/>
    <w:uiPriority w:val="99"/>
    <w:semiHidden/>
    <w:unhideWhenUsed/>
    <w:rsid w:val="00000AC4"/>
    <w:rPr>
      <w:color w:val="605E5C"/>
      <w:shd w:val="clear" w:color="auto" w:fill="E1DFDD"/>
    </w:rPr>
  </w:style>
  <w:style w:type="character" w:styleId="FollowedHyperlink">
    <w:name w:val="FollowedHyperlink"/>
    <w:basedOn w:val="DefaultParagraphFont"/>
    <w:uiPriority w:val="99"/>
    <w:semiHidden/>
    <w:unhideWhenUsed/>
    <w:rsid w:val="00000AC4"/>
    <w:rPr>
      <w:color w:val="954F72" w:themeColor="followedHyperlink"/>
      <w:u w:val="single"/>
    </w:rPr>
  </w:style>
  <w:style w:type="paragraph" w:styleId="Revision">
    <w:name w:val="Revision"/>
    <w:hidden/>
    <w:uiPriority w:val="99"/>
    <w:semiHidden/>
    <w:rsid w:val="00587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7381">
      <w:bodyDiv w:val="1"/>
      <w:marLeft w:val="0"/>
      <w:marRight w:val="0"/>
      <w:marTop w:val="0"/>
      <w:marBottom w:val="0"/>
      <w:divBdr>
        <w:top w:val="none" w:sz="0" w:space="0" w:color="auto"/>
        <w:left w:val="none" w:sz="0" w:space="0" w:color="auto"/>
        <w:bottom w:val="none" w:sz="0" w:space="0" w:color="auto"/>
        <w:right w:val="none" w:sz="0" w:space="0" w:color="auto"/>
      </w:divBdr>
    </w:div>
    <w:div w:id="254364574">
      <w:bodyDiv w:val="1"/>
      <w:marLeft w:val="0"/>
      <w:marRight w:val="0"/>
      <w:marTop w:val="0"/>
      <w:marBottom w:val="0"/>
      <w:divBdr>
        <w:top w:val="none" w:sz="0" w:space="0" w:color="auto"/>
        <w:left w:val="none" w:sz="0" w:space="0" w:color="auto"/>
        <w:bottom w:val="none" w:sz="0" w:space="0" w:color="auto"/>
        <w:right w:val="none" w:sz="0" w:space="0" w:color="auto"/>
      </w:divBdr>
    </w:div>
    <w:div w:id="302778050">
      <w:bodyDiv w:val="1"/>
      <w:marLeft w:val="0"/>
      <w:marRight w:val="0"/>
      <w:marTop w:val="0"/>
      <w:marBottom w:val="0"/>
      <w:divBdr>
        <w:top w:val="none" w:sz="0" w:space="0" w:color="auto"/>
        <w:left w:val="none" w:sz="0" w:space="0" w:color="auto"/>
        <w:bottom w:val="none" w:sz="0" w:space="0" w:color="auto"/>
        <w:right w:val="none" w:sz="0" w:space="0" w:color="auto"/>
      </w:divBdr>
      <w:divsChild>
        <w:div w:id="879706488">
          <w:marLeft w:val="340"/>
          <w:marRight w:val="0"/>
          <w:marTop w:val="160"/>
          <w:marBottom w:val="200"/>
          <w:divBdr>
            <w:top w:val="none" w:sz="0" w:space="0" w:color="auto"/>
            <w:left w:val="none" w:sz="0" w:space="0" w:color="auto"/>
            <w:bottom w:val="none" w:sz="0" w:space="0" w:color="auto"/>
            <w:right w:val="none" w:sz="0" w:space="0" w:color="auto"/>
          </w:divBdr>
        </w:div>
        <w:div w:id="1963533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74171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7841313">
                  <w:marLeft w:val="0"/>
                  <w:marRight w:val="0"/>
                  <w:marTop w:val="160"/>
                  <w:marBottom w:val="200"/>
                  <w:divBdr>
                    <w:top w:val="none" w:sz="0" w:space="0" w:color="auto"/>
                    <w:left w:val="none" w:sz="0" w:space="0" w:color="auto"/>
                    <w:bottom w:val="none" w:sz="0" w:space="0" w:color="auto"/>
                    <w:right w:val="none" w:sz="0" w:space="0" w:color="auto"/>
                  </w:divBdr>
                  <w:divsChild>
                    <w:div w:id="1081415389">
                      <w:marLeft w:val="0"/>
                      <w:marRight w:val="0"/>
                      <w:marTop w:val="0"/>
                      <w:marBottom w:val="0"/>
                      <w:divBdr>
                        <w:top w:val="none" w:sz="0" w:space="0" w:color="auto"/>
                        <w:left w:val="none" w:sz="0" w:space="0" w:color="auto"/>
                        <w:bottom w:val="none" w:sz="0" w:space="0" w:color="auto"/>
                        <w:right w:val="none" w:sz="0" w:space="0" w:color="auto"/>
                      </w:divBdr>
                      <w:divsChild>
                        <w:div w:id="11684058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7386533">
                      <w:marLeft w:val="0"/>
                      <w:marRight w:val="0"/>
                      <w:marTop w:val="0"/>
                      <w:marBottom w:val="0"/>
                      <w:divBdr>
                        <w:top w:val="none" w:sz="0" w:space="0" w:color="auto"/>
                        <w:left w:val="none" w:sz="0" w:space="0" w:color="auto"/>
                        <w:bottom w:val="none" w:sz="0" w:space="0" w:color="auto"/>
                        <w:right w:val="none" w:sz="0" w:space="0" w:color="auto"/>
                      </w:divBdr>
                      <w:divsChild>
                        <w:div w:id="9838979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1121992">
                      <w:marLeft w:val="0"/>
                      <w:marRight w:val="0"/>
                      <w:marTop w:val="0"/>
                      <w:marBottom w:val="0"/>
                      <w:divBdr>
                        <w:top w:val="none" w:sz="0" w:space="0" w:color="auto"/>
                        <w:left w:val="none" w:sz="0" w:space="0" w:color="auto"/>
                        <w:bottom w:val="none" w:sz="0" w:space="0" w:color="auto"/>
                        <w:right w:val="none" w:sz="0" w:space="0" w:color="auto"/>
                      </w:divBdr>
                      <w:divsChild>
                        <w:div w:id="15678357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935000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170900">
                  <w:marLeft w:val="0"/>
                  <w:marRight w:val="0"/>
                  <w:marTop w:val="0"/>
                  <w:marBottom w:val="0"/>
                  <w:divBdr>
                    <w:top w:val="none" w:sz="0" w:space="0" w:color="auto"/>
                    <w:left w:val="none" w:sz="0" w:space="0" w:color="auto"/>
                    <w:bottom w:val="none" w:sz="0" w:space="0" w:color="auto"/>
                    <w:right w:val="none" w:sz="0" w:space="0" w:color="auto"/>
                  </w:divBdr>
                  <w:divsChild>
                    <w:div w:id="3780931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9792929">
                  <w:marLeft w:val="0"/>
                  <w:marRight w:val="0"/>
                  <w:marTop w:val="0"/>
                  <w:marBottom w:val="0"/>
                  <w:divBdr>
                    <w:top w:val="none" w:sz="0" w:space="0" w:color="auto"/>
                    <w:left w:val="none" w:sz="0" w:space="0" w:color="auto"/>
                    <w:bottom w:val="none" w:sz="0" w:space="0" w:color="auto"/>
                    <w:right w:val="none" w:sz="0" w:space="0" w:color="auto"/>
                  </w:divBdr>
                  <w:divsChild>
                    <w:div w:id="9779526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48536498">
      <w:bodyDiv w:val="1"/>
      <w:marLeft w:val="0"/>
      <w:marRight w:val="0"/>
      <w:marTop w:val="0"/>
      <w:marBottom w:val="0"/>
      <w:divBdr>
        <w:top w:val="none" w:sz="0" w:space="0" w:color="auto"/>
        <w:left w:val="none" w:sz="0" w:space="0" w:color="auto"/>
        <w:bottom w:val="none" w:sz="0" w:space="0" w:color="auto"/>
        <w:right w:val="none" w:sz="0" w:space="0" w:color="auto"/>
      </w:divBdr>
    </w:div>
    <w:div w:id="632364808">
      <w:bodyDiv w:val="1"/>
      <w:marLeft w:val="0"/>
      <w:marRight w:val="0"/>
      <w:marTop w:val="0"/>
      <w:marBottom w:val="0"/>
      <w:divBdr>
        <w:top w:val="none" w:sz="0" w:space="0" w:color="auto"/>
        <w:left w:val="none" w:sz="0" w:space="0" w:color="auto"/>
        <w:bottom w:val="none" w:sz="0" w:space="0" w:color="auto"/>
        <w:right w:val="none" w:sz="0" w:space="0" w:color="auto"/>
      </w:divBdr>
    </w:div>
    <w:div w:id="771777326">
      <w:bodyDiv w:val="1"/>
      <w:marLeft w:val="0"/>
      <w:marRight w:val="0"/>
      <w:marTop w:val="0"/>
      <w:marBottom w:val="0"/>
      <w:divBdr>
        <w:top w:val="none" w:sz="0" w:space="0" w:color="auto"/>
        <w:left w:val="none" w:sz="0" w:space="0" w:color="auto"/>
        <w:bottom w:val="none" w:sz="0" w:space="0" w:color="auto"/>
        <w:right w:val="none" w:sz="0" w:space="0" w:color="auto"/>
      </w:divBdr>
    </w:div>
    <w:div w:id="857237786">
      <w:bodyDiv w:val="1"/>
      <w:marLeft w:val="0"/>
      <w:marRight w:val="0"/>
      <w:marTop w:val="0"/>
      <w:marBottom w:val="0"/>
      <w:divBdr>
        <w:top w:val="none" w:sz="0" w:space="0" w:color="auto"/>
        <w:left w:val="none" w:sz="0" w:space="0" w:color="auto"/>
        <w:bottom w:val="none" w:sz="0" w:space="0" w:color="auto"/>
        <w:right w:val="none" w:sz="0" w:space="0" w:color="auto"/>
      </w:divBdr>
    </w:div>
    <w:div w:id="1101101770">
      <w:bodyDiv w:val="1"/>
      <w:marLeft w:val="0"/>
      <w:marRight w:val="0"/>
      <w:marTop w:val="0"/>
      <w:marBottom w:val="0"/>
      <w:divBdr>
        <w:top w:val="none" w:sz="0" w:space="0" w:color="auto"/>
        <w:left w:val="none" w:sz="0" w:space="0" w:color="auto"/>
        <w:bottom w:val="none" w:sz="0" w:space="0" w:color="auto"/>
        <w:right w:val="none" w:sz="0" w:space="0" w:color="auto"/>
      </w:divBdr>
    </w:div>
    <w:div w:id="1162893149">
      <w:bodyDiv w:val="1"/>
      <w:marLeft w:val="0"/>
      <w:marRight w:val="0"/>
      <w:marTop w:val="0"/>
      <w:marBottom w:val="0"/>
      <w:divBdr>
        <w:top w:val="none" w:sz="0" w:space="0" w:color="auto"/>
        <w:left w:val="none" w:sz="0" w:space="0" w:color="auto"/>
        <w:bottom w:val="none" w:sz="0" w:space="0" w:color="auto"/>
        <w:right w:val="none" w:sz="0" w:space="0" w:color="auto"/>
      </w:divBdr>
    </w:div>
    <w:div w:id="1180587695">
      <w:bodyDiv w:val="1"/>
      <w:marLeft w:val="0"/>
      <w:marRight w:val="0"/>
      <w:marTop w:val="0"/>
      <w:marBottom w:val="0"/>
      <w:divBdr>
        <w:top w:val="none" w:sz="0" w:space="0" w:color="auto"/>
        <w:left w:val="none" w:sz="0" w:space="0" w:color="auto"/>
        <w:bottom w:val="none" w:sz="0" w:space="0" w:color="auto"/>
        <w:right w:val="none" w:sz="0" w:space="0" w:color="auto"/>
      </w:divBdr>
    </w:div>
    <w:div w:id="1451969805">
      <w:bodyDiv w:val="1"/>
      <w:marLeft w:val="0"/>
      <w:marRight w:val="0"/>
      <w:marTop w:val="0"/>
      <w:marBottom w:val="0"/>
      <w:divBdr>
        <w:top w:val="none" w:sz="0" w:space="0" w:color="auto"/>
        <w:left w:val="none" w:sz="0" w:space="0" w:color="auto"/>
        <w:bottom w:val="none" w:sz="0" w:space="0" w:color="auto"/>
        <w:right w:val="none" w:sz="0" w:space="0" w:color="auto"/>
      </w:divBdr>
    </w:div>
    <w:div w:id="1498423399">
      <w:bodyDiv w:val="1"/>
      <w:marLeft w:val="0"/>
      <w:marRight w:val="0"/>
      <w:marTop w:val="0"/>
      <w:marBottom w:val="0"/>
      <w:divBdr>
        <w:top w:val="none" w:sz="0" w:space="0" w:color="auto"/>
        <w:left w:val="none" w:sz="0" w:space="0" w:color="auto"/>
        <w:bottom w:val="none" w:sz="0" w:space="0" w:color="auto"/>
        <w:right w:val="none" w:sz="0" w:space="0" w:color="auto"/>
      </w:divBdr>
    </w:div>
    <w:div w:id="20630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666F-AD6E-4FC7-BC2C-28694D4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Abreu</dc:creator>
  <cp:keywords/>
  <dc:description/>
  <cp:lastModifiedBy>Melissa De Abreu</cp:lastModifiedBy>
  <cp:revision>2</cp:revision>
  <dcterms:created xsi:type="dcterms:W3CDTF">2021-04-07T00:27:00Z</dcterms:created>
  <dcterms:modified xsi:type="dcterms:W3CDTF">2021-04-07T00:27:00Z</dcterms:modified>
</cp:coreProperties>
</file>