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D7EE2" w14:textId="548874AA" w:rsidR="00A355F9" w:rsidRDefault="006A39A7" w:rsidP="006A39A7">
      <w:pPr>
        <w:pStyle w:val="MainTitle"/>
      </w:pPr>
      <w:r>
        <w:t>Religious Freedom Bills</w:t>
      </w:r>
    </w:p>
    <w:p w14:paraId="3A2967D6" w14:textId="2A69D092" w:rsidR="00817C73" w:rsidRPr="004A351F"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r w:rsidR="006A39A7">
        <w:rPr>
          <w:color w:val="2E74B5" w:themeColor="accent1" w:themeShade="BF"/>
          <w:sz w:val="28"/>
        </w:rPr>
        <w:t>Attorney-General’s Department</w:t>
      </w:r>
      <w:bookmarkEnd w:id="0"/>
    </w:p>
    <w:p w14:paraId="61815E5F" w14:textId="57348933" w:rsidR="00F220A5" w:rsidRPr="00817C73" w:rsidRDefault="007612AD" w:rsidP="00F220A5">
      <w:pPr>
        <w:pStyle w:val="Date"/>
      </w:pPr>
      <w:r>
        <w:t>27</w:t>
      </w:r>
      <w:r w:rsidR="002622A7">
        <w:t xml:space="preserve"> September</w:t>
      </w:r>
      <w:r w:rsidR="006A39A7">
        <w:t xml:space="preserve"> 2019</w:t>
      </w:r>
    </w:p>
    <w:p w14:paraId="3B0E565A" w14:textId="77777777" w:rsidR="00AC636D" w:rsidRDefault="00AC636D" w:rsidP="00AC636D"/>
    <w:p w14:paraId="30138D7E"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4BCC8EFD" w14:textId="24BCFFE9" w:rsidR="00C96B7D" w:rsidRPr="000F0354" w:rsidRDefault="000E4837">
      <w:pPr>
        <w:pStyle w:val="TOC1"/>
        <w:rPr>
          <w:rFonts w:asciiTheme="minorHAnsi" w:eastAsiaTheme="minorEastAsia" w:hAnsiTheme="minorHAnsi" w:cstheme="minorBidi"/>
          <w:b w:val="0"/>
          <w:sz w:val="23"/>
          <w:szCs w:val="23"/>
        </w:rPr>
      </w:pPr>
      <w:r>
        <w:rPr>
          <w:b w:val="0"/>
        </w:rPr>
        <w:lastRenderedPageBreak/>
        <w:fldChar w:fldCharType="begin"/>
      </w:r>
      <w:r>
        <w:rPr>
          <w:b w:val="0"/>
        </w:rPr>
        <w:instrText xml:space="preserve"> TOC \o "1-3" \h \z \u </w:instrText>
      </w:r>
      <w:r>
        <w:rPr>
          <w:b w:val="0"/>
        </w:rPr>
        <w:fldChar w:fldCharType="separate"/>
      </w:r>
      <w:hyperlink w:anchor="_Toc20471739" w:history="1">
        <w:r w:rsidR="00C96B7D" w:rsidRPr="000F0354">
          <w:rPr>
            <w:rStyle w:val="Hyperlink"/>
            <w:sz w:val="23"/>
            <w:szCs w:val="23"/>
          </w:rPr>
          <w:t>1</w:t>
        </w:r>
        <w:r w:rsidR="00C96B7D" w:rsidRPr="000F0354">
          <w:rPr>
            <w:rFonts w:asciiTheme="minorHAnsi" w:eastAsiaTheme="minorEastAsia" w:hAnsiTheme="minorHAnsi" w:cstheme="minorBidi"/>
            <w:b w:val="0"/>
            <w:sz w:val="23"/>
            <w:szCs w:val="23"/>
          </w:rPr>
          <w:tab/>
        </w:r>
        <w:r w:rsidR="00C96B7D" w:rsidRPr="000F0354">
          <w:rPr>
            <w:rStyle w:val="Hyperlink"/>
            <w:sz w:val="23"/>
            <w:szCs w:val="23"/>
          </w:rPr>
          <w:t>Introduction</w:t>
        </w:r>
        <w:r w:rsidR="00C96B7D" w:rsidRPr="000F0354">
          <w:rPr>
            <w:webHidden/>
            <w:sz w:val="23"/>
            <w:szCs w:val="23"/>
          </w:rPr>
          <w:tab/>
        </w:r>
        <w:r w:rsidR="00C96B7D" w:rsidRPr="000F0354">
          <w:rPr>
            <w:webHidden/>
            <w:sz w:val="23"/>
            <w:szCs w:val="23"/>
          </w:rPr>
          <w:fldChar w:fldCharType="begin"/>
        </w:r>
        <w:r w:rsidR="00C96B7D" w:rsidRPr="000F0354">
          <w:rPr>
            <w:webHidden/>
            <w:sz w:val="23"/>
            <w:szCs w:val="23"/>
          </w:rPr>
          <w:instrText xml:space="preserve"> PAGEREF _Toc20471739 \h </w:instrText>
        </w:r>
        <w:r w:rsidR="00C96B7D" w:rsidRPr="000F0354">
          <w:rPr>
            <w:webHidden/>
            <w:sz w:val="23"/>
            <w:szCs w:val="23"/>
          </w:rPr>
        </w:r>
        <w:r w:rsidR="00C96B7D" w:rsidRPr="000F0354">
          <w:rPr>
            <w:webHidden/>
            <w:sz w:val="23"/>
            <w:szCs w:val="23"/>
          </w:rPr>
          <w:fldChar w:fldCharType="separate"/>
        </w:r>
        <w:r w:rsidR="008304C7">
          <w:rPr>
            <w:webHidden/>
            <w:sz w:val="23"/>
            <w:szCs w:val="23"/>
          </w:rPr>
          <w:t>3</w:t>
        </w:r>
        <w:r w:rsidR="00C96B7D" w:rsidRPr="000F0354">
          <w:rPr>
            <w:webHidden/>
            <w:sz w:val="23"/>
            <w:szCs w:val="23"/>
          </w:rPr>
          <w:fldChar w:fldCharType="end"/>
        </w:r>
      </w:hyperlink>
    </w:p>
    <w:p w14:paraId="019665BE" w14:textId="2F818809" w:rsidR="00C96B7D" w:rsidRPr="000F0354" w:rsidRDefault="00C96B7D">
      <w:pPr>
        <w:pStyle w:val="TOC1"/>
        <w:rPr>
          <w:rFonts w:asciiTheme="minorHAnsi" w:eastAsiaTheme="minorEastAsia" w:hAnsiTheme="minorHAnsi" w:cstheme="minorBidi"/>
          <w:b w:val="0"/>
          <w:sz w:val="23"/>
          <w:szCs w:val="23"/>
        </w:rPr>
      </w:pPr>
      <w:hyperlink w:anchor="_Toc20471740" w:history="1">
        <w:r w:rsidRPr="000F0354">
          <w:rPr>
            <w:rStyle w:val="Hyperlink"/>
            <w:sz w:val="23"/>
            <w:szCs w:val="23"/>
          </w:rPr>
          <w:t>2</w:t>
        </w:r>
        <w:r w:rsidRPr="000F0354">
          <w:rPr>
            <w:rFonts w:asciiTheme="minorHAnsi" w:eastAsiaTheme="minorEastAsia" w:hAnsiTheme="minorHAnsi" w:cstheme="minorBidi"/>
            <w:b w:val="0"/>
            <w:sz w:val="23"/>
            <w:szCs w:val="23"/>
          </w:rPr>
          <w:tab/>
        </w:r>
        <w:r w:rsidRPr="000F0354">
          <w:rPr>
            <w:rStyle w:val="Hyperlink"/>
            <w:sz w:val="23"/>
            <w:szCs w:val="23"/>
          </w:rPr>
          <w:t>Summary</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_Toc20471740 \h </w:instrText>
        </w:r>
        <w:r w:rsidRPr="000F0354">
          <w:rPr>
            <w:webHidden/>
            <w:sz w:val="23"/>
            <w:szCs w:val="23"/>
          </w:rPr>
        </w:r>
        <w:r w:rsidRPr="000F0354">
          <w:rPr>
            <w:webHidden/>
            <w:sz w:val="23"/>
            <w:szCs w:val="23"/>
          </w:rPr>
          <w:fldChar w:fldCharType="separate"/>
        </w:r>
        <w:r w:rsidR="008304C7">
          <w:rPr>
            <w:webHidden/>
            <w:sz w:val="23"/>
            <w:szCs w:val="23"/>
          </w:rPr>
          <w:t>3</w:t>
        </w:r>
        <w:r w:rsidRPr="000F0354">
          <w:rPr>
            <w:webHidden/>
            <w:sz w:val="23"/>
            <w:szCs w:val="23"/>
          </w:rPr>
          <w:fldChar w:fldCharType="end"/>
        </w:r>
      </w:hyperlink>
    </w:p>
    <w:p w14:paraId="01C9D7BC" w14:textId="7182A2DC" w:rsidR="00C96B7D" w:rsidRPr="000F0354" w:rsidRDefault="00C96B7D">
      <w:pPr>
        <w:pStyle w:val="TOC1"/>
        <w:rPr>
          <w:rFonts w:asciiTheme="minorHAnsi" w:eastAsiaTheme="minorEastAsia" w:hAnsiTheme="minorHAnsi" w:cstheme="minorBidi"/>
          <w:b w:val="0"/>
          <w:sz w:val="23"/>
          <w:szCs w:val="23"/>
        </w:rPr>
      </w:pPr>
      <w:hyperlink w:anchor="_Toc20471741" w:history="1">
        <w:r w:rsidRPr="000F0354">
          <w:rPr>
            <w:rStyle w:val="Hyperlink"/>
            <w:sz w:val="23"/>
            <w:szCs w:val="23"/>
          </w:rPr>
          <w:t>3</w:t>
        </w:r>
        <w:r w:rsidRPr="000F0354">
          <w:rPr>
            <w:rFonts w:asciiTheme="minorHAnsi" w:eastAsiaTheme="minorEastAsia" w:hAnsiTheme="minorHAnsi" w:cstheme="minorBidi"/>
            <w:b w:val="0"/>
            <w:sz w:val="23"/>
            <w:szCs w:val="23"/>
          </w:rPr>
          <w:tab/>
        </w:r>
        <w:r w:rsidRPr="000F0354">
          <w:rPr>
            <w:rStyle w:val="Hyperlink"/>
            <w:sz w:val="23"/>
            <w:szCs w:val="23"/>
          </w:rPr>
          <w:t>Recommendations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_Toc20471741 \h </w:instrText>
        </w:r>
        <w:r w:rsidRPr="000F0354">
          <w:rPr>
            <w:webHidden/>
            <w:sz w:val="23"/>
            <w:szCs w:val="23"/>
          </w:rPr>
        </w:r>
        <w:r w:rsidRPr="000F0354">
          <w:rPr>
            <w:webHidden/>
            <w:sz w:val="23"/>
            <w:szCs w:val="23"/>
          </w:rPr>
          <w:fldChar w:fldCharType="separate"/>
        </w:r>
        <w:r w:rsidR="008304C7">
          <w:rPr>
            <w:webHidden/>
            <w:sz w:val="23"/>
            <w:szCs w:val="23"/>
          </w:rPr>
          <w:t>6</w:t>
        </w:r>
        <w:r w:rsidRPr="000F0354">
          <w:rPr>
            <w:webHidden/>
            <w:sz w:val="23"/>
            <w:szCs w:val="23"/>
          </w:rPr>
          <w:fldChar w:fldCharType="end"/>
        </w:r>
      </w:hyperlink>
    </w:p>
    <w:p w14:paraId="3765F322" w14:textId="3C780AAE" w:rsidR="00C96B7D" w:rsidRPr="000F0354" w:rsidRDefault="00C96B7D">
      <w:pPr>
        <w:pStyle w:val="TOC1"/>
        <w:rPr>
          <w:rFonts w:asciiTheme="minorHAnsi" w:eastAsiaTheme="minorEastAsia" w:hAnsiTheme="minorHAnsi" w:cstheme="minorBidi"/>
          <w:b w:val="0"/>
          <w:sz w:val="23"/>
          <w:szCs w:val="23"/>
        </w:rPr>
      </w:pPr>
      <w:hyperlink w:anchor="_Toc20471742" w:history="1">
        <w:r w:rsidRPr="000F0354">
          <w:rPr>
            <w:rStyle w:val="Hyperlink"/>
            <w:sz w:val="23"/>
            <w:szCs w:val="23"/>
          </w:rPr>
          <w:t>4</w:t>
        </w:r>
        <w:r w:rsidRPr="000F0354">
          <w:rPr>
            <w:rFonts w:asciiTheme="minorHAnsi" w:eastAsiaTheme="minorEastAsia" w:hAnsiTheme="minorHAnsi" w:cstheme="minorBidi"/>
            <w:b w:val="0"/>
            <w:sz w:val="23"/>
            <w:szCs w:val="23"/>
          </w:rPr>
          <w:tab/>
        </w:r>
        <w:r w:rsidRPr="000F0354">
          <w:rPr>
            <w:rStyle w:val="Hyperlink"/>
            <w:sz w:val="23"/>
            <w:szCs w:val="23"/>
          </w:rPr>
          <w:t>Existing protection against religious discrimination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_Toc20471742 \h </w:instrText>
        </w:r>
        <w:r w:rsidRPr="000F0354">
          <w:rPr>
            <w:webHidden/>
            <w:sz w:val="23"/>
            <w:szCs w:val="23"/>
          </w:rPr>
        </w:r>
        <w:r w:rsidRPr="000F0354">
          <w:rPr>
            <w:webHidden/>
            <w:sz w:val="23"/>
            <w:szCs w:val="23"/>
          </w:rPr>
          <w:fldChar w:fldCharType="separate"/>
        </w:r>
        <w:r w:rsidR="008304C7">
          <w:rPr>
            <w:webHidden/>
            <w:sz w:val="23"/>
            <w:szCs w:val="23"/>
          </w:rPr>
          <w:t>8</w:t>
        </w:r>
        <w:r w:rsidRPr="000F0354">
          <w:rPr>
            <w:webHidden/>
            <w:sz w:val="23"/>
            <w:szCs w:val="23"/>
          </w:rPr>
          <w:fldChar w:fldCharType="end"/>
        </w:r>
      </w:hyperlink>
    </w:p>
    <w:p w14:paraId="5D2D284A" w14:textId="4F3954F0" w:rsidR="00C96B7D" w:rsidRPr="000F0354" w:rsidRDefault="00C96B7D">
      <w:pPr>
        <w:pStyle w:val="TOC2"/>
        <w:rPr>
          <w:rFonts w:asciiTheme="minorHAnsi" w:eastAsiaTheme="minorEastAsia" w:hAnsiTheme="minorHAnsi" w:cstheme="minorBidi"/>
          <w:b w:val="0"/>
          <w:i w:val="0"/>
          <w:sz w:val="23"/>
          <w:szCs w:val="23"/>
        </w:rPr>
      </w:pPr>
      <w:hyperlink w:anchor="_Toc20471743" w:history="1">
        <w:r w:rsidRPr="000F0354">
          <w:rPr>
            <w:rStyle w:val="Hyperlink"/>
            <w:sz w:val="23"/>
            <w:szCs w:val="23"/>
          </w:rPr>
          <w:t>4.1</w:t>
        </w:r>
        <w:r w:rsidRPr="000F0354">
          <w:rPr>
            <w:rFonts w:asciiTheme="minorHAnsi" w:eastAsiaTheme="minorEastAsia" w:hAnsiTheme="minorHAnsi" w:cstheme="minorBidi"/>
            <w:b w:val="0"/>
            <w:i w:val="0"/>
            <w:sz w:val="23"/>
            <w:szCs w:val="23"/>
          </w:rPr>
          <w:tab/>
        </w:r>
        <w:r w:rsidRPr="000F0354">
          <w:rPr>
            <w:rStyle w:val="Hyperlink"/>
            <w:sz w:val="23"/>
            <w:szCs w:val="23"/>
          </w:rPr>
          <w:t>Discrimination in employment: Australian Human Rights Commission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_Toc20471743 \h </w:instrText>
        </w:r>
        <w:r w:rsidRPr="000F0354">
          <w:rPr>
            <w:webHidden/>
            <w:sz w:val="23"/>
            <w:szCs w:val="23"/>
          </w:rPr>
        </w:r>
        <w:r w:rsidRPr="000F0354">
          <w:rPr>
            <w:webHidden/>
            <w:sz w:val="23"/>
            <w:szCs w:val="23"/>
          </w:rPr>
          <w:fldChar w:fldCharType="separate"/>
        </w:r>
        <w:r w:rsidR="008304C7">
          <w:rPr>
            <w:webHidden/>
            <w:sz w:val="23"/>
            <w:szCs w:val="23"/>
          </w:rPr>
          <w:t>9</w:t>
        </w:r>
        <w:r w:rsidRPr="000F0354">
          <w:rPr>
            <w:webHidden/>
            <w:sz w:val="23"/>
            <w:szCs w:val="23"/>
          </w:rPr>
          <w:fldChar w:fldCharType="end"/>
        </w:r>
      </w:hyperlink>
    </w:p>
    <w:p w14:paraId="286F94AC" w14:textId="6D8922B4" w:rsidR="00C96B7D" w:rsidRPr="000F0354" w:rsidRDefault="00C96B7D">
      <w:pPr>
        <w:pStyle w:val="TOC2"/>
        <w:rPr>
          <w:rFonts w:asciiTheme="minorHAnsi" w:eastAsiaTheme="minorEastAsia" w:hAnsiTheme="minorHAnsi" w:cstheme="minorBidi"/>
          <w:b w:val="0"/>
          <w:i w:val="0"/>
          <w:sz w:val="23"/>
          <w:szCs w:val="23"/>
        </w:rPr>
      </w:pPr>
      <w:hyperlink w:anchor="_Toc20471744" w:history="1">
        <w:r w:rsidRPr="000F0354">
          <w:rPr>
            <w:rStyle w:val="Hyperlink"/>
            <w:sz w:val="23"/>
            <w:szCs w:val="23"/>
          </w:rPr>
          <w:t>4.2</w:t>
        </w:r>
        <w:r w:rsidRPr="000F0354">
          <w:rPr>
            <w:rFonts w:asciiTheme="minorHAnsi" w:eastAsiaTheme="minorEastAsia" w:hAnsiTheme="minorHAnsi" w:cstheme="minorBidi"/>
            <w:b w:val="0"/>
            <w:i w:val="0"/>
            <w:sz w:val="23"/>
            <w:szCs w:val="23"/>
          </w:rPr>
          <w:tab/>
        </w:r>
        <w:r w:rsidRPr="000F0354">
          <w:rPr>
            <w:rStyle w:val="Hyperlink"/>
            <w:sz w:val="23"/>
            <w:szCs w:val="23"/>
          </w:rPr>
          <w:t>Commonwealth acts or practices contrary to freedom of religion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_Toc20471744 \h </w:instrText>
        </w:r>
        <w:r w:rsidRPr="000F0354">
          <w:rPr>
            <w:webHidden/>
            <w:sz w:val="23"/>
            <w:szCs w:val="23"/>
          </w:rPr>
        </w:r>
        <w:r w:rsidRPr="000F0354">
          <w:rPr>
            <w:webHidden/>
            <w:sz w:val="23"/>
            <w:szCs w:val="23"/>
          </w:rPr>
          <w:fldChar w:fldCharType="separate"/>
        </w:r>
        <w:r w:rsidR="008304C7">
          <w:rPr>
            <w:webHidden/>
            <w:sz w:val="23"/>
            <w:szCs w:val="23"/>
          </w:rPr>
          <w:t>11</w:t>
        </w:r>
        <w:r w:rsidRPr="000F0354">
          <w:rPr>
            <w:webHidden/>
            <w:sz w:val="23"/>
            <w:szCs w:val="23"/>
          </w:rPr>
          <w:fldChar w:fldCharType="end"/>
        </w:r>
      </w:hyperlink>
    </w:p>
    <w:p w14:paraId="5BA752A4" w14:textId="03C0E76B" w:rsidR="00C96B7D" w:rsidRPr="000F0354" w:rsidRDefault="00C96B7D">
      <w:pPr>
        <w:pStyle w:val="TOC2"/>
        <w:rPr>
          <w:rFonts w:asciiTheme="minorHAnsi" w:eastAsiaTheme="minorEastAsia" w:hAnsiTheme="minorHAnsi" w:cstheme="minorBidi"/>
          <w:b w:val="0"/>
          <w:i w:val="0"/>
          <w:sz w:val="23"/>
          <w:szCs w:val="23"/>
        </w:rPr>
      </w:pPr>
      <w:hyperlink w:anchor="_Toc20471745" w:history="1">
        <w:r w:rsidRPr="000F0354">
          <w:rPr>
            <w:rStyle w:val="Hyperlink"/>
            <w:sz w:val="23"/>
            <w:szCs w:val="23"/>
          </w:rPr>
          <w:t>4.3</w:t>
        </w:r>
        <w:r w:rsidRPr="000F0354">
          <w:rPr>
            <w:rFonts w:asciiTheme="minorHAnsi" w:eastAsiaTheme="minorEastAsia" w:hAnsiTheme="minorHAnsi" w:cstheme="minorBidi"/>
            <w:b w:val="0"/>
            <w:i w:val="0"/>
            <w:sz w:val="23"/>
            <w:szCs w:val="23"/>
          </w:rPr>
          <w:tab/>
        </w:r>
        <w:r w:rsidRPr="000F0354">
          <w:rPr>
            <w:rStyle w:val="Hyperlink"/>
            <w:sz w:val="23"/>
            <w:szCs w:val="23"/>
          </w:rPr>
          <w:t>Fair Work Commission jurisdiction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_Toc20471745 \h </w:instrText>
        </w:r>
        <w:r w:rsidRPr="000F0354">
          <w:rPr>
            <w:webHidden/>
            <w:sz w:val="23"/>
            <w:szCs w:val="23"/>
          </w:rPr>
        </w:r>
        <w:r w:rsidRPr="000F0354">
          <w:rPr>
            <w:webHidden/>
            <w:sz w:val="23"/>
            <w:szCs w:val="23"/>
          </w:rPr>
          <w:fldChar w:fldCharType="separate"/>
        </w:r>
        <w:r w:rsidR="008304C7">
          <w:rPr>
            <w:webHidden/>
            <w:sz w:val="23"/>
            <w:szCs w:val="23"/>
          </w:rPr>
          <w:t>13</w:t>
        </w:r>
        <w:r w:rsidRPr="000F0354">
          <w:rPr>
            <w:webHidden/>
            <w:sz w:val="23"/>
            <w:szCs w:val="23"/>
          </w:rPr>
          <w:fldChar w:fldCharType="end"/>
        </w:r>
      </w:hyperlink>
    </w:p>
    <w:p w14:paraId="3D1A3458" w14:textId="6B6D95CA" w:rsidR="00C96B7D" w:rsidRPr="000F0354" w:rsidRDefault="00C96B7D">
      <w:pPr>
        <w:pStyle w:val="TOC2"/>
        <w:rPr>
          <w:rFonts w:asciiTheme="minorHAnsi" w:eastAsiaTheme="minorEastAsia" w:hAnsiTheme="minorHAnsi" w:cstheme="minorBidi"/>
          <w:b w:val="0"/>
          <w:i w:val="0"/>
          <w:sz w:val="23"/>
          <w:szCs w:val="23"/>
        </w:rPr>
      </w:pPr>
      <w:hyperlink w:anchor="_Toc20471746" w:history="1">
        <w:r w:rsidRPr="000F0354">
          <w:rPr>
            <w:rStyle w:val="Hyperlink"/>
            <w:sz w:val="23"/>
            <w:szCs w:val="23"/>
          </w:rPr>
          <w:t>4.4</w:t>
        </w:r>
        <w:r w:rsidRPr="000F0354">
          <w:rPr>
            <w:rFonts w:asciiTheme="minorHAnsi" w:eastAsiaTheme="minorEastAsia" w:hAnsiTheme="minorHAnsi" w:cstheme="minorBidi"/>
            <w:b w:val="0"/>
            <w:i w:val="0"/>
            <w:sz w:val="23"/>
            <w:szCs w:val="23"/>
          </w:rPr>
          <w:tab/>
        </w:r>
        <w:r w:rsidRPr="000F0354">
          <w:rPr>
            <w:rStyle w:val="Hyperlink"/>
            <w:sz w:val="23"/>
            <w:szCs w:val="23"/>
          </w:rPr>
          <w:t>State and Territory bodies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_Toc20471746 \h </w:instrText>
        </w:r>
        <w:r w:rsidRPr="000F0354">
          <w:rPr>
            <w:webHidden/>
            <w:sz w:val="23"/>
            <w:szCs w:val="23"/>
          </w:rPr>
        </w:r>
        <w:r w:rsidRPr="000F0354">
          <w:rPr>
            <w:webHidden/>
            <w:sz w:val="23"/>
            <w:szCs w:val="23"/>
          </w:rPr>
          <w:fldChar w:fldCharType="separate"/>
        </w:r>
        <w:r w:rsidR="008304C7">
          <w:rPr>
            <w:webHidden/>
            <w:sz w:val="23"/>
            <w:szCs w:val="23"/>
          </w:rPr>
          <w:t>13</w:t>
        </w:r>
        <w:r w:rsidRPr="000F0354">
          <w:rPr>
            <w:webHidden/>
            <w:sz w:val="23"/>
            <w:szCs w:val="23"/>
          </w:rPr>
          <w:fldChar w:fldCharType="end"/>
        </w:r>
      </w:hyperlink>
    </w:p>
    <w:p w14:paraId="3156FAD9" w14:textId="507AC1CB" w:rsidR="00C96B7D" w:rsidRPr="000F0354" w:rsidRDefault="00C96B7D">
      <w:pPr>
        <w:pStyle w:val="TOC1"/>
        <w:rPr>
          <w:rFonts w:asciiTheme="minorHAnsi" w:eastAsiaTheme="minorEastAsia" w:hAnsiTheme="minorHAnsi" w:cstheme="minorBidi"/>
          <w:b w:val="0"/>
          <w:sz w:val="23"/>
          <w:szCs w:val="23"/>
        </w:rPr>
      </w:pPr>
      <w:hyperlink w:anchor="_Toc20471747" w:history="1">
        <w:r w:rsidRPr="000F0354">
          <w:rPr>
            <w:rStyle w:val="Hyperlink"/>
            <w:sz w:val="23"/>
            <w:szCs w:val="23"/>
          </w:rPr>
          <w:t>5</w:t>
        </w:r>
        <w:r w:rsidRPr="000F0354">
          <w:rPr>
            <w:rFonts w:asciiTheme="minorHAnsi" w:eastAsiaTheme="minorEastAsia" w:hAnsiTheme="minorHAnsi" w:cstheme="minorBidi"/>
            <w:b w:val="0"/>
            <w:sz w:val="23"/>
            <w:szCs w:val="23"/>
          </w:rPr>
          <w:tab/>
        </w:r>
        <w:r w:rsidRPr="000F0354">
          <w:rPr>
            <w:rStyle w:val="Hyperlink"/>
            <w:sz w:val="23"/>
            <w:szCs w:val="23"/>
          </w:rPr>
          <w:t>Scope of the Bill</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_Toc20471747 \h </w:instrText>
        </w:r>
        <w:r w:rsidRPr="000F0354">
          <w:rPr>
            <w:webHidden/>
            <w:sz w:val="23"/>
            <w:szCs w:val="23"/>
          </w:rPr>
        </w:r>
        <w:r w:rsidRPr="000F0354">
          <w:rPr>
            <w:webHidden/>
            <w:sz w:val="23"/>
            <w:szCs w:val="23"/>
          </w:rPr>
          <w:fldChar w:fldCharType="separate"/>
        </w:r>
        <w:r w:rsidR="008304C7">
          <w:rPr>
            <w:webHidden/>
            <w:sz w:val="23"/>
            <w:szCs w:val="23"/>
          </w:rPr>
          <w:t>14</w:t>
        </w:r>
        <w:r w:rsidRPr="000F0354">
          <w:rPr>
            <w:webHidden/>
            <w:sz w:val="23"/>
            <w:szCs w:val="23"/>
          </w:rPr>
          <w:fldChar w:fldCharType="end"/>
        </w:r>
      </w:hyperlink>
    </w:p>
    <w:p w14:paraId="70E2195E" w14:textId="37D7F091" w:rsidR="00C96B7D" w:rsidRPr="000F0354" w:rsidRDefault="00C96B7D">
      <w:pPr>
        <w:pStyle w:val="TOC2"/>
        <w:rPr>
          <w:rFonts w:asciiTheme="minorHAnsi" w:eastAsiaTheme="minorEastAsia" w:hAnsiTheme="minorHAnsi" w:cstheme="minorBidi"/>
          <w:b w:val="0"/>
          <w:i w:val="0"/>
          <w:sz w:val="23"/>
          <w:szCs w:val="23"/>
        </w:rPr>
      </w:pPr>
      <w:hyperlink w:anchor="_Toc20471748" w:history="1">
        <w:r w:rsidRPr="000F0354">
          <w:rPr>
            <w:rStyle w:val="Hyperlink"/>
            <w:sz w:val="23"/>
            <w:szCs w:val="23"/>
          </w:rPr>
          <w:t>5.1</w:t>
        </w:r>
        <w:r w:rsidRPr="000F0354">
          <w:rPr>
            <w:rFonts w:asciiTheme="minorHAnsi" w:eastAsiaTheme="minorEastAsia" w:hAnsiTheme="minorHAnsi" w:cstheme="minorBidi"/>
            <w:b w:val="0"/>
            <w:i w:val="0"/>
            <w:sz w:val="23"/>
            <w:szCs w:val="23"/>
          </w:rPr>
          <w:tab/>
        </w:r>
        <w:r w:rsidRPr="000F0354">
          <w:rPr>
            <w:rStyle w:val="Hyperlink"/>
            <w:sz w:val="23"/>
            <w:szCs w:val="23"/>
          </w:rPr>
          <w:t>Definition of employment</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_Toc20471748 \h </w:instrText>
        </w:r>
        <w:r w:rsidRPr="000F0354">
          <w:rPr>
            <w:webHidden/>
            <w:sz w:val="23"/>
            <w:szCs w:val="23"/>
          </w:rPr>
        </w:r>
        <w:r w:rsidRPr="000F0354">
          <w:rPr>
            <w:webHidden/>
            <w:sz w:val="23"/>
            <w:szCs w:val="23"/>
          </w:rPr>
          <w:fldChar w:fldCharType="separate"/>
        </w:r>
        <w:r w:rsidR="008304C7">
          <w:rPr>
            <w:webHidden/>
            <w:sz w:val="23"/>
            <w:szCs w:val="23"/>
          </w:rPr>
          <w:t>14</w:t>
        </w:r>
        <w:r w:rsidRPr="000F0354">
          <w:rPr>
            <w:webHidden/>
            <w:sz w:val="23"/>
            <w:szCs w:val="23"/>
          </w:rPr>
          <w:fldChar w:fldCharType="end"/>
        </w:r>
      </w:hyperlink>
    </w:p>
    <w:p w14:paraId="2CF41061" w14:textId="6DABAA64" w:rsidR="00C96B7D" w:rsidRPr="000F0354" w:rsidRDefault="00C96B7D">
      <w:pPr>
        <w:pStyle w:val="TOC2"/>
        <w:rPr>
          <w:rFonts w:asciiTheme="minorHAnsi" w:eastAsiaTheme="minorEastAsia" w:hAnsiTheme="minorHAnsi" w:cstheme="minorBidi"/>
          <w:b w:val="0"/>
          <w:i w:val="0"/>
          <w:sz w:val="23"/>
          <w:szCs w:val="23"/>
        </w:rPr>
      </w:pPr>
      <w:hyperlink w:anchor="_Toc20471749" w:history="1">
        <w:r w:rsidRPr="000F0354">
          <w:rPr>
            <w:rStyle w:val="Hyperlink"/>
            <w:sz w:val="23"/>
            <w:szCs w:val="23"/>
          </w:rPr>
          <w:t>5.2</w:t>
        </w:r>
        <w:r w:rsidRPr="000F0354">
          <w:rPr>
            <w:rFonts w:asciiTheme="minorHAnsi" w:eastAsiaTheme="minorEastAsia" w:hAnsiTheme="minorHAnsi" w:cstheme="minorBidi"/>
            <w:b w:val="0"/>
            <w:i w:val="0"/>
            <w:sz w:val="23"/>
            <w:szCs w:val="23"/>
          </w:rPr>
          <w:tab/>
        </w:r>
        <w:r w:rsidRPr="000F0354">
          <w:rPr>
            <w:rStyle w:val="Hyperlink"/>
            <w:sz w:val="23"/>
            <w:szCs w:val="23"/>
          </w:rPr>
          <w:t>Actions by corporations alleging religious discrimination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_Toc20471749 \h </w:instrText>
        </w:r>
        <w:r w:rsidRPr="000F0354">
          <w:rPr>
            <w:webHidden/>
            <w:sz w:val="23"/>
            <w:szCs w:val="23"/>
          </w:rPr>
        </w:r>
        <w:r w:rsidRPr="000F0354">
          <w:rPr>
            <w:webHidden/>
            <w:sz w:val="23"/>
            <w:szCs w:val="23"/>
          </w:rPr>
          <w:fldChar w:fldCharType="separate"/>
        </w:r>
        <w:r w:rsidR="008304C7">
          <w:rPr>
            <w:webHidden/>
            <w:sz w:val="23"/>
            <w:szCs w:val="23"/>
          </w:rPr>
          <w:t>15</w:t>
        </w:r>
        <w:r w:rsidRPr="000F0354">
          <w:rPr>
            <w:webHidden/>
            <w:sz w:val="23"/>
            <w:szCs w:val="23"/>
          </w:rPr>
          <w:fldChar w:fldCharType="end"/>
        </w:r>
      </w:hyperlink>
    </w:p>
    <w:p w14:paraId="2A251C00" w14:textId="45FEE731" w:rsidR="00C96B7D" w:rsidRPr="000F0354" w:rsidRDefault="00C96B7D">
      <w:pPr>
        <w:pStyle w:val="TOC2"/>
        <w:rPr>
          <w:rFonts w:asciiTheme="minorHAnsi" w:eastAsiaTheme="minorEastAsia" w:hAnsiTheme="minorHAnsi" w:cstheme="minorBidi"/>
          <w:b w:val="0"/>
          <w:i w:val="0"/>
          <w:sz w:val="23"/>
          <w:szCs w:val="23"/>
        </w:rPr>
      </w:pPr>
      <w:hyperlink w:anchor="_Toc20471750" w:history="1">
        <w:r w:rsidRPr="000F0354">
          <w:rPr>
            <w:rStyle w:val="Hyperlink"/>
            <w:sz w:val="23"/>
            <w:szCs w:val="23"/>
          </w:rPr>
          <w:t>5.3</w:t>
        </w:r>
        <w:r w:rsidRPr="000F0354">
          <w:rPr>
            <w:rFonts w:asciiTheme="minorHAnsi" w:eastAsiaTheme="minorEastAsia" w:hAnsiTheme="minorHAnsi" w:cstheme="minorBidi"/>
            <w:b w:val="0"/>
            <w:i w:val="0"/>
            <w:sz w:val="23"/>
            <w:szCs w:val="23"/>
          </w:rPr>
          <w:tab/>
        </w:r>
        <w:r w:rsidRPr="000F0354">
          <w:rPr>
            <w:rStyle w:val="Hyperlink"/>
            <w:sz w:val="23"/>
            <w:szCs w:val="23"/>
          </w:rPr>
          <w:t>General exemption for religious bodies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_Toc20471750 \h </w:instrText>
        </w:r>
        <w:r w:rsidRPr="000F0354">
          <w:rPr>
            <w:webHidden/>
            <w:sz w:val="23"/>
            <w:szCs w:val="23"/>
          </w:rPr>
        </w:r>
        <w:r w:rsidRPr="000F0354">
          <w:rPr>
            <w:webHidden/>
            <w:sz w:val="23"/>
            <w:szCs w:val="23"/>
          </w:rPr>
          <w:fldChar w:fldCharType="separate"/>
        </w:r>
        <w:r w:rsidR="008304C7">
          <w:rPr>
            <w:webHidden/>
            <w:sz w:val="23"/>
            <w:szCs w:val="23"/>
          </w:rPr>
          <w:t>18</w:t>
        </w:r>
        <w:r w:rsidRPr="000F0354">
          <w:rPr>
            <w:webHidden/>
            <w:sz w:val="23"/>
            <w:szCs w:val="23"/>
          </w:rPr>
          <w:fldChar w:fldCharType="end"/>
        </w:r>
      </w:hyperlink>
    </w:p>
    <w:p w14:paraId="6CAFFFC4" w14:textId="71D0F5D5" w:rsidR="00C96B7D" w:rsidRPr="000F0354" w:rsidRDefault="00C96B7D">
      <w:pPr>
        <w:pStyle w:val="TOC1"/>
        <w:rPr>
          <w:rFonts w:asciiTheme="minorHAnsi" w:eastAsiaTheme="minorEastAsia" w:hAnsiTheme="minorHAnsi" w:cstheme="minorBidi"/>
          <w:b w:val="0"/>
          <w:sz w:val="23"/>
          <w:szCs w:val="23"/>
        </w:rPr>
      </w:pPr>
      <w:hyperlink w:anchor="_Toc20471751" w:history="1">
        <w:r w:rsidRPr="000F0354">
          <w:rPr>
            <w:rStyle w:val="Hyperlink"/>
            <w:sz w:val="23"/>
            <w:szCs w:val="23"/>
          </w:rPr>
          <w:t>6</w:t>
        </w:r>
        <w:r w:rsidRPr="000F0354">
          <w:rPr>
            <w:rFonts w:asciiTheme="minorHAnsi" w:eastAsiaTheme="minorEastAsia" w:hAnsiTheme="minorHAnsi" w:cstheme="minorBidi"/>
            <w:b w:val="0"/>
            <w:sz w:val="23"/>
            <w:szCs w:val="23"/>
          </w:rPr>
          <w:tab/>
        </w:r>
        <w:r w:rsidRPr="000F0354">
          <w:rPr>
            <w:rStyle w:val="Hyperlink"/>
            <w:sz w:val="23"/>
            <w:szCs w:val="23"/>
          </w:rPr>
          <w:t>Overriding Commonwealth, State and Territory discrimination law</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_Toc20471751 \h </w:instrText>
        </w:r>
        <w:r w:rsidRPr="000F0354">
          <w:rPr>
            <w:webHidden/>
            <w:sz w:val="23"/>
            <w:szCs w:val="23"/>
          </w:rPr>
        </w:r>
        <w:r w:rsidRPr="000F0354">
          <w:rPr>
            <w:webHidden/>
            <w:sz w:val="23"/>
            <w:szCs w:val="23"/>
          </w:rPr>
          <w:fldChar w:fldCharType="separate"/>
        </w:r>
        <w:r w:rsidR="008304C7">
          <w:rPr>
            <w:webHidden/>
            <w:sz w:val="23"/>
            <w:szCs w:val="23"/>
          </w:rPr>
          <w:t>21</w:t>
        </w:r>
        <w:r w:rsidRPr="000F0354">
          <w:rPr>
            <w:webHidden/>
            <w:sz w:val="23"/>
            <w:szCs w:val="23"/>
          </w:rPr>
          <w:fldChar w:fldCharType="end"/>
        </w:r>
      </w:hyperlink>
    </w:p>
    <w:p w14:paraId="36F40541" w14:textId="0DC455DE" w:rsidR="00C96B7D" w:rsidRPr="000F0354" w:rsidRDefault="00C96B7D">
      <w:pPr>
        <w:pStyle w:val="TOC2"/>
        <w:rPr>
          <w:rFonts w:asciiTheme="minorHAnsi" w:eastAsiaTheme="minorEastAsia" w:hAnsiTheme="minorHAnsi" w:cstheme="minorBidi"/>
          <w:b w:val="0"/>
          <w:i w:val="0"/>
          <w:sz w:val="23"/>
          <w:szCs w:val="23"/>
        </w:rPr>
      </w:pPr>
      <w:hyperlink w:anchor="_Toc20471752" w:history="1">
        <w:r w:rsidRPr="000F0354">
          <w:rPr>
            <w:rStyle w:val="Hyperlink"/>
            <w:sz w:val="23"/>
            <w:szCs w:val="23"/>
          </w:rPr>
          <w:t>6.1</w:t>
        </w:r>
        <w:r w:rsidRPr="000F0354">
          <w:rPr>
            <w:rFonts w:asciiTheme="minorHAnsi" w:eastAsiaTheme="minorEastAsia" w:hAnsiTheme="minorHAnsi" w:cstheme="minorBidi"/>
            <w:b w:val="0"/>
            <w:i w:val="0"/>
            <w:sz w:val="23"/>
            <w:szCs w:val="23"/>
          </w:rPr>
          <w:tab/>
        </w:r>
        <w:r w:rsidRPr="000F0354">
          <w:rPr>
            <w:rStyle w:val="Hyperlink"/>
            <w:sz w:val="23"/>
            <w:szCs w:val="23"/>
          </w:rPr>
          <w:t>Discriminatory statements of belief</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_Toc20471752 \h </w:instrText>
        </w:r>
        <w:r w:rsidRPr="000F0354">
          <w:rPr>
            <w:webHidden/>
            <w:sz w:val="23"/>
            <w:szCs w:val="23"/>
          </w:rPr>
        </w:r>
        <w:r w:rsidRPr="000F0354">
          <w:rPr>
            <w:webHidden/>
            <w:sz w:val="23"/>
            <w:szCs w:val="23"/>
          </w:rPr>
          <w:fldChar w:fldCharType="separate"/>
        </w:r>
        <w:r w:rsidR="008304C7">
          <w:rPr>
            <w:webHidden/>
            <w:sz w:val="23"/>
            <w:szCs w:val="23"/>
          </w:rPr>
          <w:t>21</w:t>
        </w:r>
        <w:r w:rsidRPr="000F0354">
          <w:rPr>
            <w:webHidden/>
            <w:sz w:val="23"/>
            <w:szCs w:val="23"/>
          </w:rPr>
          <w:fldChar w:fldCharType="end"/>
        </w:r>
      </w:hyperlink>
    </w:p>
    <w:p w14:paraId="4A7A5C9D" w14:textId="7C879AC2" w:rsidR="00C96B7D" w:rsidRPr="000F0354" w:rsidRDefault="00C96B7D">
      <w:pPr>
        <w:pStyle w:val="TOC2"/>
        <w:rPr>
          <w:rFonts w:asciiTheme="minorHAnsi" w:eastAsiaTheme="minorEastAsia" w:hAnsiTheme="minorHAnsi" w:cstheme="minorBidi"/>
          <w:b w:val="0"/>
          <w:i w:val="0"/>
          <w:sz w:val="23"/>
          <w:szCs w:val="23"/>
        </w:rPr>
      </w:pPr>
      <w:hyperlink w:anchor="_Toc20471753" w:history="1">
        <w:r w:rsidRPr="000F0354">
          <w:rPr>
            <w:rStyle w:val="Hyperlink"/>
            <w:sz w:val="23"/>
            <w:szCs w:val="23"/>
          </w:rPr>
          <w:t>6.2</w:t>
        </w:r>
        <w:r w:rsidRPr="000F0354">
          <w:rPr>
            <w:rFonts w:asciiTheme="minorHAnsi" w:eastAsiaTheme="minorEastAsia" w:hAnsiTheme="minorHAnsi" w:cstheme="minorBidi"/>
            <w:b w:val="0"/>
            <w:i w:val="0"/>
            <w:sz w:val="23"/>
            <w:szCs w:val="23"/>
          </w:rPr>
          <w:tab/>
        </w:r>
        <w:r w:rsidRPr="000F0354">
          <w:rPr>
            <w:rStyle w:val="Hyperlink"/>
            <w:sz w:val="23"/>
            <w:szCs w:val="23"/>
          </w:rPr>
          <w:t>Increased cost and complexity in State matters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_Toc20471753 \h </w:instrText>
        </w:r>
        <w:r w:rsidRPr="000F0354">
          <w:rPr>
            <w:webHidden/>
            <w:sz w:val="23"/>
            <w:szCs w:val="23"/>
          </w:rPr>
        </w:r>
        <w:r w:rsidRPr="000F0354">
          <w:rPr>
            <w:webHidden/>
            <w:sz w:val="23"/>
            <w:szCs w:val="23"/>
          </w:rPr>
          <w:fldChar w:fldCharType="separate"/>
        </w:r>
        <w:r w:rsidR="008304C7">
          <w:rPr>
            <w:webHidden/>
            <w:sz w:val="23"/>
            <w:szCs w:val="23"/>
          </w:rPr>
          <w:t>25</w:t>
        </w:r>
        <w:r w:rsidRPr="000F0354">
          <w:rPr>
            <w:webHidden/>
            <w:sz w:val="23"/>
            <w:szCs w:val="23"/>
          </w:rPr>
          <w:fldChar w:fldCharType="end"/>
        </w:r>
      </w:hyperlink>
    </w:p>
    <w:p w14:paraId="533FD03F" w14:textId="7E097E33" w:rsidR="00C96B7D" w:rsidRPr="000F0354" w:rsidRDefault="00C96B7D">
      <w:pPr>
        <w:pStyle w:val="TOC1"/>
        <w:rPr>
          <w:rFonts w:asciiTheme="minorHAnsi" w:eastAsiaTheme="minorEastAsia" w:hAnsiTheme="minorHAnsi" w:cstheme="minorBidi"/>
          <w:b w:val="0"/>
          <w:sz w:val="23"/>
          <w:szCs w:val="23"/>
        </w:rPr>
      </w:pPr>
      <w:hyperlink w:anchor="_Toc20471754" w:history="1">
        <w:r w:rsidRPr="000F0354">
          <w:rPr>
            <w:rStyle w:val="Hyperlink"/>
            <w:sz w:val="23"/>
            <w:szCs w:val="23"/>
          </w:rPr>
          <w:t>7</w:t>
        </w:r>
        <w:r w:rsidRPr="000F0354">
          <w:rPr>
            <w:rFonts w:asciiTheme="minorHAnsi" w:eastAsiaTheme="minorEastAsia" w:hAnsiTheme="minorHAnsi" w:cstheme="minorBidi"/>
            <w:b w:val="0"/>
            <w:sz w:val="23"/>
            <w:szCs w:val="23"/>
          </w:rPr>
          <w:tab/>
        </w:r>
        <w:r w:rsidRPr="000F0354">
          <w:rPr>
            <w:rStyle w:val="Hyperlink"/>
            <w:sz w:val="23"/>
            <w:szCs w:val="23"/>
          </w:rPr>
          <w:t>Indirect discrimination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_Toc20471754 \h </w:instrText>
        </w:r>
        <w:r w:rsidRPr="000F0354">
          <w:rPr>
            <w:webHidden/>
            <w:sz w:val="23"/>
            <w:szCs w:val="23"/>
          </w:rPr>
        </w:r>
        <w:r w:rsidRPr="000F0354">
          <w:rPr>
            <w:webHidden/>
            <w:sz w:val="23"/>
            <w:szCs w:val="23"/>
          </w:rPr>
          <w:fldChar w:fldCharType="separate"/>
        </w:r>
        <w:r w:rsidR="008304C7">
          <w:rPr>
            <w:webHidden/>
            <w:sz w:val="23"/>
            <w:szCs w:val="23"/>
          </w:rPr>
          <w:t>26</w:t>
        </w:r>
        <w:r w:rsidRPr="000F0354">
          <w:rPr>
            <w:webHidden/>
            <w:sz w:val="23"/>
            <w:szCs w:val="23"/>
          </w:rPr>
          <w:fldChar w:fldCharType="end"/>
        </w:r>
      </w:hyperlink>
    </w:p>
    <w:p w14:paraId="5224D93A" w14:textId="7C1B526F" w:rsidR="00C96B7D" w:rsidRPr="000F0354" w:rsidRDefault="00C96B7D">
      <w:pPr>
        <w:pStyle w:val="TOC2"/>
        <w:rPr>
          <w:rFonts w:asciiTheme="minorHAnsi" w:eastAsiaTheme="minorEastAsia" w:hAnsiTheme="minorHAnsi" w:cstheme="minorBidi"/>
          <w:b w:val="0"/>
          <w:i w:val="0"/>
          <w:sz w:val="23"/>
          <w:szCs w:val="23"/>
        </w:rPr>
      </w:pPr>
      <w:hyperlink w:anchor="_Toc20471755" w:history="1">
        <w:r w:rsidRPr="000F0354">
          <w:rPr>
            <w:rStyle w:val="Hyperlink"/>
            <w:sz w:val="23"/>
            <w:szCs w:val="23"/>
          </w:rPr>
          <w:t>7.1</w:t>
        </w:r>
        <w:r w:rsidRPr="000F0354">
          <w:rPr>
            <w:rFonts w:asciiTheme="minorHAnsi" w:eastAsiaTheme="minorEastAsia" w:hAnsiTheme="minorHAnsi" w:cstheme="minorBidi"/>
            <w:b w:val="0"/>
            <w:i w:val="0"/>
            <w:sz w:val="23"/>
            <w:szCs w:val="23"/>
          </w:rPr>
          <w:tab/>
        </w:r>
        <w:r w:rsidRPr="000F0354">
          <w:rPr>
            <w:rStyle w:val="Hyperlink"/>
            <w:sz w:val="23"/>
            <w:szCs w:val="23"/>
          </w:rPr>
          <w:t>Employer conduct rules and statements of belief</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_Toc20471755 \h </w:instrText>
        </w:r>
        <w:r w:rsidRPr="000F0354">
          <w:rPr>
            <w:webHidden/>
            <w:sz w:val="23"/>
            <w:szCs w:val="23"/>
          </w:rPr>
        </w:r>
        <w:r w:rsidRPr="000F0354">
          <w:rPr>
            <w:webHidden/>
            <w:sz w:val="23"/>
            <w:szCs w:val="23"/>
          </w:rPr>
          <w:fldChar w:fldCharType="separate"/>
        </w:r>
        <w:r w:rsidR="008304C7">
          <w:rPr>
            <w:webHidden/>
            <w:sz w:val="23"/>
            <w:szCs w:val="23"/>
          </w:rPr>
          <w:t>26</w:t>
        </w:r>
        <w:r w:rsidRPr="000F0354">
          <w:rPr>
            <w:webHidden/>
            <w:sz w:val="23"/>
            <w:szCs w:val="23"/>
          </w:rPr>
          <w:fldChar w:fldCharType="end"/>
        </w:r>
      </w:hyperlink>
    </w:p>
    <w:p w14:paraId="6AAE65D4" w14:textId="26D15EA6" w:rsidR="00C96B7D" w:rsidRPr="000F0354" w:rsidRDefault="00C96B7D">
      <w:pPr>
        <w:pStyle w:val="TOC2"/>
        <w:rPr>
          <w:rFonts w:asciiTheme="minorHAnsi" w:eastAsiaTheme="minorEastAsia" w:hAnsiTheme="minorHAnsi" w:cstheme="minorBidi"/>
          <w:b w:val="0"/>
          <w:i w:val="0"/>
          <w:sz w:val="23"/>
          <w:szCs w:val="23"/>
        </w:rPr>
      </w:pPr>
      <w:hyperlink w:anchor="_Toc20471756" w:history="1">
        <w:r w:rsidRPr="000F0354">
          <w:rPr>
            <w:rStyle w:val="Hyperlink"/>
            <w:sz w:val="23"/>
            <w:szCs w:val="23"/>
          </w:rPr>
          <w:t>7.2</w:t>
        </w:r>
        <w:r w:rsidRPr="000F0354">
          <w:rPr>
            <w:rFonts w:asciiTheme="minorHAnsi" w:eastAsiaTheme="minorEastAsia" w:hAnsiTheme="minorHAnsi" w:cstheme="minorBidi"/>
            <w:b w:val="0"/>
            <w:i w:val="0"/>
            <w:sz w:val="23"/>
            <w:szCs w:val="23"/>
          </w:rPr>
          <w:tab/>
        </w:r>
        <w:r w:rsidRPr="000F0354">
          <w:rPr>
            <w:rStyle w:val="Hyperlink"/>
            <w:sz w:val="23"/>
            <w:szCs w:val="23"/>
          </w:rPr>
          <w:t>Conscientious objections by health practitioners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_Toc20471756 \h </w:instrText>
        </w:r>
        <w:r w:rsidRPr="000F0354">
          <w:rPr>
            <w:webHidden/>
            <w:sz w:val="23"/>
            <w:szCs w:val="23"/>
          </w:rPr>
        </w:r>
        <w:r w:rsidRPr="000F0354">
          <w:rPr>
            <w:webHidden/>
            <w:sz w:val="23"/>
            <w:szCs w:val="23"/>
          </w:rPr>
          <w:fldChar w:fldCharType="separate"/>
        </w:r>
        <w:r w:rsidR="008304C7">
          <w:rPr>
            <w:webHidden/>
            <w:sz w:val="23"/>
            <w:szCs w:val="23"/>
          </w:rPr>
          <w:t>29</w:t>
        </w:r>
        <w:r w:rsidRPr="000F0354">
          <w:rPr>
            <w:webHidden/>
            <w:sz w:val="23"/>
            <w:szCs w:val="23"/>
          </w:rPr>
          <w:fldChar w:fldCharType="end"/>
        </w:r>
      </w:hyperlink>
    </w:p>
    <w:p w14:paraId="3F85551A" w14:textId="3F656609" w:rsidR="00C96B7D" w:rsidRPr="000F0354" w:rsidRDefault="00C96B7D">
      <w:pPr>
        <w:pStyle w:val="TOC3"/>
        <w:rPr>
          <w:rFonts w:asciiTheme="minorHAnsi" w:eastAsiaTheme="minorEastAsia" w:hAnsiTheme="minorHAnsi" w:cstheme="minorBidi"/>
          <w:i w:val="0"/>
          <w:sz w:val="23"/>
          <w:szCs w:val="23"/>
        </w:rPr>
      </w:pPr>
      <w:hyperlink w:anchor="_Toc20471757" w:history="1">
        <w:r w:rsidRPr="000F0354">
          <w:rPr>
            <w:rStyle w:val="Hyperlink"/>
            <w:iCs/>
            <w:sz w:val="23"/>
            <w:szCs w:val="23"/>
          </w:rPr>
          <w:t>(a)</w:t>
        </w:r>
        <w:r w:rsidRPr="000F0354">
          <w:rPr>
            <w:rFonts w:asciiTheme="minorHAnsi" w:eastAsiaTheme="minorEastAsia" w:hAnsiTheme="minorHAnsi" w:cstheme="minorBidi"/>
            <w:i w:val="0"/>
            <w:sz w:val="23"/>
            <w:szCs w:val="23"/>
          </w:rPr>
          <w:tab/>
        </w:r>
        <w:r w:rsidRPr="000F0354">
          <w:rPr>
            <w:rStyle w:val="Hyperlink"/>
            <w:iCs/>
            <w:sz w:val="23"/>
            <w:szCs w:val="23"/>
          </w:rPr>
          <w:t>Where State and Territory laws provide for conscientious objection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_Toc20471757 \h </w:instrText>
        </w:r>
        <w:r w:rsidRPr="000F0354">
          <w:rPr>
            <w:webHidden/>
            <w:sz w:val="23"/>
            <w:szCs w:val="23"/>
          </w:rPr>
        </w:r>
        <w:r w:rsidRPr="000F0354">
          <w:rPr>
            <w:webHidden/>
            <w:sz w:val="23"/>
            <w:szCs w:val="23"/>
          </w:rPr>
          <w:fldChar w:fldCharType="separate"/>
        </w:r>
        <w:r w:rsidR="008304C7">
          <w:rPr>
            <w:webHidden/>
            <w:sz w:val="23"/>
            <w:szCs w:val="23"/>
          </w:rPr>
          <w:t>30</w:t>
        </w:r>
        <w:r w:rsidRPr="000F0354">
          <w:rPr>
            <w:webHidden/>
            <w:sz w:val="23"/>
            <w:szCs w:val="23"/>
          </w:rPr>
          <w:fldChar w:fldCharType="end"/>
        </w:r>
      </w:hyperlink>
    </w:p>
    <w:p w14:paraId="791E8D2D" w14:textId="4A03E655" w:rsidR="00C96B7D" w:rsidRPr="000F0354" w:rsidRDefault="00C96B7D">
      <w:pPr>
        <w:pStyle w:val="TOC3"/>
        <w:rPr>
          <w:rFonts w:asciiTheme="minorHAnsi" w:eastAsiaTheme="minorEastAsia" w:hAnsiTheme="minorHAnsi" w:cstheme="minorBidi"/>
          <w:i w:val="0"/>
          <w:sz w:val="23"/>
          <w:szCs w:val="23"/>
        </w:rPr>
      </w:pPr>
      <w:hyperlink w:anchor="_Toc20471758" w:history="1">
        <w:r w:rsidRPr="000F0354">
          <w:rPr>
            <w:rStyle w:val="Hyperlink"/>
            <w:iCs/>
            <w:sz w:val="23"/>
            <w:szCs w:val="23"/>
          </w:rPr>
          <w:t>(b)</w:t>
        </w:r>
        <w:r w:rsidRPr="000F0354">
          <w:rPr>
            <w:rFonts w:asciiTheme="minorHAnsi" w:eastAsiaTheme="minorEastAsia" w:hAnsiTheme="minorHAnsi" w:cstheme="minorBidi"/>
            <w:i w:val="0"/>
            <w:sz w:val="23"/>
            <w:szCs w:val="23"/>
          </w:rPr>
          <w:tab/>
        </w:r>
        <w:r w:rsidRPr="000F0354">
          <w:rPr>
            <w:rStyle w:val="Hyperlink"/>
            <w:iCs/>
            <w:sz w:val="23"/>
            <w:szCs w:val="23"/>
          </w:rPr>
          <w:t>Where State and Territory laws do not provide for conscientious objection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_Toc20471758 \h </w:instrText>
        </w:r>
        <w:r w:rsidRPr="000F0354">
          <w:rPr>
            <w:webHidden/>
            <w:sz w:val="23"/>
            <w:szCs w:val="23"/>
          </w:rPr>
        </w:r>
        <w:r w:rsidRPr="000F0354">
          <w:rPr>
            <w:webHidden/>
            <w:sz w:val="23"/>
            <w:szCs w:val="23"/>
          </w:rPr>
          <w:fldChar w:fldCharType="separate"/>
        </w:r>
        <w:r w:rsidR="008304C7">
          <w:rPr>
            <w:webHidden/>
            <w:sz w:val="23"/>
            <w:szCs w:val="23"/>
          </w:rPr>
          <w:t>32</w:t>
        </w:r>
        <w:r w:rsidRPr="000F0354">
          <w:rPr>
            <w:webHidden/>
            <w:sz w:val="23"/>
            <w:szCs w:val="23"/>
          </w:rPr>
          <w:fldChar w:fldCharType="end"/>
        </w:r>
      </w:hyperlink>
    </w:p>
    <w:p w14:paraId="241AE32C" w14:textId="57649AB7" w:rsidR="00C96B7D" w:rsidRPr="000F0354" w:rsidRDefault="00C96B7D">
      <w:pPr>
        <w:pStyle w:val="TOC1"/>
        <w:rPr>
          <w:rFonts w:asciiTheme="minorHAnsi" w:eastAsiaTheme="minorEastAsia" w:hAnsiTheme="minorHAnsi" w:cstheme="minorBidi"/>
          <w:b w:val="0"/>
          <w:sz w:val="23"/>
          <w:szCs w:val="23"/>
        </w:rPr>
      </w:pPr>
      <w:hyperlink w:anchor="_Toc20471759" w:history="1">
        <w:r w:rsidRPr="000F0354">
          <w:rPr>
            <w:rStyle w:val="Hyperlink"/>
            <w:sz w:val="23"/>
            <w:szCs w:val="23"/>
          </w:rPr>
          <w:t>8</w:t>
        </w:r>
        <w:r w:rsidRPr="000F0354">
          <w:rPr>
            <w:rFonts w:asciiTheme="minorHAnsi" w:eastAsiaTheme="minorEastAsia" w:hAnsiTheme="minorHAnsi" w:cstheme="minorBidi"/>
            <w:b w:val="0"/>
            <w:sz w:val="23"/>
            <w:szCs w:val="23"/>
          </w:rPr>
          <w:tab/>
        </w:r>
        <w:r w:rsidRPr="000F0354">
          <w:rPr>
            <w:rStyle w:val="Hyperlink"/>
            <w:sz w:val="23"/>
            <w:szCs w:val="23"/>
          </w:rPr>
          <w:t>Inherent requirements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_Toc20471759 \h </w:instrText>
        </w:r>
        <w:r w:rsidRPr="000F0354">
          <w:rPr>
            <w:webHidden/>
            <w:sz w:val="23"/>
            <w:szCs w:val="23"/>
          </w:rPr>
        </w:r>
        <w:r w:rsidRPr="000F0354">
          <w:rPr>
            <w:webHidden/>
            <w:sz w:val="23"/>
            <w:szCs w:val="23"/>
          </w:rPr>
          <w:fldChar w:fldCharType="separate"/>
        </w:r>
        <w:r w:rsidR="008304C7">
          <w:rPr>
            <w:webHidden/>
            <w:sz w:val="23"/>
            <w:szCs w:val="23"/>
          </w:rPr>
          <w:t>34</w:t>
        </w:r>
        <w:r w:rsidRPr="000F0354">
          <w:rPr>
            <w:webHidden/>
            <w:sz w:val="23"/>
            <w:szCs w:val="23"/>
          </w:rPr>
          <w:fldChar w:fldCharType="end"/>
        </w:r>
      </w:hyperlink>
    </w:p>
    <w:p w14:paraId="3689D126" w14:textId="3BBC5FBF" w:rsidR="00C96B7D" w:rsidRPr="000F0354" w:rsidRDefault="00C96B7D">
      <w:pPr>
        <w:pStyle w:val="TOC1"/>
        <w:rPr>
          <w:rFonts w:asciiTheme="minorHAnsi" w:eastAsiaTheme="minorEastAsia" w:hAnsiTheme="minorHAnsi" w:cstheme="minorBidi"/>
          <w:b w:val="0"/>
          <w:sz w:val="23"/>
          <w:szCs w:val="23"/>
        </w:rPr>
      </w:pPr>
      <w:hyperlink w:anchor="_Toc20471760" w:history="1">
        <w:r w:rsidRPr="000F0354">
          <w:rPr>
            <w:rStyle w:val="Hyperlink"/>
            <w:sz w:val="23"/>
            <w:szCs w:val="23"/>
          </w:rPr>
          <w:t>9</w:t>
        </w:r>
        <w:r w:rsidRPr="000F0354">
          <w:rPr>
            <w:rFonts w:asciiTheme="minorHAnsi" w:eastAsiaTheme="minorEastAsia" w:hAnsiTheme="minorHAnsi" w:cstheme="minorBidi"/>
            <w:b w:val="0"/>
            <w:sz w:val="23"/>
            <w:szCs w:val="23"/>
          </w:rPr>
          <w:tab/>
        </w:r>
        <w:r w:rsidRPr="000F0354">
          <w:rPr>
            <w:rStyle w:val="Hyperlink"/>
            <w:sz w:val="23"/>
            <w:szCs w:val="23"/>
          </w:rPr>
          <w:t>Temporary exemptions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_Toc20471760 \h </w:instrText>
        </w:r>
        <w:r w:rsidRPr="000F0354">
          <w:rPr>
            <w:webHidden/>
            <w:sz w:val="23"/>
            <w:szCs w:val="23"/>
          </w:rPr>
        </w:r>
        <w:r w:rsidRPr="000F0354">
          <w:rPr>
            <w:webHidden/>
            <w:sz w:val="23"/>
            <w:szCs w:val="23"/>
          </w:rPr>
          <w:fldChar w:fldCharType="separate"/>
        </w:r>
        <w:r w:rsidR="008304C7">
          <w:rPr>
            <w:webHidden/>
            <w:sz w:val="23"/>
            <w:szCs w:val="23"/>
          </w:rPr>
          <w:t>37</w:t>
        </w:r>
        <w:r w:rsidRPr="000F0354">
          <w:rPr>
            <w:webHidden/>
            <w:sz w:val="23"/>
            <w:szCs w:val="23"/>
          </w:rPr>
          <w:fldChar w:fldCharType="end"/>
        </w:r>
      </w:hyperlink>
    </w:p>
    <w:p w14:paraId="60296131" w14:textId="7C42A1EF" w:rsidR="00C96B7D" w:rsidRPr="000F0354" w:rsidRDefault="00C96B7D">
      <w:pPr>
        <w:pStyle w:val="TOC2"/>
        <w:rPr>
          <w:rFonts w:asciiTheme="minorHAnsi" w:eastAsiaTheme="minorEastAsia" w:hAnsiTheme="minorHAnsi" w:cstheme="minorBidi"/>
          <w:b w:val="0"/>
          <w:i w:val="0"/>
          <w:sz w:val="23"/>
          <w:szCs w:val="23"/>
        </w:rPr>
      </w:pPr>
      <w:hyperlink w:anchor="_Toc20471761" w:history="1">
        <w:r w:rsidRPr="000F0354">
          <w:rPr>
            <w:rStyle w:val="Hyperlink"/>
            <w:sz w:val="23"/>
            <w:szCs w:val="23"/>
          </w:rPr>
          <w:t>9.1</w:t>
        </w:r>
        <w:r w:rsidRPr="000F0354">
          <w:rPr>
            <w:rFonts w:asciiTheme="minorHAnsi" w:eastAsiaTheme="minorEastAsia" w:hAnsiTheme="minorHAnsi" w:cstheme="minorBidi"/>
            <w:b w:val="0"/>
            <w:i w:val="0"/>
            <w:sz w:val="23"/>
            <w:szCs w:val="23"/>
          </w:rPr>
          <w:tab/>
        </w:r>
        <w:r w:rsidRPr="000F0354">
          <w:rPr>
            <w:rStyle w:val="Hyperlink"/>
            <w:sz w:val="23"/>
            <w:szCs w:val="23"/>
          </w:rPr>
          <w:t>Variation or revocation by the Attorney-General</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_Toc20471761 \h </w:instrText>
        </w:r>
        <w:r w:rsidRPr="000F0354">
          <w:rPr>
            <w:webHidden/>
            <w:sz w:val="23"/>
            <w:szCs w:val="23"/>
          </w:rPr>
        </w:r>
        <w:r w:rsidRPr="000F0354">
          <w:rPr>
            <w:webHidden/>
            <w:sz w:val="23"/>
            <w:szCs w:val="23"/>
          </w:rPr>
          <w:fldChar w:fldCharType="separate"/>
        </w:r>
        <w:r w:rsidR="008304C7">
          <w:rPr>
            <w:webHidden/>
            <w:sz w:val="23"/>
            <w:szCs w:val="23"/>
          </w:rPr>
          <w:t>37</w:t>
        </w:r>
        <w:r w:rsidRPr="000F0354">
          <w:rPr>
            <w:webHidden/>
            <w:sz w:val="23"/>
            <w:szCs w:val="23"/>
          </w:rPr>
          <w:fldChar w:fldCharType="end"/>
        </w:r>
      </w:hyperlink>
    </w:p>
    <w:p w14:paraId="2E826C18" w14:textId="1D057CCF" w:rsidR="00C96B7D" w:rsidRPr="000F0354" w:rsidRDefault="00C96B7D">
      <w:pPr>
        <w:pStyle w:val="TOC1"/>
        <w:rPr>
          <w:rFonts w:asciiTheme="minorHAnsi" w:eastAsiaTheme="minorEastAsia" w:hAnsiTheme="minorHAnsi" w:cstheme="minorBidi"/>
          <w:b w:val="0"/>
          <w:sz w:val="23"/>
          <w:szCs w:val="23"/>
        </w:rPr>
      </w:pPr>
      <w:hyperlink w:anchor="_Toc20471762" w:history="1">
        <w:r w:rsidRPr="000F0354">
          <w:rPr>
            <w:rStyle w:val="Hyperlink"/>
            <w:sz w:val="23"/>
            <w:szCs w:val="23"/>
          </w:rPr>
          <w:t>10</w:t>
        </w:r>
        <w:r w:rsidRPr="000F0354">
          <w:rPr>
            <w:rFonts w:asciiTheme="minorHAnsi" w:eastAsiaTheme="minorEastAsia" w:hAnsiTheme="minorHAnsi" w:cstheme="minorBidi"/>
            <w:b w:val="0"/>
            <w:sz w:val="23"/>
            <w:szCs w:val="23"/>
          </w:rPr>
          <w:tab/>
        </w:r>
        <w:r w:rsidRPr="000F0354">
          <w:rPr>
            <w:rStyle w:val="Hyperlink"/>
            <w:sz w:val="23"/>
            <w:szCs w:val="23"/>
          </w:rPr>
          <w:t>General exceptions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_Toc20471762 \h </w:instrText>
        </w:r>
        <w:r w:rsidRPr="000F0354">
          <w:rPr>
            <w:webHidden/>
            <w:sz w:val="23"/>
            <w:szCs w:val="23"/>
          </w:rPr>
        </w:r>
        <w:r w:rsidRPr="000F0354">
          <w:rPr>
            <w:webHidden/>
            <w:sz w:val="23"/>
            <w:szCs w:val="23"/>
          </w:rPr>
          <w:fldChar w:fldCharType="separate"/>
        </w:r>
        <w:r w:rsidR="008304C7">
          <w:rPr>
            <w:webHidden/>
            <w:sz w:val="23"/>
            <w:szCs w:val="23"/>
          </w:rPr>
          <w:t>38</w:t>
        </w:r>
        <w:r w:rsidRPr="000F0354">
          <w:rPr>
            <w:webHidden/>
            <w:sz w:val="23"/>
            <w:szCs w:val="23"/>
          </w:rPr>
          <w:fldChar w:fldCharType="end"/>
        </w:r>
      </w:hyperlink>
    </w:p>
    <w:p w14:paraId="5C799FA5" w14:textId="5454EE70" w:rsidR="00C96B7D" w:rsidRPr="000F0354" w:rsidRDefault="00C96B7D">
      <w:pPr>
        <w:pStyle w:val="TOC2"/>
        <w:rPr>
          <w:rFonts w:asciiTheme="minorHAnsi" w:eastAsiaTheme="minorEastAsia" w:hAnsiTheme="minorHAnsi" w:cstheme="minorBidi"/>
          <w:b w:val="0"/>
          <w:i w:val="0"/>
          <w:sz w:val="23"/>
          <w:szCs w:val="23"/>
        </w:rPr>
      </w:pPr>
      <w:hyperlink w:anchor="_Toc20471763" w:history="1">
        <w:r w:rsidRPr="000F0354">
          <w:rPr>
            <w:rStyle w:val="Hyperlink"/>
            <w:sz w:val="23"/>
            <w:szCs w:val="23"/>
          </w:rPr>
          <w:t>10.1</w:t>
        </w:r>
        <w:r w:rsidRPr="000F0354">
          <w:rPr>
            <w:rFonts w:asciiTheme="minorHAnsi" w:eastAsiaTheme="minorEastAsia" w:hAnsiTheme="minorHAnsi" w:cstheme="minorBidi"/>
            <w:b w:val="0"/>
            <w:i w:val="0"/>
            <w:sz w:val="23"/>
            <w:szCs w:val="23"/>
          </w:rPr>
          <w:tab/>
        </w:r>
        <w:r w:rsidRPr="000F0354">
          <w:rPr>
            <w:rStyle w:val="Hyperlink"/>
            <w:sz w:val="23"/>
            <w:szCs w:val="23"/>
          </w:rPr>
          <w:t>Counselling or promoting a serious offence</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_Toc20471763 \h </w:instrText>
        </w:r>
        <w:r w:rsidRPr="000F0354">
          <w:rPr>
            <w:webHidden/>
            <w:sz w:val="23"/>
            <w:szCs w:val="23"/>
          </w:rPr>
        </w:r>
        <w:r w:rsidRPr="000F0354">
          <w:rPr>
            <w:webHidden/>
            <w:sz w:val="23"/>
            <w:szCs w:val="23"/>
          </w:rPr>
          <w:fldChar w:fldCharType="separate"/>
        </w:r>
        <w:r w:rsidR="008304C7">
          <w:rPr>
            <w:webHidden/>
            <w:sz w:val="23"/>
            <w:szCs w:val="23"/>
          </w:rPr>
          <w:t>38</w:t>
        </w:r>
        <w:r w:rsidRPr="000F0354">
          <w:rPr>
            <w:webHidden/>
            <w:sz w:val="23"/>
            <w:szCs w:val="23"/>
          </w:rPr>
          <w:fldChar w:fldCharType="end"/>
        </w:r>
      </w:hyperlink>
    </w:p>
    <w:p w14:paraId="40EE6F5B" w14:textId="5772836C" w:rsidR="00C96B7D" w:rsidRPr="000F0354" w:rsidRDefault="00C96B7D">
      <w:pPr>
        <w:pStyle w:val="TOC2"/>
        <w:rPr>
          <w:rFonts w:asciiTheme="minorHAnsi" w:eastAsiaTheme="minorEastAsia" w:hAnsiTheme="minorHAnsi" w:cstheme="minorBidi"/>
          <w:b w:val="0"/>
          <w:i w:val="0"/>
          <w:sz w:val="23"/>
          <w:szCs w:val="23"/>
        </w:rPr>
      </w:pPr>
      <w:hyperlink w:anchor="_Toc20471764" w:history="1">
        <w:r w:rsidRPr="000F0354">
          <w:rPr>
            <w:rStyle w:val="Hyperlink"/>
            <w:sz w:val="23"/>
            <w:szCs w:val="23"/>
          </w:rPr>
          <w:t>10.2</w:t>
        </w:r>
        <w:r w:rsidRPr="000F0354">
          <w:rPr>
            <w:rFonts w:asciiTheme="minorHAnsi" w:eastAsiaTheme="minorEastAsia" w:hAnsiTheme="minorHAnsi" w:cstheme="minorBidi"/>
            <w:b w:val="0"/>
            <w:i w:val="0"/>
            <w:sz w:val="23"/>
            <w:szCs w:val="23"/>
          </w:rPr>
          <w:tab/>
        </w:r>
        <w:r w:rsidRPr="000F0354">
          <w:rPr>
            <w:rStyle w:val="Hyperlink"/>
            <w:sz w:val="23"/>
            <w:szCs w:val="23"/>
          </w:rPr>
          <w:t>Law enforcement, national security and intelligence functions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_Toc20471764 \h </w:instrText>
        </w:r>
        <w:r w:rsidRPr="000F0354">
          <w:rPr>
            <w:webHidden/>
            <w:sz w:val="23"/>
            <w:szCs w:val="23"/>
          </w:rPr>
        </w:r>
        <w:r w:rsidRPr="000F0354">
          <w:rPr>
            <w:webHidden/>
            <w:sz w:val="23"/>
            <w:szCs w:val="23"/>
          </w:rPr>
          <w:fldChar w:fldCharType="separate"/>
        </w:r>
        <w:r w:rsidR="008304C7">
          <w:rPr>
            <w:webHidden/>
            <w:sz w:val="23"/>
            <w:szCs w:val="23"/>
          </w:rPr>
          <w:t>39</w:t>
        </w:r>
        <w:r w:rsidRPr="000F0354">
          <w:rPr>
            <w:webHidden/>
            <w:sz w:val="23"/>
            <w:szCs w:val="23"/>
          </w:rPr>
          <w:fldChar w:fldCharType="end"/>
        </w:r>
      </w:hyperlink>
    </w:p>
    <w:p w14:paraId="1632DDE9" w14:textId="34135044" w:rsidR="00C96B7D" w:rsidRPr="000F0354" w:rsidRDefault="00C96B7D">
      <w:pPr>
        <w:pStyle w:val="TOC1"/>
        <w:rPr>
          <w:rFonts w:asciiTheme="minorHAnsi" w:eastAsiaTheme="minorEastAsia" w:hAnsiTheme="minorHAnsi" w:cstheme="minorBidi"/>
          <w:b w:val="0"/>
          <w:sz w:val="23"/>
          <w:szCs w:val="23"/>
        </w:rPr>
      </w:pPr>
      <w:hyperlink w:anchor="_Toc20471765" w:history="1">
        <w:r w:rsidRPr="000F0354">
          <w:rPr>
            <w:rStyle w:val="Hyperlink"/>
            <w:sz w:val="23"/>
            <w:szCs w:val="23"/>
          </w:rPr>
          <w:t>11</w:t>
        </w:r>
        <w:r w:rsidRPr="000F0354">
          <w:rPr>
            <w:rFonts w:asciiTheme="minorHAnsi" w:eastAsiaTheme="minorEastAsia" w:hAnsiTheme="minorHAnsi" w:cstheme="minorBidi"/>
            <w:b w:val="0"/>
            <w:sz w:val="23"/>
            <w:szCs w:val="23"/>
          </w:rPr>
          <w:tab/>
        </w:r>
        <w:r w:rsidRPr="000F0354">
          <w:rPr>
            <w:rStyle w:val="Hyperlink"/>
            <w:sz w:val="23"/>
            <w:szCs w:val="23"/>
          </w:rPr>
          <w:t>Freedom of Religion Commissioner</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_Toc20471765 \h </w:instrText>
        </w:r>
        <w:r w:rsidRPr="000F0354">
          <w:rPr>
            <w:webHidden/>
            <w:sz w:val="23"/>
            <w:szCs w:val="23"/>
          </w:rPr>
        </w:r>
        <w:r w:rsidRPr="000F0354">
          <w:rPr>
            <w:webHidden/>
            <w:sz w:val="23"/>
            <w:szCs w:val="23"/>
          </w:rPr>
          <w:fldChar w:fldCharType="separate"/>
        </w:r>
        <w:r w:rsidR="008304C7">
          <w:rPr>
            <w:webHidden/>
            <w:sz w:val="23"/>
            <w:szCs w:val="23"/>
          </w:rPr>
          <w:t>40</w:t>
        </w:r>
        <w:r w:rsidRPr="000F0354">
          <w:rPr>
            <w:webHidden/>
            <w:sz w:val="23"/>
            <w:szCs w:val="23"/>
          </w:rPr>
          <w:fldChar w:fldCharType="end"/>
        </w:r>
      </w:hyperlink>
    </w:p>
    <w:p w14:paraId="3878040B" w14:textId="31926B0D" w:rsidR="00C96B7D" w:rsidRPr="000F0354" w:rsidRDefault="00C96B7D">
      <w:pPr>
        <w:pStyle w:val="TOC1"/>
        <w:rPr>
          <w:rFonts w:asciiTheme="minorHAnsi" w:eastAsiaTheme="minorEastAsia" w:hAnsiTheme="minorHAnsi" w:cstheme="minorBidi"/>
          <w:b w:val="0"/>
          <w:sz w:val="23"/>
          <w:szCs w:val="23"/>
        </w:rPr>
      </w:pPr>
      <w:hyperlink w:anchor="_Toc20471766" w:history="1">
        <w:r w:rsidRPr="000F0354">
          <w:rPr>
            <w:rStyle w:val="Hyperlink"/>
            <w:sz w:val="23"/>
            <w:szCs w:val="23"/>
          </w:rPr>
          <w:t>12</w:t>
        </w:r>
        <w:r w:rsidRPr="000F0354">
          <w:rPr>
            <w:rFonts w:asciiTheme="minorHAnsi" w:eastAsiaTheme="minorEastAsia" w:hAnsiTheme="minorHAnsi" w:cstheme="minorBidi"/>
            <w:b w:val="0"/>
            <w:sz w:val="23"/>
            <w:szCs w:val="23"/>
          </w:rPr>
          <w:tab/>
        </w:r>
        <w:r w:rsidRPr="000F0354">
          <w:rPr>
            <w:rStyle w:val="Hyperlink"/>
            <w:sz w:val="23"/>
            <w:szCs w:val="23"/>
          </w:rPr>
          <w:t>Victimisation</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_Toc20471766 \h </w:instrText>
        </w:r>
        <w:r w:rsidRPr="000F0354">
          <w:rPr>
            <w:webHidden/>
            <w:sz w:val="23"/>
            <w:szCs w:val="23"/>
          </w:rPr>
        </w:r>
        <w:r w:rsidRPr="000F0354">
          <w:rPr>
            <w:webHidden/>
            <w:sz w:val="23"/>
            <w:szCs w:val="23"/>
          </w:rPr>
          <w:fldChar w:fldCharType="separate"/>
        </w:r>
        <w:r w:rsidR="008304C7">
          <w:rPr>
            <w:webHidden/>
            <w:sz w:val="23"/>
            <w:szCs w:val="23"/>
          </w:rPr>
          <w:t>43</w:t>
        </w:r>
        <w:r w:rsidRPr="000F0354">
          <w:rPr>
            <w:webHidden/>
            <w:sz w:val="23"/>
            <w:szCs w:val="23"/>
          </w:rPr>
          <w:fldChar w:fldCharType="end"/>
        </w:r>
      </w:hyperlink>
    </w:p>
    <w:p w14:paraId="6F3FF003" w14:textId="79DC9AB5" w:rsidR="00C96B7D" w:rsidRPr="000F0354" w:rsidRDefault="00C96B7D">
      <w:pPr>
        <w:pStyle w:val="TOC1"/>
        <w:rPr>
          <w:rFonts w:asciiTheme="minorHAnsi" w:eastAsiaTheme="minorEastAsia" w:hAnsiTheme="minorHAnsi" w:cstheme="minorBidi"/>
          <w:b w:val="0"/>
          <w:sz w:val="23"/>
          <w:szCs w:val="23"/>
        </w:rPr>
      </w:pPr>
      <w:hyperlink w:anchor="_Toc20471767" w:history="1">
        <w:r w:rsidRPr="000F0354">
          <w:rPr>
            <w:rStyle w:val="Hyperlink"/>
            <w:sz w:val="23"/>
            <w:szCs w:val="23"/>
          </w:rPr>
          <w:t>13</w:t>
        </w:r>
        <w:r w:rsidRPr="000F0354">
          <w:rPr>
            <w:rFonts w:asciiTheme="minorHAnsi" w:eastAsiaTheme="minorEastAsia" w:hAnsiTheme="minorHAnsi" w:cstheme="minorBidi"/>
            <w:b w:val="0"/>
            <w:sz w:val="23"/>
            <w:szCs w:val="23"/>
          </w:rPr>
          <w:tab/>
        </w:r>
        <w:r w:rsidRPr="000F0354">
          <w:rPr>
            <w:rStyle w:val="Hyperlink"/>
            <w:sz w:val="23"/>
            <w:szCs w:val="23"/>
          </w:rPr>
          <w:t>Freedom of Religion Bill</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_Toc20471767 \h </w:instrText>
        </w:r>
        <w:r w:rsidRPr="000F0354">
          <w:rPr>
            <w:webHidden/>
            <w:sz w:val="23"/>
            <w:szCs w:val="23"/>
          </w:rPr>
        </w:r>
        <w:r w:rsidRPr="000F0354">
          <w:rPr>
            <w:webHidden/>
            <w:sz w:val="23"/>
            <w:szCs w:val="23"/>
          </w:rPr>
          <w:fldChar w:fldCharType="separate"/>
        </w:r>
        <w:r w:rsidR="008304C7">
          <w:rPr>
            <w:webHidden/>
            <w:sz w:val="23"/>
            <w:szCs w:val="23"/>
          </w:rPr>
          <w:t>45</w:t>
        </w:r>
        <w:r w:rsidRPr="000F0354">
          <w:rPr>
            <w:webHidden/>
            <w:sz w:val="23"/>
            <w:szCs w:val="23"/>
          </w:rPr>
          <w:fldChar w:fldCharType="end"/>
        </w:r>
      </w:hyperlink>
    </w:p>
    <w:p w14:paraId="02E79104" w14:textId="5F79736C" w:rsidR="00C96B7D" w:rsidRPr="000F0354" w:rsidRDefault="00C96B7D">
      <w:pPr>
        <w:pStyle w:val="TOC2"/>
        <w:rPr>
          <w:rFonts w:asciiTheme="minorHAnsi" w:eastAsiaTheme="minorEastAsia" w:hAnsiTheme="minorHAnsi" w:cstheme="minorBidi"/>
          <w:b w:val="0"/>
          <w:i w:val="0"/>
          <w:sz w:val="23"/>
          <w:szCs w:val="23"/>
        </w:rPr>
      </w:pPr>
      <w:hyperlink w:anchor="_Toc20471768" w:history="1">
        <w:r w:rsidRPr="000F0354">
          <w:rPr>
            <w:rStyle w:val="Hyperlink"/>
            <w:sz w:val="23"/>
            <w:szCs w:val="23"/>
          </w:rPr>
          <w:t>13.1</w:t>
        </w:r>
        <w:r w:rsidRPr="000F0354">
          <w:rPr>
            <w:rFonts w:asciiTheme="minorHAnsi" w:eastAsiaTheme="minorEastAsia" w:hAnsiTheme="minorHAnsi" w:cstheme="minorBidi"/>
            <w:b w:val="0"/>
            <w:i w:val="0"/>
            <w:sz w:val="23"/>
            <w:szCs w:val="23"/>
          </w:rPr>
          <w:tab/>
        </w:r>
        <w:r w:rsidRPr="000F0354">
          <w:rPr>
            <w:rStyle w:val="Hyperlink"/>
            <w:sz w:val="23"/>
            <w:szCs w:val="23"/>
          </w:rPr>
          <w:t>Objects clauses</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_Toc20471768 \h </w:instrText>
        </w:r>
        <w:r w:rsidRPr="000F0354">
          <w:rPr>
            <w:webHidden/>
            <w:sz w:val="23"/>
            <w:szCs w:val="23"/>
          </w:rPr>
        </w:r>
        <w:r w:rsidRPr="000F0354">
          <w:rPr>
            <w:webHidden/>
            <w:sz w:val="23"/>
            <w:szCs w:val="23"/>
          </w:rPr>
          <w:fldChar w:fldCharType="separate"/>
        </w:r>
        <w:r w:rsidR="008304C7">
          <w:rPr>
            <w:webHidden/>
            <w:sz w:val="23"/>
            <w:szCs w:val="23"/>
          </w:rPr>
          <w:t>46</w:t>
        </w:r>
        <w:r w:rsidRPr="000F0354">
          <w:rPr>
            <w:webHidden/>
            <w:sz w:val="23"/>
            <w:szCs w:val="23"/>
          </w:rPr>
          <w:fldChar w:fldCharType="end"/>
        </w:r>
      </w:hyperlink>
    </w:p>
    <w:p w14:paraId="08B2E58D" w14:textId="32900AED" w:rsidR="00C96B7D" w:rsidRPr="000F0354" w:rsidRDefault="00C96B7D">
      <w:pPr>
        <w:pStyle w:val="TOC2"/>
        <w:rPr>
          <w:rFonts w:asciiTheme="minorHAnsi" w:eastAsiaTheme="minorEastAsia" w:hAnsiTheme="minorHAnsi" w:cstheme="minorBidi"/>
          <w:b w:val="0"/>
          <w:i w:val="0"/>
          <w:sz w:val="23"/>
          <w:szCs w:val="23"/>
        </w:rPr>
      </w:pPr>
      <w:hyperlink w:anchor="_Toc20471769" w:history="1">
        <w:r w:rsidRPr="000F0354">
          <w:rPr>
            <w:rStyle w:val="Hyperlink"/>
            <w:sz w:val="23"/>
            <w:szCs w:val="23"/>
          </w:rPr>
          <w:t>13.2</w:t>
        </w:r>
        <w:r w:rsidRPr="000F0354">
          <w:rPr>
            <w:rFonts w:asciiTheme="minorHAnsi" w:eastAsiaTheme="minorEastAsia" w:hAnsiTheme="minorHAnsi" w:cstheme="minorBidi"/>
            <w:b w:val="0"/>
            <w:i w:val="0"/>
            <w:sz w:val="23"/>
            <w:szCs w:val="23"/>
          </w:rPr>
          <w:tab/>
        </w:r>
        <w:r w:rsidRPr="000F0354">
          <w:rPr>
            <w:rStyle w:val="Hyperlink"/>
            <w:sz w:val="23"/>
            <w:szCs w:val="23"/>
          </w:rPr>
          <w:t>Amendment to Charites Act</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_Toc20471769 \h </w:instrText>
        </w:r>
        <w:r w:rsidRPr="000F0354">
          <w:rPr>
            <w:webHidden/>
            <w:sz w:val="23"/>
            <w:szCs w:val="23"/>
          </w:rPr>
        </w:r>
        <w:r w:rsidRPr="000F0354">
          <w:rPr>
            <w:webHidden/>
            <w:sz w:val="23"/>
            <w:szCs w:val="23"/>
          </w:rPr>
          <w:fldChar w:fldCharType="separate"/>
        </w:r>
        <w:r w:rsidR="008304C7">
          <w:rPr>
            <w:webHidden/>
            <w:sz w:val="23"/>
            <w:szCs w:val="23"/>
          </w:rPr>
          <w:t>47</w:t>
        </w:r>
        <w:r w:rsidRPr="000F0354">
          <w:rPr>
            <w:webHidden/>
            <w:sz w:val="23"/>
            <w:szCs w:val="23"/>
          </w:rPr>
          <w:fldChar w:fldCharType="end"/>
        </w:r>
      </w:hyperlink>
    </w:p>
    <w:p w14:paraId="521D1450" w14:textId="29FC0C82" w:rsidR="00C96B7D" w:rsidRPr="000F0354" w:rsidRDefault="00C96B7D">
      <w:pPr>
        <w:pStyle w:val="TOC2"/>
        <w:rPr>
          <w:rFonts w:asciiTheme="minorHAnsi" w:eastAsiaTheme="minorEastAsia" w:hAnsiTheme="minorHAnsi" w:cstheme="minorBidi"/>
          <w:b w:val="0"/>
          <w:i w:val="0"/>
          <w:sz w:val="23"/>
          <w:szCs w:val="23"/>
        </w:rPr>
      </w:pPr>
      <w:hyperlink w:anchor="_Toc20471770" w:history="1">
        <w:r w:rsidRPr="000F0354">
          <w:rPr>
            <w:rStyle w:val="Hyperlink"/>
            <w:sz w:val="23"/>
            <w:szCs w:val="23"/>
          </w:rPr>
          <w:t>13.3</w:t>
        </w:r>
        <w:r w:rsidRPr="000F0354">
          <w:rPr>
            <w:rFonts w:asciiTheme="minorHAnsi" w:eastAsiaTheme="minorEastAsia" w:hAnsiTheme="minorHAnsi" w:cstheme="minorBidi"/>
            <w:b w:val="0"/>
            <w:i w:val="0"/>
            <w:sz w:val="23"/>
            <w:szCs w:val="23"/>
          </w:rPr>
          <w:tab/>
        </w:r>
        <w:r w:rsidRPr="000F0354">
          <w:rPr>
            <w:rStyle w:val="Hyperlink"/>
            <w:sz w:val="23"/>
            <w:szCs w:val="23"/>
          </w:rPr>
          <w:t>Amendment to Marriage Act</w:t>
        </w:r>
        <w:r w:rsidRPr="000F0354">
          <w:rPr>
            <w:webHidden/>
            <w:sz w:val="23"/>
            <w:szCs w:val="23"/>
          </w:rPr>
          <w:tab/>
        </w:r>
        <w:r w:rsidRPr="000F0354">
          <w:rPr>
            <w:webHidden/>
            <w:sz w:val="23"/>
            <w:szCs w:val="23"/>
          </w:rPr>
          <w:fldChar w:fldCharType="begin"/>
        </w:r>
        <w:r w:rsidRPr="000F0354">
          <w:rPr>
            <w:webHidden/>
            <w:sz w:val="23"/>
            <w:szCs w:val="23"/>
          </w:rPr>
          <w:instrText xml:space="preserve"> PAGEREF _Toc20471770 \h </w:instrText>
        </w:r>
        <w:r w:rsidRPr="000F0354">
          <w:rPr>
            <w:webHidden/>
            <w:sz w:val="23"/>
            <w:szCs w:val="23"/>
          </w:rPr>
        </w:r>
        <w:r w:rsidRPr="000F0354">
          <w:rPr>
            <w:webHidden/>
            <w:sz w:val="23"/>
            <w:szCs w:val="23"/>
          </w:rPr>
          <w:fldChar w:fldCharType="separate"/>
        </w:r>
        <w:r w:rsidR="008304C7">
          <w:rPr>
            <w:webHidden/>
            <w:sz w:val="23"/>
            <w:szCs w:val="23"/>
          </w:rPr>
          <w:t>48</w:t>
        </w:r>
        <w:r w:rsidRPr="000F0354">
          <w:rPr>
            <w:webHidden/>
            <w:sz w:val="23"/>
            <w:szCs w:val="23"/>
          </w:rPr>
          <w:fldChar w:fldCharType="end"/>
        </w:r>
      </w:hyperlink>
      <w:bookmarkStart w:id="2" w:name="_GoBack"/>
      <w:bookmarkEnd w:id="2"/>
    </w:p>
    <w:p w14:paraId="6F469B61" w14:textId="7F28658B" w:rsidR="00C86324" w:rsidRDefault="000E4837" w:rsidP="00C81705">
      <w:pPr>
        <w:pStyle w:val="TOC2"/>
        <w:rPr>
          <w:b w:val="0"/>
        </w:rPr>
      </w:pPr>
      <w:r>
        <w:rPr>
          <w:b w:val="0"/>
        </w:rPr>
        <w:fldChar w:fldCharType="end"/>
      </w:r>
      <w:r w:rsidR="00C86324">
        <w:br w:type="page"/>
      </w:r>
    </w:p>
    <w:p w14:paraId="02C3DC1E" w14:textId="1B96553E" w:rsidR="00510390" w:rsidRDefault="009F2764" w:rsidP="00A27ABE">
      <w:pPr>
        <w:pStyle w:val="Heading1"/>
      </w:pPr>
      <w:bookmarkStart w:id="3" w:name="_Toc207761830"/>
      <w:bookmarkStart w:id="4" w:name="_Toc209578266"/>
      <w:bookmarkStart w:id="5" w:name="_Toc209941766"/>
      <w:bookmarkStart w:id="6" w:name="_Toc525894098"/>
      <w:bookmarkStart w:id="7" w:name="_Toc20471739"/>
      <w:r w:rsidRPr="009E08D1">
        <w:lastRenderedPageBreak/>
        <w:t>Introduction</w:t>
      </w:r>
      <w:bookmarkEnd w:id="3"/>
      <w:bookmarkEnd w:id="4"/>
      <w:bookmarkEnd w:id="5"/>
      <w:bookmarkEnd w:id="6"/>
      <w:bookmarkEnd w:id="7"/>
    </w:p>
    <w:p w14:paraId="575674A6" w14:textId="6C7A937B" w:rsidR="007905E6" w:rsidRDefault="003D0096" w:rsidP="003D0096">
      <w:pPr>
        <w:pStyle w:val="ListNumber"/>
      </w:pPr>
      <w:r>
        <w:t xml:space="preserve">The Australian Human Rights Commission </w:t>
      </w:r>
      <w:r w:rsidR="00E81FA1">
        <w:t xml:space="preserve">(the Commission) </w:t>
      </w:r>
      <w:r>
        <w:t xml:space="preserve">makes this submission to the Attorney-General’s Department </w:t>
      </w:r>
      <w:r w:rsidR="00EF2584">
        <w:t xml:space="preserve">in relation to the Department’s consultation on a package of three draft Bills </w:t>
      </w:r>
      <w:r w:rsidR="005A54CC">
        <w:t xml:space="preserve">that </w:t>
      </w:r>
      <w:r w:rsidR="00327CB4">
        <w:t xml:space="preserve">the Department </w:t>
      </w:r>
      <w:r w:rsidR="00AF326E">
        <w:t>describes collectively as</w:t>
      </w:r>
      <w:r w:rsidR="007C5F5E">
        <w:t xml:space="preserve"> the</w:t>
      </w:r>
      <w:r w:rsidR="00AF326E">
        <w:t xml:space="preserve"> ‘Religious Freedom Bills’.  Th</w:t>
      </w:r>
      <w:r w:rsidR="002B0028">
        <w:t>e Religious Freedom Bills comprise</w:t>
      </w:r>
      <w:r w:rsidR="00100594">
        <w:t xml:space="preserve"> </w:t>
      </w:r>
      <w:r w:rsidR="007C5F5E">
        <w:t xml:space="preserve">drafts of </w:t>
      </w:r>
      <w:r w:rsidR="00100594">
        <w:t>the</w:t>
      </w:r>
      <w:r w:rsidR="007905E6">
        <w:t>:</w:t>
      </w:r>
    </w:p>
    <w:p w14:paraId="489667D3" w14:textId="69FBD3AB" w:rsidR="007905E6" w:rsidRDefault="002B0028" w:rsidP="007905E6">
      <w:pPr>
        <w:pStyle w:val="ListNumber"/>
        <w:numPr>
          <w:ilvl w:val="0"/>
          <w:numId w:val="39"/>
        </w:numPr>
      </w:pPr>
      <w:r>
        <w:t>Religious Di</w:t>
      </w:r>
      <w:r w:rsidR="0091774C">
        <w:t>scrimination Bill 2019 (</w:t>
      </w:r>
      <w:proofErr w:type="spellStart"/>
      <w:r w:rsidR="0091774C">
        <w:t>Cth</w:t>
      </w:r>
      <w:proofErr w:type="spellEnd"/>
      <w:r w:rsidR="0091774C">
        <w:t xml:space="preserve">) (the Bill) </w:t>
      </w:r>
    </w:p>
    <w:p w14:paraId="7150DD46" w14:textId="7CF449F1" w:rsidR="001309D7" w:rsidRDefault="00185E1E" w:rsidP="007905E6">
      <w:pPr>
        <w:pStyle w:val="ListNumber"/>
        <w:numPr>
          <w:ilvl w:val="0"/>
          <w:numId w:val="39"/>
        </w:numPr>
      </w:pPr>
      <w:r>
        <w:t>Religious Discrimination (Consequential Amendments) Bill 2019 (</w:t>
      </w:r>
      <w:proofErr w:type="spellStart"/>
      <w:r>
        <w:t>Cth</w:t>
      </w:r>
      <w:proofErr w:type="spellEnd"/>
      <w:r>
        <w:t>) (the Consequential Amendments Bill)</w:t>
      </w:r>
    </w:p>
    <w:p w14:paraId="141EDBB6" w14:textId="06EA4C02" w:rsidR="00185E1E" w:rsidRDefault="00100594" w:rsidP="007905E6">
      <w:pPr>
        <w:pStyle w:val="ListNumber"/>
        <w:numPr>
          <w:ilvl w:val="0"/>
          <w:numId w:val="39"/>
        </w:numPr>
      </w:pPr>
      <w:r>
        <w:t>Human Rights Legislation Amendment (Freedom of Religion) Bill 2019 (</w:t>
      </w:r>
      <w:proofErr w:type="spellStart"/>
      <w:r>
        <w:t>Cth</w:t>
      </w:r>
      <w:proofErr w:type="spellEnd"/>
      <w:r>
        <w:t>) (</w:t>
      </w:r>
      <w:r w:rsidR="00056C1A">
        <w:t>the Freedom of Religion Bill).</w:t>
      </w:r>
    </w:p>
    <w:p w14:paraId="6572A21F" w14:textId="74BEF1FE" w:rsidR="00D22E33" w:rsidRPr="00D22E33" w:rsidRDefault="00D22E33" w:rsidP="00D22E33">
      <w:pPr>
        <w:pStyle w:val="ListNumber"/>
      </w:pPr>
      <w:r>
        <w:t xml:space="preserve">The Commission </w:t>
      </w:r>
      <w:r w:rsidR="001903B3">
        <w:t xml:space="preserve">is pleased to make a submission </w:t>
      </w:r>
      <w:r w:rsidR="00433FA9">
        <w:t xml:space="preserve">as part of </w:t>
      </w:r>
      <w:r w:rsidR="00913AD2">
        <w:t xml:space="preserve">this </w:t>
      </w:r>
      <w:r w:rsidR="008D3CFC">
        <w:t xml:space="preserve">public </w:t>
      </w:r>
      <w:r w:rsidR="00913AD2">
        <w:t>consultation process.</w:t>
      </w:r>
    </w:p>
    <w:p w14:paraId="2EE01263" w14:textId="760AEA39" w:rsidR="009F2764" w:rsidRDefault="003423F4" w:rsidP="009E08D1">
      <w:pPr>
        <w:pStyle w:val="Heading1"/>
      </w:pPr>
      <w:bookmarkStart w:id="8" w:name="_Toc525894099"/>
      <w:bookmarkStart w:id="9" w:name="_Toc20471740"/>
      <w:r>
        <w:t>Summary</w:t>
      </w:r>
      <w:bookmarkEnd w:id="8"/>
      <w:bookmarkEnd w:id="9"/>
    </w:p>
    <w:p w14:paraId="1BC8729D" w14:textId="01CD3164" w:rsidR="00913AD2" w:rsidRDefault="004564A3" w:rsidP="004564A3">
      <w:pPr>
        <w:pStyle w:val="ListNumber"/>
      </w:pPr>
      <w:r>
        <w:t xml:space="preserve">The Commission strongly supports the introduction of </w:t>
      </w:r>
      <w:r w:rsidR="00376F7B">
        <w:t xml:space="preserve">enforceable </w:t>
      </w:r>
      <w:r>
        <w:t xml:space="preserve">protections </w:t>
      </w:r>
      <w:r w:rsidR="0043726B">
        <w:t xml:space="preserve">against religious discrimination </w:t>
      </w:r>
      <w:r w:rsidR="00483DE0">
        <w:t xml:space="preserve">for </w:t>
      </w:r>
      <w:r w:rsidR="0043726B">
        <w:t xml:space="preserve">all </w:t>
      </w:r>
      <w:r w:rsidR="00483DE0">
        <w:t>people in Australia</w:t>
      </w:r>
      <w:r w:rsidR="0043726B">
        <w:t>.</w:t>
      </w:r>
      <w:r w:rsidR="00265C5C">
        <w:t xml:space="preserve">  </w:t>
      </w:r>
      <w:r w:rsidR="00376A3C">
        <w:t>This has been the consistent position of the Commission for more than 20 years.</w:t>
      </w:r>
      <w:r w:rsidR="00044FC9" w:rsidRPr="00BE77B6">
        <w:rPr>
          <w:sz w:val="20"/>
          <w:szCs w:val="20"/>
          <w:vertAlign w:val="superscript"/>
        </w:rPr>
        <w:endnoteReference w:id="2"/>
      </w:r>
      <w:r w:rsidR="00376A3C">
        <w:t xml:space="preserve"> </w:t>
      </w:r>
    </w:p>
    <w:p w14:paraId="63DF4024" w14:textId="755B9991" w:rsidR="00376A3C" w:rsidRDefault="00EB6025" w:rsidP="004564A3">
      <w:pPr>
        <w:pStyle w:val="ListNumber"/>
      </w:pPr>
      <w:r>
        <w:t>While there are some protections against religious discrimination a</w:t>
      </w:r>
      <w:r w:rsidR="00E10D86">
        <w:t>t the Commonwealth, State and Territory level, these protections are incomplete</w:t>
      </w:r>
      <w:r w:rsidR="009B4340">
        <w:t xml:space="preserve">.  In some </w:t>
      </w:r>
      <w:r w:rsidR="00E81FA1">
        <w:t>scenarios</w:t>
      </w:r>
      <w:r w:rsidR="009B4340">
        <w:t xml:space="preserve">, such as complaints to the Commission of religious discrimination in employment, they do not provide for enforceable remedies where discrimination is established. </w:t>
      </w:r>
    </w:p>
    <w:p w14:paraId="0B6E2C93" w14:textId="476728F5" w:rsidR="009B4340" w:rsidRDefault="00AB340F" w:rsidP="004564A3">
      <w:pPr>
        <w:pStyle w:val="ListNumber"/>
      </w:pPr>
      <w:r>
        <w:t xml:space="preserve">Just as Australians </w:t>
      </w:r>
      <w:r w:rsidR="00CC6C0B">
        <w:t xml:space="preserve">are provided </w:t>
      </w:r>
      <w:r w:rsidR="00F603C6">
        <w:t xml:space="preserve">with statutory </w:t>
      </w:r>
      <w:r w:rsidR="00CC6C0B">
        <w:t xml:space="preserve">protection against discrimination on the grounds of race, sex, </w:t>
      </w:r>
      <w:r w:rsidR="001976C1">
        <w:t xml:space="preserve">disability and age, so too should they be provided with </w:t>
      </w:r>
      <w:r w:rsidR="00F603C6">
        <w:t xml:space="preserve">equivalent </w:t>
      </w:r>
      <w:r w:rsidR="001976C1">
        <w:t xml:space="preserve">protection against discrimination on the ground of religious belief or activity.  </w:t>
      </w:r>
      <w:r w:rsidR="00397498">
        <w:t>This reinforces the idea</w:t>
      </w:r>
      <w:r w:rsidR="00A6312E">
        <w:t xml:space="preserve">, reflected in </w:t>
      </w:r>
      <w:r w:rsidR="003B5212">
        <w:t xml:space="preserve">article 2 of the Universal Declaration of Human Rights and </w:t>
      </w:r>
      <w:r w:rsidR="000E639E">
        <w:t xml:space="preserve">in </w:t>
      </w:r>
      <w:r w:rsidR="00A6312E">
        <w:t xml:space="preserve">the </w:t>
      </w:r>
      <w:proofErr w:type="gramStart"/>
      <w:r w:rsidR="00B2117D">
        <w:t>objects</w:t>
      </w:r>
      <w:proofErr w:type="gramEnd"/>
      <w:r w:rsidR="00B2117D">
        <w:t xml:space="preserve"> clause for the Bill,</w:t>
      </w:r>
      <w:r w:rsidR="00397498">
        <w:t xml:space="preserve"> that human rights are </w:t>
      </w:r>
      <w:r w:rsidR="00825080">
        <w:t xml:space="preserve">indivisible and </w:t>
      </w:r>
      <w:r w:rsidR="00397498">
        <w:t>universal</w:t>
      </w:r>
      <w:r w:rsidR="00A6312E">
        <w:t xml:space="preserve">. </w:t>
      </w:r>
    </w:p>
    <w:p w14:paraId="404BFF68" w14:textId="43EF78A6" w:rsidR="00B2117D" w:rsidRDefault="007740F7" w:rsidP="004564A3">
      <w:pPr>
        <w:pStyle w:val="ListNumber"/>
      </w:pPr>
      <w:r>
        <w:t xml:space="preserve">Prohibiting </w:t>
      </w:r>
      <w:r w:rsidR="00CF784D">
        <w:t xml:space="preserve">discrimination on the ground of </w:t>
      </w:r>
      <w:r w:rsidR="00CF3A71">
        <w:t>religious belief or activity (including belief</w:t>
      </w:r>
      <w:r w:rsidR="007C43EB">
        <w:t>s about religion held by people who are atheist</w:t>
      </w:r>
      <w:r w:rsidR="0039031A">
        <w:t>s</w:t>
      </w:r>
      <w:r w:rsidR="007C43EB">
        <w:t xml:space="preserve"> or agnostic</w:t>
      </w:r>
      <w:r w:rsidR="00AE7615">
        <w:t>s</w:t>
      </w:r>
      <w:r w:rsidR="007C43EB">
        <w:t>)</w:t>
      </w:r>
      <w:r w:rsidR="007119BD">
        <w:t xml:space="preserve"> </w:t>
      </w:r>
      <w:r w:rsidR="00342B28">
        <w:t xml:space="preserve">is consistent with the </w:t>
      </w:r>
      <w:r w:rsidR="00D76A68">
        <w:t>tolerant, pluralistic nature of Australian society.</w:t>
      </w:r>
    </w:p>
    <w:p w14:paraId="64053BF5" w14:textId="066B68FA" w:rsidR="00CC6C0B" w:rsidRDefault="00ED454D" w:rsidP="004564A3">
      <w:pPr>
        <w:pStyle w:val="ListNumber"/>
      </w:pPr>
      <w:r>
        <w:lastRenderedPageBreak/>
        <w:t xml:space="preserve">In many </w:t>
      </w:r>
      <w:r w:rsidR="00FD19A9">
        <w:t>respects</w:t>
      </w:r>
      <w:r w:rsidR="00724290">
        <w:t>,</w:t>
      </w:r>
      <w:r>
        <w:t xml:space="preserve"> t</w:t>
      </w:r>
      <w:r w:rsidR="00C86032">
        <w:t xml:space="preserve">he Bill </w:t>
      </w:r>
      <w:r>
        <w:t>is consistent with the objective of providing equivalent protection against discrimination on the ground of religious belief or activity</w:t>
      </w:r>
      <w:r w:rsidR="00724290">
        <w:t xml:space="preserve">—as compared with </w:t>
      </w:r>
      <w:r w:rsidR="00FA5839">
        <w:t xml:space="preserve">existing </w:t>
      </w:r>
      <w:r w:rsidR="00724290">
        <w:t>Commonwealth laws that prohibit discrimination on other grounds such as race, sex, disability and age</w:t>
      </w:r>
      <w:r w:rsidR="00DE201B">
        <w:t xml:space="preserve">.  </w:t>
      </w:r>
      <w:r w:rsidR="00724290">
        <w:t>T</w:t>
      </w:r>
      <w:r w:rsidR="00DE201B">
        <w:t xml:space="preserve">he Bill </w:t>
      </w:r>
      <w:r w:rsidR="00724290">
        <w:t xml:space="preserve">prohibits </w:t>
      </w:r>
      <w:r w:rsidR="00FA5839">
        <w:t xml:space="preserve">direct and indirect </w:t>
      </w:r>
      <w:r w:rsidR="00724290">
        <w:t xml:space="preserve">discrimination on the ground of religious belief or activity </w:t>
      </w:r>
      <w:r w:rsidR="00DE201B">
        <w:t xml:space="preserve">in areas of public life covered by </w:t>
      </w:r>
      <w:r w:rsidR="00FA5839">
        <w:t xml:space="preserve">those </w:t>
      </w:r>
      <w:r w:rsidR="00DE201B">
        <w:t xml:space="preserve">other </w:t>
      </w:r>
      <w:r w:rsidR="006058D0">
        <w:t>Commonwealth</w:t>
      </w:r>
      <w:r w:rsidR="00DE201B">
        <w:t xml:space="preserve"> discrimination law</w:t>
      </w:r>
      <w:r w:rsidR="00FA5839">
        <w:t>s</w:t>
      </w:r>
      <w:r w:rsidR="00DE201B">
        <w:t>.  The Bill also provides for general and specific exemptions</w:t>
      </w:r>
      <w:r w:rsidR="00040D7E">
        <w:t xml:space="preserve"> which </w:t>
      </w:r>
      <w:r w:rsidR="00311B99">
        <w:t>are broadly consistent with other discrimination law.</w:t>
      </w:r>
      <w:r w:rsidR="008B3984">
        <w:t xml:space="preserve">  </w:t>
      </w:r>
    </w:p>
    <w:p w14:paraId="743FD1E7" w14:textId="2D72CED3" w:rsidR="00681E6D" w:rsidRDefault="00FA5839" w:rsidP="004564A3">
      <w:pPr>
        <w:pStyle w:val="ListNumber"/>
      </w:pPr>
      <w:r>
        <w:t xml:space="preserve">The Commission endorses these </w:t>
      </w:r>
      <w:r w:rsidR="003D7D95">
        <w:t>elements</w:t>
      </w:r>
      <w:r>
        <w:t xml:space="preserve"> of the Bill</w:t>
      </w:r>
      <w:r w:rsidR="00F551D5">
        <w:t>.</w:t>
      </w:r>
      <w:r>
        <w:t xml:space="preserve"> </w:t>
      </w:r>
      <w:r w:rsidR="00F551D5">
        <w:t xml:space="preserve">They represent </w:t>
      </w:r>
      <w:r>
        <w:t>a</w:t>
      </w:r>
      <w:r w:rsidR="000D0C96">
        <w:t xml:space="preserve"> standard</w:t>
      </w:r>
      <w:r>
        <w:t xml:space="preserve"> means of incorporating certain protections from international human rights law into Australia’s domestic law.  </w:t>
      </w:r>
      <w:r w:rsidR="00681E6D">
        <w:t>T</w:t>
      </w:r>
      <w:r w:rsidR="008B3984">
        <w:t xml:space="preserve">he Commission </w:t>
      </w:r>
      <w:r w:rsidR="00681E6D">
        <w:t xml:space="preserve">also </w:t>
      </w:r>
      <w:r w:rsidR="008B3984">
        <w:t>identifies</w:t>
      </w:r>
      <w:r w:rsidR="00D77A9D">
        <w:t>,</w:t>
      </w:r>
      <w:r w:rsidR="008B3984">
        <w:t xml:space="preserve"> </w:t>
      </w:r>
      <w:r w:rsidR="00906178">
        <w:t>in the body of this submission</w:t>
      </w:r>
      <w:r w:rsidR="00D77A9D">
        <w:t>,</w:t>
      </w:r>
      <w:r w:rsidR="00906178">
        <w:t xml:space="preserve"> </w:t>
      </w:r>
      <w:r w:rsidR="008B3984">
        <w:t xml:space="preserve">certain provisions </w:t>
      </w:r>
      <w:r w:rsidR="00906178">
        <w:t xml:space="preserve">of the Religious Freedom Bills which </w:t>
      </w:r>
      <w:r w:rsidR="008B3984">
        <w:t>represent good practice in the drafting of discrimination law.</w:t>
      </w:r>
    </w:p>
    <w:p w14:paraId="4E7CF3D3" w14:textId="6CA88F03" w:rsidR="00311B99" w:rsidRDefault="00311B99" w:rsidP="004564A3">
      <w:pPr>
        <w:pStyle w:val="ListNumber"/>
      </w:pPr>
      <w:r>
        <w:t xml:space="preserve">However, </w:t>
      </w:r>
      <w:r w:rsidR="003D7D95">
        <w:t xml:space="preserve">the Commission is concerned that, </w:t>
      </w:r>
      <w:r>
        <w:t xml:space="preserve">in </w:t>
      </w:r>
      <w:r w:rsidR="009C1175">
        <w:t>other</w:t>
      </w:r>
      <w:r>
        <w:t xml:space="preserve"> respects, the Bill </w:t>
      </w:r>
      <w:r w:rsidR="00906178">
        <w:t>would</w:t>
      </w:r>
      <w:r w:rsidR="00DC7E0E">
        <w:t xml:space="preserve"> provide protection to religious belief or activity at the expense of other </w:t>
      </w:r>
      <w:r w:rsidR="00241543">
        <w:t xml:space="preserve">rights.  The Bill also includes </w:t>
      </w:r>
      <w:proofErr w:type="gramStart"/>
      <w:r w:rsidR="00241543">
        <w:t>a number of</w:t>
      </w:r>
      <w:proofErr w:type="gramEnd"/>
      <w:r w:rsidR="00241543">
        <w:t xml:space="preserve"> </w:t>
      </w:r>
      <w:r w:rsidR="00763F13">
        <w:t xml:space="preserve">unique provisions </w:t>
      </w:r>
      <w:r w:rsidR="00E241F4">
        <w:t>that have no counterpart in other anti-discrimination law</w:t>
      </w:r>
      <w:r w:rsidR="00D77A9D">
        <w:t>s</w:t>
      </w:r>
      <w:r w:rsidR="00E241F4">
        <w:t xml:space="preserve"> </w:t>
      </w:r>
      <w:r w:rsidR="002A735A">
        <w:t xml:space="preserve">and appear to be designed to address </w:t>
      </w:r>
      <w:r w:rsidR="00A8765A">
        <w:t>high</w:t>
      </w:r>
      <w:r w:rsidR="00FA5839">
        <w:t>-</w:t>
      </w:r>
      <w:r w:rsidR="00A8765A">
        <w:t>profile individual cases</w:t>
      </w:r>
      <w:r w:rsidR="002A735A">
        <w:t xml:space="preserve">.  As a matter of principle, the Commission considers that this is </w:t>
      </w:r>
      <w:r w:rsidR="00D77A9D">
        <w:t xml:space="preserve">not good </w:t>
      </w:r>
      <w:r w:rsidR="00771C8E">
        <w:t xml:space="preserve">legislative practice.  As a matter of substance, the Commission considers that this </w:t>
      </w:r>
      <w:r w:rsidR="00D77A9D">
        <w:t>may</w:t>
      </w:r>
      <w:r w:rsidR="00EA7C9E">
        <w:t xml:space="preserve"> lead to unintended </w:t>
      </w:r>
      <w:r w:rsidR="000E1DF3">
        <w:t xml:space="preserve">and undesirable </w:t>
      </w:r>
      <w:r w:rsidR="00EA7C9E">
        <w:t>consequences</w:t>
      </w:r>
      <w:r w:rsidR="000E1DF3">
        <w:t>.</w:t>
      </w:r>
    </w:p>
    <w:p w14:paraId="0F8607D0" w14:textId="1983592F" w:rsidR="000E1DF3" w:rsidRDefault="003C184B" w:rsidP="004564A3">
      <w:pPr>
        <w:pStyle w:val="ListNumber"/>
      </w:pPr>
      <w:r>
        <w:t xml:space="preserve">The </w:t>
      </w:r>
      <w:r w:rsidR="003D7D95">
        <w:t xml:space="preserve">Commission’s </w:t>
      </w:r>
      <w:r>
        <w:t xml:space="preserve">main concerns </w:t>
      </w:r>
      <w:r w:rsidR="003D7D95">
        <w:t xml:space="preserve">regarding </w:t>
      </w:r>
      <w:r>
        <w:t>the Bill are as follows.</w:t>
      </w:r>
    </w:p>
    <w:p w14:paraId="55A5C4BA" w14:textId="77777777" w:rsidR="00FE1DCA" w:rsidRDefault="003C184B" w:rsidP="004564A3">
      <w:pPr>
        <w:pStyle w:val="ListNumber"/>
      </w:pPr>
      <w:r w:rsidRPr="00FE1DCA">
        <w:rPr>
          <w:b/>
          <w:bCs/>
        </w:rPr>
        <w:t>First</w:t>
      </w:r>
      <w:r>
        <w:t xml:space="preserve">, the scope of the Bill is </w:t>
      </w:r>
      <w:r w:rsidR="009A4E3B">
        <w:t xml:space="preserve">overly </w:t>
      </w:r>
      <w:r w:rsidR="003555E3">
        <w:t>broad in</w:t>
      </w:r>
      <w:r w:rsidR="001D1520">
        <w:t xml:space="preserve"> defining</w:t>
      </w:r>
      <w:r w:rsidR="003555E3">
        <w:t xml:space="preserve"> who may be a victim of religious discrimination and</w:t>
      </w:r>
      <w:r w:rsidR="00A2703B">
        <w:t>, arguably, too</w:t>
      </w:r>
      <w:r w:rsidR="003555E3">
        <w:t xml:space="preserve"> narrow in </w:t>
      </w:r>
      <w:r w:rsidR="001D1520">
        <w:t xml:space="preserve">defining </w:t>
      </w:r>
      <w:r w:rsidR="003555E3">
        <w:t xml:space="preserve">who may </w:t>
      </w:r>
      <w:r w:rsidR="001D1520">
        <w:t xml:space="preserve">be found to have </w:t>
      </w:r>
      <w:r w:rsidR="009A4E3B">
        <w:t>engage</w:t>
      </w:r>
      <w:r w:rsidR="001D1520">
        <w:t>d</w:t>
      </w:r>
      <w:r w:rsidR="009A4E3B">
        <w:t xml:space="preserve"> in </w:t>
      </w:r>
      <w:r w:rsidR="001D1520">
        <w:t xml:space="preserve">religious </w:t>
      </w:r>
      <w:r w:rsidR="009A4E3B">
        <w:t>discrimination.</w:t>
      </w:r>
      <w:r w:rsidR="00A2703B">
        <w:t xml:space="preserve">  </w:t>
      </w:r>
    </w:p>
    <w:p w14:paraId="4459DEF8" w14:textId="6A36A4D4" w:rsidR="003C184B" w:rsidRDefault="00A2703B" w:rsidP="004564A3">
      <w:pPr>
        <w:pStyle w:val="ListNumber"/>
      </w:pPr>
      <w:r>
        <w:t xml:space="preserve">Unlike all other </w:t>
      </w:r>
      <w:r w:rsidR="006058D0">
        <w:t>Commonwealth</w:t>
      </w:r>
      <w:r>
        <w:t xml:space="preserve"> discrimination law</w:t>
      </w:r>
      <w:r w:rsidR="00D77A9D">
        <w:t>s</w:t>
      </w:r>
      <w:r w:rsidR="00A4438A">
        <w:t>,</w:t>
      </w:r>
      <w:r>
        <w:t xml:space="preserve"> which focus on the rights of </w:t>
      </w:r>
      <w:r w:rsidR="003D7D95">
        <w:t xml:space="preserve">natural persons (that is, humans) </w:t>
      </w:r>
      <w:r>
        <w:t xml:space="preserve">to be free from discrimination, the Bill </w:t>
      </w:r>
      <w:r w:rsidR="00AA2D69">
        <w:t>provides that</w:t>
      </w:r>
      <w:r>
        <w:t xml:space="preserve"> claims of religious discrimination </w:t>
      </w:r>
      <w:r w:rsidR="006B412E">
        <w:t xml:space="preserve">may be </w:t>
      </w:r>
      <w:r>
        <w:t xml:space="preserve">made by </w:t>
      </w:r>
      <w:r w:rsidR="00C32410">
        <w:t>corporations</w:t>
      </w:r>
      <w:r w:rsidR="006B412E">
        <w:t xml:space="preserve"> including </w:t>
      </w:r>
      <w:r w:rsidR="002D09B5">
        <w:t>religious institutions, religious schools, religious charities and religious businesses</w:t>
      </w:r>
      <w:r w:rsidR="00C32410">
        <w:t xml:space="preserve">.  </w:t>
      </w:r>
      <w:r w:rsidR="002D09B5">
        <w:t xml:space="preserve">This is a </w:t>
      </w:r>
      <w:r w:rsidR="00A4438A">
        <w:t xml:space="preserve">significant </w:t>
      </w:r>
      <w:r w:rsidR="00FF6C3C">
        <w:t xml:space="preserve">departure from </w:t>
      </w:r>
      <w:r w:rsidR="00906178">
        <w:t xml:space="preserve">domestic and international </w:t>
      </w:r>
      <w:r w:rsidR="00FF6C3C">
        <w:t xml:space="preserve">human rights </w:t>
      </w:r>
      <w:r w:rsidR="00906178">
        <w:t>law</w:t>
      </w:r>
      <w:r w:rsidR="00A4438A">
        <w:t>s</w:t>
      </w:r>
      <w:r w:rsidR="00906178">
        <w:t xml:space="preserve"> </w:t>
      </w:r>
      <w:r w:rsidR="00FF6C3C">
        <w:t>which</w:t>
      </w:r>
      <w:r w:rsidR="003E6FAB">
        <w:t xml:space="preserve"> </w:t>
      </w:r>
      <w:r w:rsidR="00906178">
        <w:t>protect</w:t>
      </w:r>
      <w:r w:rsidR="003E6FAB">
        <w:t xml:space="preserve"> </w:t>
      </w:r>
      <w:r w:rsidR="00906178">
        <w:t xml:space="preserve">only </w:t>
      </w:r>
      <w:r w:rsidR="00FF6C3C">
        <w:t xml:space="preserve">the rights of </w:t>
      </w:r>
      <w:r w:rsidR="003E6FAB">
        <w:t>natural persons.</w:t>
      </w:r>
    </w:p>
    <w:p w14:paraId="67C4446C" w14:textId="26263DE6" w:rsidR="00E63680" w:rsidRDefault="00FE1DCA" w:rsidP="004564A3">
      <w:pPr>
        <w:pStyle w:val="ListNumber"/>
      </w:pPr>
      <w:r>
        <w:t xml:space="preserve">At the same time, the Bill provides that </w:t>
      </w:r>
      <w:r w:rsidR="00A567DF">
        <w:t>‘</w:t>
      </w:r>
      <w:r w:rsidR="00180ED8">
        <w:t>religious bodies</w:t>
      </w:r>
      <w:r w:rsidR="00A567DF">
        <w:t>’</w:t>
      </w:r>
      <w:r w:rsidR="003D7D95">
        <w:t>—</w:t>
      </w:r>
      <w:r w:rsidR="00180ED8">
        <w:t>including religious schools, religious charities and other religious bodies</w:t>
      </w:r>
      <w:r w:rsidR="003D7D95">
        <w:t>—</w:t>
      </w:r>
      <w:r w:rsidR="00A567DF">
        <w:t xml:space="preserve">are entirely exempt from engaging in religious discrimination </w:t>
      </w:r>
      <w:r w:rsidR="0086285C">
        <w:t>if the discrimination is</w:t>
      </w:r>
      <w:r w:rsidR="00E20B05">
        <w:t xml:space="preserve"> in good faith and</w:t>
      </w:r>
      <w:r w:rsidR="0086285C">
        <w:t xml:space="preserve"> in accordance with their </w:t>
      </w:r>
      <w:r w:rsidR="007467FC">
        <w:t xml:space="preserve">religious </w:t>
      </w:r>
      <w:r w:rsidR="0086285C">
        <w:lastRenderedPageBreak/>
        <w:t>doctr</w:t>
      </w:r>
      <w:r w:rsidR="000908F2">
        <w:t>ines</w:t>
      </w:r>
      <w:r w:rsidR="00036B6C">
        <w:t>, tenets,</w:t>
      </w:r>
      <w:r w:rsidR="000908F2">
        <w:t xml:space="preserve"> beliefs</w:t>
      </w:r>
      <w:r w:rsidR="00036B6C">
        <w:t xml:space="preserve"> or teachings</w:t>
      </w:r>
      <w:r w:rsidR="000908F2">
        <w:t>.</w:t>
      </w:r>
      <w:r w:rsidR="00CE7C46">
        <w:t xml:space="preserve">  This is a </w:t>
      </w:r>
      <w:r w:rsidR="00A4438A">
        <w:t xml:space="preserve">wide </w:t>
      </w:r>
      <w:r w:rsidR="00CE7C46">
        <w:t>exemption</w:t>
      </w:r>
      <w:r w:rsidR="00525F65">
        <w:t xml:space="preserve"> that undercut</w:t>
      </w:r>
      <w:r w:rsidR="003F722B">
        <w:t>s</w:t>
      </w:r>
      <w:r w:rsidR="00525F65">
        <w:t xml:space="preserve"> protections against religious discrimination</w:t>
      </w:r>
      <w:r w:rsidR="00613025">
        <w:t xml:space="preserve">, particularly in the areas of employment and the provision of goods and </w:t>
      </w:r>
      <w:proofErr w:type="gramStart"/>
      <w:r w:rsidR="00613025">
        <w:t>services,</w:t>
      </w:r>
      <w:r w:rsidR="00525F65">
        <w:t xml:space="preserve"> and</w:t>
      </w:r>
      <w:proofErr w:type="gramEnd"/>
      <w:r w:rsidR="00525F65">
        <w:t xml:space="preserve"> </w:t>
      </w:r>
      <w:r w:rsidR="0008564E">
        <w:t>requires further close examination.</w:t>
      </w:r>
    </w:p>
    <w:p w14:paraId="4589E346" w14:textId="3F3B6133" w:rsidR="000908F2" w:rsidRDefault="001E4662" w:rsidP="004564A3">
      <w:pPr>
        <w:pStyle w:val="ListNumber"/>
      </w:pPr>
      <w:r w:rsidRPr="001E4662">
        <w:rPr>
          <w:b/>
          <w:bCs/>
        </w:rPr>
        <w:t>Secondly</w:t>
      </w:r>
      <w:r>
        <w:t xml:space="preserve">, the Bill </w:t>
      </w:r>
      <w:r w:rsidR="003F5504">
        <w:t xml:space="preserve">provides that </w:t>
      </w:r>
      <w:r w:rsidR="0087233D">
        <w:t>‘</w:t>
      </w:r>
      <w:r w:rsidR="003F5504">
        <w:t>statements of belief</w:t>
      </w:r>
      <w:r w:rsidR="0087233D">
        <w:t>’</w:t>
      </w:r>
      <w:r w:rsidR="00315EAF">
        <w:t xml:space="preserve"> that would otherwise contravene Commonwealth, State or Territory anti-discrimination law</w:t>
      </w:r>
      <w:r w:rsidR="00A4438A">
        <w:t>s</w:t>
      </w:r>
      <w:r w:rsidR="00315EAF">
        <w:t xml:space="preserve"> </w:t>
      </w:r>
      <w:r w:rsidR="002607FC">
        <w:t>are</w:t>
      </w:r>
      <w:r w:rsidR="00315EAF">
        <w:t xml:space="preserve"> exempt from the operation of those laws.</w:t>
      </w:r>
      <w:r w:rsidR="0081276E">
        <w:t xml:space="preserve">  Discriminatory statements of belief</w:t>
      </w:r>
      <w:r w:rsidR="00A4438A">
        <w:t>,</w:t>
      </w:r>
      <w:r w:rsidR="00071A56">
        <w:t xml:space="preserve"> of the kind described in clause 41 of the Bill</w:t>
      </w:r>
      <w:r w:rsidR="0081276E">
        <w:t xml:space="preserve">, </w:t>
      </w:r>
      <w:r w:rsidR="002607FC">
        <w:t xml:space="preserve">whether they amount to racial discrimination, sex discrimination or </w:t>
      </w:r>
      <w:r w:rsidR="00874F2A">
        <w:t>discrimination on any other ground</w:t>
      </w:r>
      <w:r w:rsidR="00B5027A">
        <w:t xml:space="preserve"> prohibited by law</w:t>
      </w:r>
      <w:r w:rsidR="00874F2A">
        <w:t xml:space="preserve">, </w:t>
      </w:r>
      <w:r w:rsidR="00B5027A">
        <w:t>will no longer be unlawful.</w:t>
      </w:r>
      <w:r w:rsidR="0087233D">
        <w:t xml:space="preserve">  The Commission considers that this </w:t>
      </w:r>
      <w:r w:rsidR="006E1F42">
        <w:t xml:space="preserve">overriding of all other </w:t>
      </w:r>
      <w:r w:rsidR="005A29A4">
        <w:t xml:space="preserve">Australian </w:t>
      </w:r>
      <w:r w:rsidR="006E1F42">
        <w:t>discrimination law</w:t>
      </w:r>
      <w:r w:rsidR="00035E21">
        <w:t>s</w:t>
      </w:r>
      <w:r w:rsidR="00F72D4D">
        <w:t xml:space="preserve"> </w:t>
      </w:r>
      <w:r w:rsidR="007B680C">
        <w:t xml:space="preserve">is not warranted, sets a </w:t>
      </w:r>
      <w:r w:rsidR="00035E21">
        <w:t xml:space="preserve">concerning </w:t>
      </w:r>
      <w:r w:rsidR="007B680C">
        <w:t>precedent, and is inconsistent with the stated objects of the Bill</w:t>
      </w:r>
      <w:r w:rsidR="00035E21">
        <w:t>,</w:t>
      </w:r>
      <w:r w:rsidR="007B680C">
        <w:t xml:space="preserve"> which recognise the indivisibility </w:t>
      </w:r>
      <w:r w:rsidR="00C54019">
        <w:t xml:space="preserve">and universality </w:t>
      </w:r>
      <w:r w:rsidR="007B680C">
        <w:t xml:space="preserve">of human rights.  Instead, this provision seeks to </w:t>
      </w:r>
      <w:r w:rsidR="00035E21">
        <w:t xml:space="preserve">favour </w:t>
      </w:r>
      <w:r w:rsidR="007B680C">
        <w:t>one right over all others.</w:t>
      </w:r>
    </w:p>
    <w:p w14:paraId="2A1AA37F" w14:textId="25FC7036" w:rsidR="004751BC" w:rsidRDefault="00CB2581" w:rsidP="004564A3">
      <w:pPr>
        <w:pStyle w:val="ListNumber"/>
      </w:pPr>
      <w:r w:rsidRPr="00CB2581">
        <w:rPr>
          <w:b/>
          <w:bCs/>
        </w:rPr>
        <w:t>Thirdly</w:t>
      </w:r>
      <w:r>
        <w:t xml:space="preserve">, </w:t>
      </w:r>
      <w:r w:rsidR="005431A7">
        <w:t xml:space="preserve">the Commission is concerned about </w:t>
      </w:r>
      <w:r w:rsidR="00FA1878">
        <w:t xml:space="preserve">two </w:t>
      </w:r>
      <w:r w:rsidR="00185D30">
        <w:t xml:space="preserve">deeming provisions </w:t>
      </w:r>
      <w:r w:rsidR="00E11C4E">
        <w:t xml:space="preserve">that affect the assessment of whether </w:t>
      </w:r>
      <w:r w:rsidR="002404BF">
        <w:t xml:space="preserve">codes of conduct imposed by large employers on their employees, and </w:t>
      </w:r>
      <w:r w:rsidR="008746D7">
        <w:t>rules dealing with conscientious objections by medical practitioners</w:t>
      </w:r>
      <w:r w:rsidR="00786FE7">
        <w:t>,</w:t>
      </w:r>
      <w:r w:rsidR="008746D7">
        <w:t xml:space="preserve"> will </w:t>
      </w:r>
      <w:proofErr w:type="gramStart"/>
      <w:r w:rsidR="008746D7">
        <w:t xml:space="preserve">be considered </w:t>
      </w:r>
      <w:r w:rsidR="00422C3A">
        <w:t>to be</w:t>
      </w:r>
      <w:proofErr w:type="gramEnd"/>
      <w:r w:rsidR="00422C3A">
        <w:t xml:space="preserve"> reasonable.  Unlike all other </w:t>
      </w:r>
      <w:r w:rsidR="009301A2">
        <w:t>Commonwealth</w:t>
      </w:r>
      <w:r w:rsidR="00422C3A">
        <w:t xml:space="preserve"> discrimination law</w:t>
      </w:r>
      <w:r w:rsidR="00035E21">
        <w:t>s</w:t>
      </w:r>
      <w:r w:rsidR="00422C3A">
        <w:t xml:space="preserve">, the Bill </w:t>
      </w:r>
      <w:r w:rsidR="00B32D43">
        <w:t>prejudges the assessment of reasonableness</w:t>
      </w:r>
      <w:r w:rsidR="00D71921">
        <w:t xml:space="preserve"> by deeming</w:t>
      </w:r>
      <w:r w:rsidR="00B32D43">
        <w:t xml:space="preserve"> some </w:t>
      </w:r>
      <w:r w:rsidR="005E77BE">
        <w:t xml:space="preserve">specific </w:t>
      </w:r>
      <w:r w:rsidR="004304CA">
        <w:t xml:space="preserve">kinds of </w:t>
      </w:r>
      <w:r w:rsidR="00B32D43">
        <w:t>conduct not to be reasonable.</w:t>
      </w:r>
      <w:r w:rsidR="00DD1CE7">
        <w:t xml:space="preserve">  This means that</w:t>
      </w:r>
      <w:r w:rsidR="00B22156">
        <w:t>,</w:t>
      </w:r>
      <w:r w:rsidR="00DD1CE7">
        <w:t xml:space="preserve"> in those cases, not </w:t>
      </w:r>
      <w:proofErr w:type="gramStart"/>
      <w:r w:rsidR="00DD1CE7">
        <w:t>all of</w:t>
      </w:r>
      <w:proofErr w:type="gramEnd"/>
      <w:r w:rsidR="00DD1CE7">
        <w:t xml:space="preserve"> the </w:t>
      </w:r>
      <w:r w:rsidR="00D71921">
        <w:t>potentially</w:t>
      </w:r>
      <w:r w:rsidR="00035E21">
        <w:t xml:space="preserve"> </w:t>
      </w:r>
      <w:r w:rsidR="00DD1CE7">
        <w:t xml:space="preserve">relevant circumstances will be taken into account. </w:t>
      </w:r>
    </w:p>
    <w:p w14:paraId="52AED66B" w14:textId="42E91D95" w:rsidR="001E4662" w:rsidRDefault="00F27B8B" w:rsidP="004564A3">
      <w:pPr>
        <w:pStyle w:val="ListNumber"/>
      </w:pPr>
      <w:r w:rsidRPr="00F27B8B">
        <w:rPr>
          <w:b/>
          <w:bCs/>
        </w:rPr>
        <w:t>Fourthly</w:t>
      </w:r>
      <w:r>
        <w:t xml:space="preserve">, </w:t>
      </w:r>
      <w:r w:rsidR="00572E5F">
        <w:t xml:space="preserve">those deeming provisions also have an impact on the ability of employers to decide who they employ.  The Bill provides that </w:t>
      </w:r>
      <w:r w:rsidR="00002C6B">
        <w:t>employers may not decide that compliance with a code of conduct</w:t>
      </w:r>
      <w:r w:rsidR="00F41B4C">
        <w:t xml:space="preserve"> that extends to conduct outside work hours</w:t>
      </w:r>
      <w:r w:rsidR="00002C6B">
        <w:t xml:space="preserve">, or with rules dealing with conscientious objection, </w:t>
      </w:r>
      <w:r w:rsidR="00491505">
        <w:t xml:space="preserve">are an inherent requirement of employment, if they would be unreasonable under clause 8.  </w:t>
      </w:r>
      <w:r w:rsidR="00F41B4C">
        <w:t>This means</w:t>
      </w:r>
      <w:r w:rsidR="00675B7D">
        <w:t>, for example,</w:t>
      </w:r>
      <w:r w:rsidR="00F41B4C">
        <w:t xml:space="preserve"> that the narrow deeming provisions about what is reasonable </w:t>
      </w:r>
      <w:r w:rsidR="00334DD1">
        <w:t xml:space="preserve">for organisations with an annual </w:t>
      </w:r>
      <w:r w:rsidR="00503FF4">
        <w:t>revenue</w:t>
      </w:r>
      <w:r w:rsidR="00334DD1">
        <w:t xml:space="preserve"> of more than $50 million </w:t>
      </w:r>
      <w:r w:rsidR="00F41B4C">
        <w:t xml:space="preserve">also </w:t>
      </w:r>
      <w:r w:rsidR="00035E21">
        <w:t xml:space="preserve">has an impact </w:t>
      </w:r>
      <w:r w:rsidR="00F41B4C">
        <w:t xml:space="preserve">on the decisions by </w:t>
      </w:r>
      <w:r w:rsidR="00334DD1">
        <w:t xml:space="preserve">those </w:t>
      </w:r>
      <w:r w:rsidR="00F41B4C">
        <w:t xml:space="preserve">employers </w:t>
      </w:r>
      <w:r w:rsidR="002C0FB3">
        <w:t xml:space="preserve">about </w:t>
      </w:r>
      <w:r w:rsidR="005D5149">
        <w:t xml:space="preserve">the conditions they may set </w:t>
      </w:r>
      <w:r w:rsidR="00035E21">
        <w:t xml:space="preserve">with respect to </w:t>
      </w:r>
      <w:r w:rsidR="005D5149">
        <w:t>employment.</w:t>
      </w:r>
    </w:p>
    <w:p w14:paraId="31968E62" w14:textId="7CD01DF7" w:rsidR="000F471F" w:rsidRDefault="000F471F" w:rsidP="004564A3">
      <w:pPr>
        <w:pStyle w:val="ListNumber"/>
      </w:pPr>
      <w:r w:rsidRPr="000F471F">
        <w:t xml:space="preserve">These </w:t>
      </w:r>
      <w:r>
        <w:t xml:space="preserve">four </w:t>
      </w:r>
      <w:r w:rsidRPr="000F471F">
        <w:t>issues</w:t>
      </w:r>
      <w:r>
        <w:t>, and a range of other</w:t>
      </w:r>
      <w:r w:rsidR="00B04DFC">
        <w:t>s</w:t>
      </w:r>
      <w:r w:rsidR="00F42D08">
        <w:t xml:space="preserve"> relating to </w:t>
      </w:r>
      <w:r w:rsidR="00906178">
        <w:t>all three</w:t>
      </w:r>
      <w:r w:rsidR="00F42D08">
        <w:t xml:space="preserve"> Religious Freedom Bills</w:t>
      </w:r>
      <w:r w:rsidR="00B04DFC">
        <w:t xml:space="preserve">, are dealt with in more detail in the body of the Commission’s submission. </w:t>
      </w:r>
    </w:p>
    <w:p w14:paraId="0EF53FBD" w14:textId="53A30C9B" w:rsidR="006C1192" w:rsidRPr="000F471F" w:rsidRDefault="00A351FA" w:rsidP="004564A3">
      <w:pPr>
        <w:pStyle w:val="ListNumber"/>
      </w:pPr>
      <w:r>
        <w:lastRenderedPageBreak/>
        <w:t>I</w:t>
      </w:r>
      <w:r w:rsidR="006C1192">
        <w:t xml:space="preserve">t </w:t>
      </w:r>
      <w:r>
        <w:t xml:space="preserve">would be a simple task </w:t>
      </w:r>
      <w:r w:rsidR="006C1192">
        <w:t xml:space="preserve">to remove the </w:t>
      </w:r>
      <w:r w:rsidR="000A6A66">
        <w:t xml:space="preserve">few highly problematic </w:t>
      </w:r>
      <w:r w:rsidR="007A55F1">
        <w:t>provisions of the Bill</w:t>
      </w:r>
      <w:r w:rsidR="00AE2666">
        <w:t>,</w:t>
      </w:r>
      <w:r w:rsidR="007A55F1">
        <w:t xml:space="preserve"> </w:t>
      </w:r>
      <w:r w:rsidR="000A6A66">
        <w:t>leav</w:t>
      </w:r>
      <w:r w:rsidR="00AE2666">
        <w:t>ing</w:t>
      </w:r>
      <w:r w:rsidR="000A6A66">
        <w:t xml:space="preserve"> a Bill that is </w:t>
      </w:r>
      <w:r w:rsidR="007A55F1">
        <w:t>consistent with other Commonwealth discrimination law</w:t>
      </w:r>
      <w:r w:rsidR="00035E21">
        <w:t>s</w:t>
      </w:r>
      <w:r w:rsidR="000A6A66">
        <w:t xml:space="preserve"> and provide</w:t>
      </w:r>
      <w:r w:rsidR="00490658">
        <w:t>s</w:t>
      </w:r>
      <w:r w:rsidR="000A6A66">
        <w:t xml:space="preserve"> strong protections against discrimination on the </w:t>
      </w:r>
      <w:r>
        <w:t xml:space="preserve">ground of religious belief or activity. </w:t>
      </w:r>
      <w:r w:rsidR="00EE055C">
        <w:t xml:space="preserve"> The Commission’s recommendations seek to achieve this outcome</w:t>
      </w:r>
      <w:r w:rsidR="00D26B7F">
        <w:t>.</w:t>
      </w:r>
    </w:p>
    <w:p w14:paraId="33539F46" w14:textId="77777777" w:rsidR="001362B4" w:rsidRDefault="001362B4" w:rsidP="001362B4">
      <w:pPr>
        <w:pStyle w:val="Heading1"/>
      </w:pPr>
      <w:bookmarkStart w:id="10" w:name="_Toc525894101"/>
      <w:bookmarkStart w:id="11" w:name="_Toc525894100"/>
      <w:bookmarkStart w:id="12" w:name="_Toc20471741"/>
      <w:r>
        <w:t>Recommendations</w:t>
      </w:r>
      <w:bookmarkEnd w:id="12"/>
    </w:p>
    <w:p w14:paraId="2A1201EB" w14:textId="61A64B6D" w:rsidR="001362B4" w:rsidRDefault="001362B4" w:rsidP="001362B4">
      <w:pPr>
        <w:pStyle w:val="ListNumber"/>
      </w:pPr>
      <w:r>
        <w:t>The Commission makes the following recommendations.</w:t>
      </w:r>
    </w:p>
    <w:p w14:paraId="5FD7FE7D" w14:textId="77777777" w:rsidR="003E0BF5" w:rsidRPr="003E0BF5" w:rsidRDefault="003E0BF5" w:rsidP="003E0BF5">
      <w:pPr>
        <w:pStyle w:val="ListNumber"/>
        <w:keepNext/>
        <w:numPr>
          <w:ilvl w:val="0"/>
          <w:numId w:val="0"/>
        </w:numPr>
        <w:ind w:left="1094"/>
        <w:rPr>
          <w:b/>
          <w:bCs/>
        </w:rPr>
      </w:pPr>
      <w:r w:rsidRPr="003E0BF5">
        <w:rPr>
          <w:b/>
          <w:bCs/>
        </w:rPr>
        <w:t>Recommendation 1</w:t>
      </w:r>
    </w:p>
    <w:p w14:paraId="7C4AED87" w14:textId="263CB43A" w:rsidR="003E0BF5" w:rsidRDefault="003E0BF5" w:rsidP="003E0BF5">
      <w:pPr>
        <w:pStyle w:val="ListNumber"/>
        <w:numPr>
          <w:ilvl w:val="0"/>
          <w:numId w:val="0"/>
        </w:numPr>
        <w:ind w:left="1094"/>
      </w:pPr>
      <w:r>
        <w:t>The Commission recommends that the protection against discrimination for unpaid workers provided by the Bill also be included in the existing four Commonwealth discrimination Acts</w:t>
      </w:r>
      <w:r w:rsidR="00490658">
        <w:t xml:space="preserve">, namely the </w:t>
      </w:r>
      <w:r w:rsidR="00490658" w:rsidRPr="00490658">
        <w:rPr>
          <w:i/>
          <w:iCs/>
        </w:rPr>
        <w:t>Racial Discrimination Act 1975</w:t>
      </w:r>
      <w:r w:rsidR="00490658">
        <w:t xml:space="preserve"> (</w:t>
      </w:r>
      <w:proofErr w:type="spellStart"/>
      <w:r w:rsidR="00490658">
        <w:t>Cth</w:t>
      </w:r>
      <w:proofErr w:type="spellEnd"/>
      <w:r w:rsidR="00490658">
        <w:t xml:space="preserve">), the </w:t>
      </w:r>
      <w:r w:rsidR="00490658" w:rsidRPr="00490658">
        <w:rPr>
          <w:i/>
          <w:iCs/>
        </w:rPr>
        <w:t>Sex Discrimination Act 1984</w:t>
      </w:r>
      <w:r w:rsidR="00490658">
        <w:t xml:space="preserve"> (</w:t>
      </w:r>
      <w:proofErr w:type="spellStart"/>
      <w:r w:rsidR="00490658">
        <w:t>Cth</w:t>
      </w:r>
      <w:proofErr w:type="spellEnd"/>
      <w:r w:rsidR="00490658">
        <w:t xml:space="preserve">), the </w:t>
      </w:r>
      <w:r w:rsidR="00490658" w:rsidRPr="00490658">
        <w:rPr>
          <w:i/>
          <w:iCs/>
        </w:rPr>
        <w:t>Disability Discrimination Act 1992</w:t>
      </w:r>
      <w:r w:rsidR="00490658">
        <w:t xml:space="preserve"> (</w:t>
      </w:r>
      <w:proofErr w:type="spellStart"/>
      <w:r w:rsidR="00490658">
        <w:t>Cth</w:t>
      </w:r>
      <w:proofErr w:type="spellEnd"/>
      <w:r w:rsidR="00490658">
        <w:t xml:space="preserve">) and the </w:t>
      </w:r>
      <w:r w:rsidR="00490658" w:rsidRPr="00490658">
        <w:rPr>
          <w:i/>
          <w:iCs/>
        </w:rPr>
        <w:t>Age Discrimination Act 2004</w:t>
      </w:r>
      <w:r w:rsidR="00490658">
        <w:t xml:space="preserve"> (</w:t>
      </w:r>
      <w:proofErr w:type="spellStart"/>
      <w:r w:rsidR="00490658">
        <w:t>Cth</w:t>
      </w:r>
      <w:proofErr w:type="spellEnd"/>
      <w:r w:rsidR="00490658">
        <w:t>)</w:t>
      </w:r>
      <w:r>
        <w:t>.</w:t>
      </w:r>
    </w:p>
    <w:p w14:paraId="7A7D9595" w14:textId="6AD7F094" w:rsidR="006656EB" w:rsidRPr="006656EB" w:rsidRDefault="006656EB" w:rsidP="006656EB">
      <w:pPr>
        <w:pStyle w:val="ListNumber"/>
        <w:keepNext/>
        <w:numPr>
          <w:ilvl w:val="0"/>
          <w:numId w:val="0"/>
        </w:numPr>
        <w:ind w:left="1094"/>
        <w:rPr>
          <w:b/>
          <w:bCs/>
        </w:rPr>
      </w:pPr>
      <w:r w:rsidRPr="006656EB">
        <w:rPr>
          <w:b/>
          <w:bCs/>
        </w:rPr>
        <w:t xml:space="preserve">Recommendation </w:t>
      </w:r>
      <w:r w:rsidR="00C37F58">
        <w:rPr>
          <w:b/>
          <w:bCs/>
        </w:rPr>
        <w:t>2</w:t>
      </w:r>
    </w:p>
    <w:p w14:paraId="3EE07FF9" w14:textId="77777777" w:rsidR="006656EB" w:rsidRDefault="006656EB" w:rsidP="006656EB">
      <w:pPr>
        <w:pStyle w:val="ListNumber"/>
        <w:numPr>
          <w:ilvl w:val="0"/>
          <w:numId w:val="0"/>
        </w:numPr>
        <w:ind w:left="1094"/>
      </w:pPr>
      <w:r>
        <w:t>The Commission recommends that the definition of ‘person’ be removed from the Bill and that the Explanatory Notes be amended to make clear that a complaint of discrimination on the ground of religious belief or activity may only be made by or on behalf of a natural person.</w:t>
      </w:r>
    </w:p>
    <w:p w14:paraId="13E08C7B" w14:textId="0C2F89C7" w:rsidR="0051628E" w:rsidRPr="002032F9" w:rsidRDefault="0051628E" w:rsidP="0051628E">
      <w:pPr>
        <w:pStyle w:val="ListNumber"/>
        <w:keepNext/>
        <w:numPr>
          <w:ilvl w:val="0"/>
          <w:numId w:val="0"/>
        </w:numPr>
        <w:ind w:left="1094"/>
        <w:rPr>
          <w:b/>
          <w:bCs/>
        </w:rPr>
      </w:pPr>
      <w:r w:rsidRPr="002032F9">
        <w:rPr>
          <w:b/>
          <w:bCs/>
        </w:rPr>
        <w:t xml:space="preserve">Recommendation </w:t>
      </w:r>
      <w:r w:rsidR="00C37F58">
        <w:rPr>
          <w:b/>
          <w:bCs/>
        </w:rPr>
        <w:t>3</w:t>
      </w:r>
    </w:p>
    <w:p w14:paraId="287A1790" w14:textId="77777777" w:rsidR="0051628E" w:rsidRDefault="0051628E" w:rsidP="0051628E">
      <w:pPr>
        <w:pStyle w:val="ListNumber"/>
        <w:numPr>
          <w:ilvl w:val="0"/>
          <w:numId w:val="0"/>
        </w:numPr>
        <w:ind w:left="1094"/>
      </w:pPr>
      <w:r>
        <w:t>The Commission recommends that clause 10 of the Bill be amended to:</w:t>
      </w:r>
    </w:p>
    <w:p w14:paraId="6EE6B0B9" w14:textId="77777777" w:rsidR="0051628E" w:rsidRDefault="0051628E" w:rsidP="0051628E">
      <w:pPr>
        <w:pStyle w:val="ListNumber"/>
        <w:numPr>
          <w:ilvl w:val="0"/>
          <w:numId w:val="0"/>
        </w:numPr>
        <w:ind w:left="1440" w:hanging="346"/>
      </w:pPr>
      <w:r>
        <w:t>(a)</w:t>
      </w:r>
      <w:r>
        <w:tab/>
        <w:t>limit the definition of ‘religious body’ to ‘bodies established for religious purposes’</w:t>
      </w:r>
    </w:p>
    <w:p w14:paraId="23169901" w14:textId="55397051" w:rsidR="0051628E" w:rsidRDefault="0051628E" w:rsidP="0051628E">
      <w:pPr>
        <w:pStyle w:val="ListNumber"/>
        <w:numPr>
          <w:ilvl w:val="0"/>
          <w:numId w:val="0"/>
        </w:numPr>
        <w:ind w:left="1440" w:hanging="346"/>
      </w:pPr>
      <w:r>
        <w:t>(b)</w:t>
      </w:r>
      <w:r>
        <w:tab/>
        <w:t xml:space="preserve">provide that the </w:t>
      </w:r>
      <w:r w:rsidR="00FB3F01">
        <w:t>general exemption</w:t>
      </w:r>
      <w:r>
        <w:t xml:space="preserve"> does not apply to conduct connected with commercial activities.</w:t>
      </w:r>
    </w:p>
    <w:p w14:paraId="1EE998BD" w14:textId="29A43B4F" w:rsidR="006656EB" w:rsidRPr="00DE681B" w:rsidRDefault="006656EB" w:rsidP="006656EB">
      <w:pPr>
        <w:pStyle w:val="ListNumber"/>
        <w:keepNext/>
        <w:numPr>
          <w:ilvl w:val="0"/>
          <w:numId w:val="0"/>
        </w:numPr>
        <w:ind w:left="1094"/>
        <w:rPr>
          <w:b/>
          <w:bCs/>
        </w:rPr>
      </w:pPr>
      <w:r w:rsidRPr="00DE681B">
        <w:rPr>
          <w:b/>
          <w:bCs/>
        </w:rPr>
        <w:t xml:space="preserve">Recommendation </w:t>
      </w:r>
      <w:r w:rsidR="00C37F58">
        <w:rPr>
          <w:b/>
          <w:bCs/>
        </w:rPr>
        <w:t>4</w:t>
      </w:r>
    </w:p>
    <w:p w14:paraId="02954495" w14:textId="3157F3BB" w:rsidR="006656EB" w:rsidRDefault="006656EB" w:rsidP="006656EB">
      <w:pPr>
        <w:pStyle w:val="ListNumber"/>
        <w:numPr>
          <w:ilvl w:val="0"/>
          <w:numId w:val="0"/>
        </w:numPr>
        <w:ind w:left="1094"/>
      </w:pPr>
      <w:r>
        <w:t xml:space="preserve">The Commission recommends that clause 41, dealing with discriminatory statements of belief, </w:t>
      </w:r>
      <w:r w:rsidR="00FD1C19">
        <w:t>be</w:t>
      </w:r>
      <w:r>
        <w:t xml:space="preserve"> removed from the Bill.</w:t>
      </w:r>
    </w:p>
    <w:p w14:paraId="721ED2B9" w14:textId="120B9635" w:rsidR="006656EB" w:rsidRPr="00293476" w:rsidRDefault="006656EB" w:rsidP="006656EB">
      <w:pPr>
        <w:pStyle w:val="ListNumber"/>
        <w:keepNext/>
        <w:numPr>
          <w:ilvl w:val="0"/>
          <w:numId w:val="0"/>
        </w:numPr>
        <w:ind w:left="1094"/>
        <w:rPr>
          <w:b/>
          <w:bCs/>
        </w:rPr>
      </w:pPr>
      <w:r w:rsidRPr="00293476">
        <w:rPr>
          <w:b/>
          <w:bCs/>
        </w:rPr>
        <w:t xml:space="preserve">Recommendation </w:t>
      </w:r>
      <w:r w:rsidR="00C37F58">
        <w:rPr>
          <w:b/>
          <w:bCs/>
        </w:rPr>
        <w:t>5</w:t>
      </w:r>
    </w:p>
    <w:p w14:paraId="2386F04E" w14:textId="0258F9B4" w:rsidR="006656EB" w:rsidRDefault="006656EB" w:rsidP="006656EB">
      <w:pPr>
        <w:pStyle w:val="ListNumber"/>
        <w:numPr>
          <w:ilvl w:val="0"/>
          <w:numId w:val="0"/>
        </w:numPr>
        <w:ind w:left="1094"/>
      </w:pPr>
      <w:r>
        <w:t>The Commission recommends that clause</w:t>
      </w:r>
      <w:r w:rsidR="00FA2824">
        <w:t>s</w:t>
      </w:r>
      <w:r>
        <w:t xml:space="preserve"> 8(3</w:t>
      </w:r>
      <w:r w:rsidR="00FA2824">
        <w:t>)</w:t>
      </w:r>
      <w:proofErr w:type="gramStart"/>
      <w:r w:rsidR="00FA2824">
        <w:t>–(</w:t>
      </w:r>
      <w:proofErr w:type="gramEnd"/>
      <w:r>
        <w:t xml:space="preserve">4), dealing with the separate treatment of employer conduct rules by private sector </w:t>
      </w:r>
      <w:r>
        <w:lastRenderedPageBreak/>
        <w:t xml:space="preserve">businesses with annual revenue of more than $50 million, </w:t>
      </w:r>
      <w:r w:rsidR="001E0829">
        <w:t>be</w:t>
      </w:r>
      <w:r>
        <w:t xml:space="preserve"> removed from the Bill.</w:t>
      </w:r>
    </w:p>
    <w:p w14:paraId="750170F1" w14:textId="256CAAE2" w:rsidR="006656EB" w:rsidRPr="004111ED" w:rsidRDefault="006656EB" w:rsidP="006656EB">
      <w:pPr>
        <w:pStyle w:val="ListNumber"/>
        <w:keepNext/>
        <w:numPr>
          <w:ilvl w:val="0"/>
          <w:numId w:val="0"/>
        </w:numPr>
        <w:ind w:left="1094"/>
        <w:rPr>
          <w:b/>
          <w:bCs/>
        </w:rPr>
      </w:pPr>
      <w:r w:rsidRPr="004111ED">
        <w:rPr>
          <w:b/>
          <w:bCs/>
        </w:rPr>
        <w:t xml:space="preserve">Recommendation </w:t>
      </w:r>
      <w:r w:rsidR="00C37F58">
        <w:rPr>
          <w:b/>
          <w:bCs/>
        </w:rPr>
        <w:t>6</w:t>
      </w:r>
    </w:p>
    <w:p w14:paraId="5356CF53" w14:textId="354A69A0" w:rsidR="006656EB" w:rsidRDefault="006656EB" w:rsidP="006656EB">
      <w:pPr>
        <w:pStyle w:val="ListNumber"/>
        <w:numPr>
          <w:ilvl w:val="0"/>
          <w:numId w:val="0"/>
        </w:numPr>
        <w:ind w:left="1094"/>
      </w:pPr>
      <w:r>
        <w:t>The Commission recommends that clause</w:t>
      </w:r>
      <w:r w:rsidR="00FA2824">
        <w:t>s</w:t>
      </w:r>
      <w:r>
        <w:t xml:space="preserve"> 8(5</w:t>
      </w:r>
      <w:r w:rsidR="00FA2824">
        <w:t>)</w:t>
      </w:r>
      <w:proofErr w:type="gramStart"/>
      <w:r w:rsidR="00FA2824">
        <w:t>–(</w:t>
      </w:r>
      <w:proofErr w:type="gramEnd"/>
      <w:r>
        <w:t xml:space="preserve">6), dealing with the separate treatment of rules about conscientious objections by health practitioners, </w:t>
      </w:r>
      <w:r w:rsidR="001E0829">
        <w:t>be</w:t>
      </w:r>
      <w:r>
        <w:t xml:space="preserve"> removed from the Bill.</w:t>
      </w:r>
    </w:p>
    <w:p w14:paraId="2EF39CA1" w14:textId="58B74BCC" w:rsidR="006656EB" w:rsidRPr="006824C8" w:rsidRDefault="006656EB" w:rsidP="006656EB">
      <w:pPr>
        <w:pStyle w:val="ListNumber"/>
        <w:keepNext/>
        <w:numPr>
          <w:ilvl w:val="0"/>
          <w:numId w:val="0"/>
        </w:numPr>
        <w:ind w:left="1094"/>
        <w:rPr>
          <w:b/>
          <w:bCs/>
        </w:rPr>
      </w:pPr>
      <w:r w:rsidRPr="006824C8">
        <w:rPr>
          <w:b/>
          <w:bCs/>
        </w:rPr>
        <w:t xml:space="preserve">Recommendation </w:t>
      </w:r>
      <w:r w:rsidR="00C37F58">
        <w:rPr>
          <w:b/>
          <w:bCs/>
        </w:rPr>
        <w:t>7</w:t>
      </w:r>
    </w:p>
    <w:p w14:paraId="52CC9B03" w14:textId="0C0136FA" w:rsidR="006656EB" w:rsidRDefault="006656EB" w:rsidP="006656EB">
      <w:pPr>
        <w:pStyle w:val="ListNumber"/>
        <w:numPr>
          <w:ilvl w:val="0"/>
          <w:numId w:val="0"/>
        </w:numPr>
        <w:ind w:left="1094"/>
      </w:pPr>
      <w:r>
        <w:t>The Commission recommends that clause</w:t>
      </w:r>
      <w:r w:rsidR="00FA2824">
        <w:t>s</w:t>
      </w:r>
      <w:r>
        <w:t xml:space="preserve"> 31(6</w:t>
      </w:r>
      <w:r w:rsidR="00FA2824">
        <w:t>)</w:t>
      </w:r>
      <w:proofErr w:type="gramStart"/>
      <w:r w:rsidR="00FA2824">
        <w:t>–(</w:t>
      </w:r>
      <w:proofErr w:type="gramEnd"/>
      <w:r>
        <w:t xml:space="preserve">7), dealing with additional restrictions on what amounts to an inherent requirement of a job, </w:t>
      </w:r>
      <w:r w:rsidR="001E0829">
        <w:t>be</w:t>
      </w:r>
      <w:r>
        <w:t xml:space="preserve"> removed from the Bill.</w:t>
      </w:r>
    </w:p>
    <w:p w14:paraId="6B56CC9F" w14:textId="5A530742" w:rsidR="006656EB" w:rsidRPr="00772BC5" w:rsidRDefault="006656EB" w:rsidP="006656EB">
      <w:pPr>
        <w:pStyle w:val="ListNumber"/>
        <w:keepNext/>
        <w:numPr>
          <w:ilvl w:val="0"/>
          <w:numId w:val="0"/>
        </w:numPr>
        <w:ind w:left="1094"/>
        <w:rPr>
          <w:b/>
          <w:bCs/>
        </w:rPr>
      </w:pPr>
      <w:r w:rsidRPr="00772BC5">
        <w:rPr>
          <w:b/>
          <w:bCs/>
        </w:rPr>
        <w:t xml:space="preserve">Recommendation </w:t>
      </w:r>
      <w:r w:rsidR="00C37F58">
        <w:rPr>
          <w:b/>
          <w:bCs/>
        </w:rPr>
        <w:t>8</w:t>
      </w:r>
    </w:p>
    <w:p w14:paraId="7BF4DC8E" w14:textId="25A6C5E7" w:rsidR="006656EB" w:rsidRDefault="006656EB" w:rsidP="006656EB">
      <w:pPr>
        <w:pStyle w:val="ListNumber"/>
        <w:numPr>
          <w:ilvl w:val="0"/>
          <w:numId w:val="0"/>
        </w:numPr>
        <w:ind w:left="1094"/>
      </w:pPr>
      <w:r>
        <w:t xml:space="preserve">The Commission recommends that clause 39(1) of the Bill be amended to remove the provision granting the Attorney-General the ability to vary or revoke temporary exemptions granted by the Commission. </w:t>
      </w:r>
    </w:p>
    <w:p w14:paraId="23D19EDB" w14:textId="46FFDBBF" w:rsidR="006656EB" w:rsidRPr="009C7A1F" w:rsidRDefault="006656EB" w:rsidP="006656EB">
      <w:pPr>
        <w:pStyle w:val="ListNumber"/>
        <w:keepNext/>
        <w:numPr>
          <w:ilvl w:val="0"/>
          <w:numId w:val="0"/>
        </w:numPr>
        <w:ind w:left="1094"/>
        <w:rPr>
          <w:b/>
          <w:bCs/>
        </w:rPr>
      </w:pPr>
      <w:r w:rsidRPr="009C7A1F">
        <w:rPr>
          <w:b/>
          <w:bCs/>
        </w:rPr>
        <w:t xml:space="preserve">Recommendation </w:t>
      </w:r>
      <w:r w:rsidR="00C37F58">
        <w:rPr>
          <w:b/>
          <w:bCs/>
        </w:rPr>
        <w:t>9</w:t>
      </w:r>
    </w:p>
    <w:p w14:paraId="3BC7FD8B" w14:textId="77777777" w:rsidR="006656EB" w:rsidRDefault="006656EB" w:rsidP="006656EB">
      <w:pPr>
        <w:pStyle w:val="ListNumber"/>
        <w:numPr>
          <w:ilvl w:val="0"/>
          <w:numId w:val="0"/>
        </w:numPr>
        <w:ind w:left="1094"/>
      </w:pPr>
      <w:r>
        <w:t>The Commission recommends that further consideration be given to the breadth of operation of clause 27 of the Bill.</w:t>
      </w:r>
    </w:p>
    <w:p w14:paraId="03C03CDE" w14:textId="0D5D1EDC" w:rsidR="006656EB" w:rsidRPr="004F5B0E" w:rsidRDefault="006656EB" w:rsidP="006656EB">
      <w:pPr>
        <w:pStyle w:val="ListNumber"/>
        <w:keepNext/>
        <w:numPr>
          <w:ilvl w:val="0"/>
          <w:numId w:val="0"/>
        </w:numPr>
        <w:ind w:left="1094"/>
        <w:rPr>
          <w:b/>
          <w:bCs/>
        </w:rPr>
      </w:pPr>
      <w:r w:rsidRPr="004F5B0E">
        <w:rPr>
          <w:b/>
          <w:bCs/>
        </w:rPr>
        <w:t xml:space="preserve">Recommendation </w:t>
      </w:r>
      <w:r w:rsidR="00C37F58">
        <w:rPr>
          <w:b/>
          <w:bCs/>
        </w:rPr>
        <w:t>10</w:t>
      </w:r>
    </w:p>
    <w:p w14:paraId="00EBB332" w14:textId="77777777" w:rsidR="006656EB" w:rsidRDefault="006656EB" w:rsidP="006656EB">
      <w:pPr>
        <w:pStyle w:val="ListNumber"/>
        <w:numPr>
          <w:ilvl w:val="0"/>
          <w:numId w:val="0"/>
        </w:numPr>
        <w:ind w:left="1094"/>
      </w:pPr>
      <w:r>
        <w:t>The Commission recommends that further consideration be given to the breadth of operation of clause 29(2) of the Bill.</w:t>
      </w:r>
    </w:p>
    <w:p w14:paraId="49024E03" w14:textId="60D0ADCE" w:rsidR="006656EB" w:rsidRPr="00C86034" w:rsidRDefault="006656EB" w:rsidP="006656EB">
      <w:pPr>
        <w:pStyle w:val="ListNumber"/>
        <w:keepNext/>
        <w:numPr>
          <w:ilvl w:val="0"/>
          <w:numId w:val="0"/>
        </w:numPr>
        <w:ind w:left="1094"/>
        <w:rPr>
          <w:b/>
          <w:bCs/>
        </w:rPr>
      </w:pPr>
      <w:r w:rsidRPr="00C86034">
        <w:rPr>
          <w:b/>
          <w:bCs/>
        </w:rPr>
        <w:t>Recommendation 1</w:t>
      </w:r>
      <w:r w:rsidR="00C37F58">
        <w:rPr>
          <w:b/>
          <w:bCs/>
        </w:rPr>
        <w:t>1</w:t>
      </w:r>
    </w:p>
    <w:p w14:paraId="7877B762" w14:textId="6524E031" w:rsidR="006656EB" w:rsidRDefault="006656EB" w:rsidP="006656EB">
      <w:pPr>
        <w:pStyle w:val="ListNumber"/>
        <w:numPr>
          <w:ilvl w:val="0"/>
          <w:numId w:val="0"/>
        </w:numPr>
        <w:ind w:left="1094"/>
      </w:pPr>
      <w:r>
        <w:t xml:space="preserve">The Commission recommends that if a new Freedom of Religion Commissioner is appointed, the Commission should be provided with </w:t>
      </w:r>
      <w:proofErr w:type="gramStart"/>
      <w:r>
        <w:t>sufficient</w:t>
      </w:r>
      <w:proofErr w:type="gramEnd"/>
      <w:r>
        <w:t xml:space="preserve"> additional budget to cover this position</w:t>
      </w:r>
      <w:r w:rsidR="001B0AC0" w:rsidRPr="001B0AC0">
        <w:t xml:space="preserve"> </w:t>
      </w:r>
      <w:r w:rsidR="001B0AC0">
        <w:t>and appropriate staffing support and resources to undertake the role</w:t>
      </w:r>
      <w:r>
        <w:t>.</w:t>
      </w:r>
      <w:r w:rsidR="00F8642C">
        <w:t xml:space="preserve">  </w:t>
      </w:r>
      <w:r w:rsidR="009455C2">
        <w:t xml:space="preserve">Further, the introduction of the Religious Discrimination Act should also be accompanied by </w:t>
      </w:r>
      <w:proofErr w:type="gramStart"/>
      <w:r w:rsidR="009455C2">
        <w:t>sufficient</w:t>
      </w:r>
      <w:proofErr w:type="gramEnd"/>
      <w:r w:rsidR="009455C2">
        <w:t xml:space="preserve"> additional budget to provide the necessary information and conciliation services in relation to the new grounds of discrimination.</w:t>
      </w:r>
    </w:p>
    <w:p w14:paraId="1E5BC17A" w14:textId="1E200911" w:rsidR="006656EB" w:rsidRPr="00DC0506" w:rsidRDefault="006656EB" w:rsidP="006656EB">
      <w:pPr>
        <w:pStyle w:val="ListNumber"/>
        <w:keepNext/>
        <w:numPr>
          <w:ilvl w:val="0"/>
          <w:numId w:val="0"/>
        </w:numPr>
        <w:ind w:left="1094"/>
        <w:rPr>
          <w:b/>
          <w:bCs/>
        </w:rPr>
      </w:pPr>
      <w:r w:rsidRPr="00DC0506">
        <w:rPr>
          <w:b/>
          <w:bCs/>
        </w:rPr>
        <w:t>Recommendation 1</w:t>
      </w:r>
      <w:r w:rsidR="00C37F58">
        <w:rPr>
          <w:b/>
          <w:bCs/>
        </w:rPr>
        <w:t>2</w:t>
      </w:r>
    </w:p>
    <w:p w14:paraId="411A2AA1" w14:textId="6181A4F4" w:rsidR="006656EB" w:rsidRDefault="006656EB" w:rsidP="006656EB">
      <w:pPr>
        <w:pStyle w:val="ListNumber"/>
        <w:numPr>
          <w:ilvl w:val="0"/>
          <w:numId w:val="0"/>
        </w:numPr>
        <w:ind w:left="1094"/>
      </w:pPr>
      <w:r>
        <w:t xml:space="preserve">The Commission recommends that the </w:t>
      </w:r>
      <w:r w:rsidR="003E3FFB" w:rsidRPr="003E3FFB">
        <w:rPr>
          <w:i/>
          <w:iCs/>
        </w:rPr>
        <w:t xml:space="preserve">Australian Human Rights Commission </w:t>
      </w:r>
      <w:r w:rsidRPr="003E3FFB">
        <w:rPr>
          <w:i/>
          <w:iCs/>
        </w:rPr>
        <w:t>Act</w:t>
      </w:r>
      <w:r w:rsidR="003E3FFB" w:rsidRPr="003E3FFB">
        <w:rPr>
          <w:i/>
          <w:iCs/>
        </w:rPr>
        <w:t xml:space="preserve"> 1986</w:t>
      </w:r>
      <w:r w:rsidR="003E3FFB">
        <w:t xml:space="preserve"> (</w:t>
      </w:r>
      <w:proofErr w:type="spellStart"/>
      <w:r w:rsidR="003E3FFB">
        <w:t>Cth</w:t>
      </w:r>
      <w:proofErr w:type="spellEnd"/>
      <w:r w:rsidR="003E3FFB">
        <w:t>)</w:t>
      </w:r>
      <w:r>
        <w:t xml:space="preserve"> be amended to clarify that an allegation of victimisation included in a complaint of unlawful discrimination may form the basis of an application to the Federal Court or Federal Circuit Court once that complaint has been terminated</w:t>
      </w:r>
      <w:r w:rsidR="00FC2FF8">
        <w:t xml:space="preserve"> by the Commission</w:t>
      </w:r>
      <w:r>
        <w:t>.</w:t>
      </w:r>
    </w:p>
    <w:p w14:paraId="3A4206DF" w14:textId="37882FD5" w:rsidR="004B7BE2" w:rsidRPr="00C568A9" w:rsidRDefault="004B7BE2" w:rsidP="004B7BE2">
      <w:pPr>
        <w:pStyle w:val="ListNumber"/>
        <w:keepNext/>
        <w:numPr>
          <w:ilvl w:val="0"/>
          <w:numId w:val="0"/>
        </w:numPr>
        <w:ind w:left="1094"/>
        <w:rPr>
          <w:b/>
          <w:bCs/>
        </w:rPr>
      </w:pPr>
      <w:r w:rsidRPr="00C568A9">
        <w:rPr>
          <w:b/>
          <w:bCs/>
        </w:rPr>
        <w:lastRenderedPageBreak/>
        <w:t>Recommendation 1</w:t>
      </w:r>
      <w:r w:rsidR="00C37F58">
        <w:rPr>
          <w:b/>
          <w:bCs/>
        </w:rPr>
        <w:t>3</w:t>
      </w:r>
    </w:p>
    <w:p w14:paraId="120E654B" w14:textId="641E10FA" w:rsidR="004B7BE2" w:rsidRDefault="004B7BE2" w:rsidP="004B7BE2">
      <w:pPr>
        <w:pStyle w:val="ListNumber"/>
        <w:numPr>
          <w:ilvl w:val="0"/>
          <w:numId w:val="0"/>
        </w:numPr>
        <w:ind w:left="1094"/>
      </w:pPr>
      <w:r>
        <w:t xml:space="preserve">The Commission recommends that Sch 1, clause 7 of the Freedom of Religion Bill, which would insert a new s 47C into the </w:t>
      </w:r>
      <w:r w:rsidRPr="00C26DFB">
        <w:rPr>
          <w:i/>
          <w:iCs/>
        </w:rPr>
        <w:t>Marriage Act 1961</w:t>
      </w:r>
      <w:r>
        <w:t xml:space="preserve"> (</w:t>
      </w:r>
      <w:proofErr w:type="spellStart"/>
      <w:r>
        <w:t>Cth</w:t>
      </w:r>
      <w:proofErr w:type="spellEnd"/>
      <w:r>
        <w:t xml:space="preserve">), be removed from that Bill and that consideration of this proposed amendment await the report of the Australian Law Reform Commission </w:t>
      </w:r>
      <w:r w:rsidR="00E413EB">
        <w:t>of</w:t>
      </w:r>
      <w:r w:rsidR="00FA2824">
        <w:t xml:space="preserve"> </w:t>
      </w:r>
      <w:r>
        <w:t>its review of religious exemptions in anti-discrimination law.</w:t>
      </w:r>
    </w:p>
    <w:p w14:paraId="6B698445" w14:textId="0520DF2E" w:rsidR="00D5418B" w:rsidRDefault="007B7556" w:rsidP="001C04F6">
      <w:pPr>
        <w:pStyle w:val="Heading1"/>
      </w:pPr>
      <w:bookmarkStart w:id="13" w:name="_Toc20471742"/>
      <w:bookmarkEnd w:id="10"/>
      <w:r>
        <w:t>Existing p</w:t>
      </w:r>
      <w:r w:rsidR="004C0475">
        <w:t xml:space="preserve">rotection </w:t>
      </w:r>
      <w:r w:rsidR="00DB7434">
        <w:t xml:space="preserve">against </w:t>
      </w:r>
      <w:r>
        <w:t>religious discrimination</w:t>
      </w:r>
      <w:bookmarkEnd w:id="13"/>
    </w:p>
    <w:p w14:paraId="5BD29E3E" w14:textId="591EA9DF" w:rsidR="00BE77B6" w:rsidRPr="00BE77B6" w:rsidRDefault="00F70367" w:rsidP="00BE77B6">
      <w:pPr>
        <w:pStyle w:val="ListNumber"/>
      </w:pPr>
      <w:r>
        <w:t xml:space="preserve">There are </w:t>
      </w:r>
      <w:proofErr w:type="gramStart"/>
      <w:r>
        <w:t>a number of</w:t>
      </w:r>
      <w:proofErr w:type="gramEnd"/>
      <w:r>
        <w:t xml:space="preserve"> protections for freedom of religion in Australian law</w:t>
      </w:r>
      <w:r w:rsidR="00DB7434">
        <w:t>;</w:t>
      </w:r>
      <w:r w:rsidR="008D2306">
        <w:t xml:space="preserve"> h</w:t>
      </w:r>
      <w:r w:rsidR="0048510D">
        <w:t>owever, these protections are limited</w:t>
      </w:r>
      <w:r w:rsidR="008D2306">
        <w:t xml:space="preserve">.  </w:t>
      </w:r>
    </w:p>
    <w:p w14:paraId="2E632A66" w14:textId="77777777" w:rsidR="00F70367" w:rsidRDefault="00F70367" w:rsidP="00420E48">
      <w:pPr>
        <w:pStyle w:val="ListNumber"/>
      </w:pPr>
      <w:r>
        <w:t xml:space="preserve">At the federal level, a person may make a complaint to the Australian Human Rights Commission or to the Fair Work Commission about discrimination </w:t>
      </w:r>
      <w:proofErr w:type="gramStart"/>
      <w:r>
        <w:t>on the basis of</w:t>
      </w:r>
      <w:proofErr w:type="gramEnd"/>
      <w:r>
        <w:t xml:space="preserve"> religion that occurs in the context of employment. </w:t>
      </w:r>
    </w:p>
    <w:p w14:paraId="2D5E5C21" w14:textId="530841BE" w:rsidR="00F70367" w:rsidRDefault="00F70367" w:rsidP="00420E48">
      <w:pPr>
        <w:pStyle w:val="ListNumber"/>
      </w:pPr>
      <w:r>
        <w:t xml:space="preserve">The Australian Human Rights Commission can also inquire into complaints about acts done or practices engaged in by or on behalf of the Commonwealth that are contrary to freedom of religion or </w:t>
      </w:r>
      <w:proofErr w:type="gramStart"/>
      <w:r>
        <w:t>belief</w:t>
      </w:r>
      <w:r w:rsidR="00433516">
        <w:t>, and</w:t>
      </w:r>
      <w:proofErr w:type="gramEnd"/>
      <w:r w:rsidR="00433516">
        <w:t xml:space="preserve"> </w:t>
      </w:r>
      <w:r w:rsidR="0097383F">
        <w:t xml:space="preserve">may examine </w:t>
      </w:r>
      <w:r w:rsidR="00433516">
        <w:t>Commonwealth laws</w:t>
      </w:r>
      <w:r w:rsidR="0097383F">
        <w:t xml:space="preserve"> </w:t>
      </w:r>
      <w:r w:rsidR="00A42397">
        <w:t>to determine whether they are consistent with freedom of religion or belief</w:t>
      </w:r>
      <w:r>
        <w:t xml:space="preserve">. </w:t>
      </w:r>
    </w:p>
    <w:p w14:paraId="1A13B614" w14:textId="5DFDF17D" w:rsidR="008D2306" w:rsidRDefault="00173744" w:rsidP="00420E48">
      <w:pPr>
        <w:pStyle w:val="ListNumber"/>
      </w:pPr>
      <w:r>
        <w:t>However, unlike other Commonwealth discrimination law</w:t>
      </w:r>
      <w:r w:rsidR="00FA2824">
        <w:t>s</w:t>
      </w:r>
      <w:r>
        <w:t xml:space="preserve">, </w:t>
      </w:r>
      <w:r w:rsidR="00570CA5">
        <w:t xml:space="preserve">complaints of religious discrimination that are made to </w:t>
      </w:r>
      <w:r w:rsidR="008D2306">
        <w:t>the Australian Human Rights Commission</w:t>
      </w:r>
      <w:r w:rsidR="00570CA5">
        <w:t xml:space="preserve"> do not give </w:t>
      </w:r>
      <w:r w:rsidR="00570CA5" w:rsidRPr="00BE77B6">
        <w:t xml:space="preserve">individuals a pathway to </w:t>
      </w:r>
      <w:r w:rsidR="00DA60D5">
        <w:t>c</w:t>
      </w:r>
      <w:r w:rsidR="00570CA5" w:rsidRPr="00BE77B6">
        <w:t>ourt if their complaint cannot be resolved at the Commission.</w:t>
      </w:r>
      <w:r w:rsidR="005E1588">
        <w:t xml:space="preserve">  </w:t>
      </w:r>
      <w:r w:rsidR="00881766">
        <w:t xml:space="preserve">As a result, this existing complaint pathway cannot result in a determination from an adjudicative body that provides a </w:t>
      </w:r>
      <w:proofErr w:type="gramStart"/>
      <w:r w:rsidR="00881766">
        <w:t>legally-enforceable</w:t>
      </w:r>
      <w:proofErr w:type="gramEnd"/>
      <w:r w:rsidR="00881766">
        <w:t xml:space="preserve"> outcome.  </w:t>
      </w:r>
      <w:r w:rsidR="005E1588">
        <w:t xml:space="preserve">In the Commission’s view, the primary goal of the present Bill should be to </w:t>
      </w:r>
      <w:r w:rsidR="00335AE4">
        <w:t xml:space="preserve">provide enforceable remedies for discrimination </w:t>
      </w:r>
      <w:proofErr w:type="gramStart"/>
      <w:r w:rsidR="00335AE4">
        <w:t>on the basis of</w:t>
      </w:r>
      <w:proofErr w:type="gramEnd"/>
      <w:r w:rsidR="00335AE4">
        <w:t xml:space="preserve"> religious belief or activity that are equivalent to </w:t>
      </w:r>
      <w:r w:rsidR="001F6056">
        <w:t>rights under other Commonwealth discrimination law</w:t>
      </w:r>
      <w:r w:rsidR="00D41D0C">
        <w:t>s</w:t>
      </w:r>
      <w:r w:rsidR="001F6056">
        <w:t>.</w:t>
      </w:r>
    </w:p>
    <w:p w14:paraId="180125FF" w14:textId="40ED8A05" w:rsidR="00F70367" w:rsidRDefault="00F70367" w:rsidP="00420E48">
      <w:pPr>
        <w:pStyle w:val="ListNumber"/>
      </w:pPr>
      <w:r>
        <w:t xml:space="preserve">At the State and Territory level, there are protections against discrimination </w:t>
      </w:r>
      <w:proofErr w:type="gramStart"/>
      <w:r>
        <w:t>on the basis of</w:t>
      </w:r>
      <w:proofErr w:type="gramEnd"/>
      <w:r>
        <w:t xml:space="preserve"> religion in all jurisdictions other than New South Wales </w:t>
      </w:r>
      <w:r w:rsidR="002060CE">
        <w:t xml:space="preserve">(NSW) </w:t>
      </w:r>
      <w:r>
        <w:t xml:space="preserve">and South Australia. </w:t>
      </w:r>
      <w:r w:rsidR="005913F0">
        <w:t xml:space="preserve"> </w:t>
      </w:r>
      <w:r>
        <w:t xml:space="preserve">Complaints may be made to relevant discrimination bodies in each jurisdiction. </w:t>
      </w:r>
      <w:r w:rsidR="005913F0">
        <w:t xml:space="preserve"> </w:t>
      </w:r>
      <w:r>
        <w:t>Queensland, Victoria and the A</w:t>
      </w:r>
      <w:r w:rsidR="00881766">
        <w:t xml:space="preserve">ustralian </w:t>
      </w:r>
      <w:r>
        <w:t>C</w:t>
      </w:r>
      <w:r w:rsidR="00881766">
        <w:t xml:space="preserve">apital </w:t>
      </w:r>
      <w:r>
        <w:t>T</w:t>
      </w:r>
      <w:r w:rsidR="00881766">
        <w:t>erritory</w:t>
      </w:r>
      <w:r w:rsidR="002060CE">
        <w:t xml:space="preserve"> (ACT)</w:t>
      </w:r>
      <w:r>
        <w:t xml:space="preserve"> also </w:t>
      </w:r>
      <w:r>
        <w:lastRenderedPageBreak/>
        <w:t xml:space="preserve">have protections for freedom of religion in their respective </w:t>
      </w:r>
      <w:r w:rsidR="00881766">
        <w:t>h</w:t>
      </w:r>
      <w:r>
        <w:t xml:space="preserve">uman </w:t>
      </w:r>
      <w:r w:rsidR="00881766">
        <w:t>r</w:t>
      </w:r>
      <w:r>
        <w:t xml:space="preserve">ights Acts. </w:t>
      </w:r>
    </w:p>
    <w:p w14:paraId="7F1B7077" w14:textId="14186873" w:rsidR="00F70367" w:rsidRDefault="00F70367" w:rsidP="00420E48">
      <w:pPr>
        <w:pStyle w:val="ListNumber"/>
      </w:pPr>
      <w:r>
        <w:t xml:space="preserve">Religious bodies and educational institutions also have protections for freedom of religion provided by way of the exemptions to </w:t>
      </w:r>
      <w:r w:rsidR="00776C47">
        <w:t xml:space="preserve">other Commonwealth </w:t>
      </w:r>
      <w:r>
        <w:t xml:space="preserve">discrimination laws. The </w:t>
      </w:r>
      <w:r>
        <w:rPr>
          <w:i/>
          <w:iCs/>
        </w:rPr>
        <w:t xml:space="preserve">Sex Discrimination Act 1984 </w:t>
      </w:r>
      <w:r>
        <w:t>(</w:t>
      </w:r>
      <w:proofErr w:type="spellStart"/>
      <w:r>
        <w:t>Cth</w:t>
      </w:r>
      <w:proofErr w:type="spellEnd"/>
      <w:r>
        <w:t xml:space="preserve">) </w:t>
      </w:r>
      <w:r w:rsidR="00DA62DB">
        <w:t xml:space="preserve">(SDA) </w:t>
      </w:r>
      <w:r>
        <w:t xml:space="preserve">and the </w:t>
      </w:r>
      <w:r>
        <w:rPr>
          <w:i/>
          <w:iCs/>
        </w:rPr>
        <w:t xml:space="preserve">Age Discrimination Act 2004 </w:t>
      </w:r>
      <w:r>
        <w:t>(</w:t>
      </w:r>
      <w:proofErr w:type="spellStart"/>
      <w:r>
        <w:t>Cth</w:t>
      </w:r>
      <w:proofErr w:type="spellEnd"/>
      <w:r>
        <w:t xml:space="preserve">) </w:t>
      </w:r>
      <w:r w:rsidR="00DA62DB">
        <w:t xml:space="preserve">(ADA) </w:t>
      </w:r>
      <w:r>
        <w:t xml:space="preserve">allow religious bodies to discriminate against people in certain circumstances on grounds including their sex and age if the </w:t>
      </w:r>
      <w:r w:rsidR="00776C47">
        <w:t>discriminatory conduct</w:t>
      </w:r>
      <w:r>
        <w:t xml:space="preserve"> conforms to the doctrines, tenets or beliefs of that religion </w:t>
      </w:r>
      <w:r w:rsidR="000F1DDA">
        <w:t>or</w:t>
      </w:r>
      <w:r>
        <w:t xml:space="preserve"> is necessary to avoid injury to the religious susceptibilities of adherents to that religion.</w:t>
      </w:r>
      <w:r w:rsidR="003825EE">
        <w:rPr>
          <w:rStyle w:val="EndnoteReference"/>
        </w:rPr>
        <w:endnoteReference w:id="3"/>
      </w:r>
      <w:r>
        <w:t xml:space="preserve"> The </w:t>
      </w:r>
      <w:r w:rsidR="001C0744" w:rsidRPr="001C0744">
        <w:t>SDA</w:t>
      </w:r>
      <w:r w:rsidR="001C0744">
        <w:rPr>
          <w:i/>
          <w:iCs/>
        </w:rPr>
        <w:t xml:space="preserve"> </w:t>
      </w:r>
      <w:r>
        <w:t xml:space="preserve">also allows religious educational institutions to discriminate </w:t>
      </w:r>
      <w:r w:rsidR="00814E0E">
        <w:t xml:space="preserve">against </w:t>
      </w:r>
      <w:r w:rsidR="0066480B">
        <w:t xml:space="preserve">both </w:t>
      </w:r>
      <w:r w:rsidR="00814E0E">
        <w:t xml:space="preserve">staff and students </w:t>
      </w:r>
      <w:r>
        <w:t>on grounds including sexual orientation, gender identity, marital or relationship status or pregnancy in employment and the provision of education.</w:t>
      </w:r>
      <w:r w:rsidR="00C33B3F">
        <w:t xml:space="preserve">  </w:t>
      </w:r>
      <w:r w:rsidR="000D5180">
        <w:t>These exemptions permit certain kinds of discrimination against children.</w:t>
      </w:r>
    </w:p>
    <w:p w14:paraId="34F89BA9" w14:textId="64150F68" w:rsidR="0066480B" w:rsidRDefault="0066480B" w:rsidP="00420E48">
      <w:pPr>
        <w:pStyle w:val="ListNumber"/>
      </w:pPr>
      <w:r w:rsidRPr="0066480B">
        <w:t xml:space="preserve">The Attorney-General has asked the </w:t>
      </w:r>
      <w:r>
        <w:t>Australian Law Reform Commission (</w:t>
      </w:r>
      <w:r w:rsidRPr="0066480B">
        <w:t>ALRC</w:t>
      </w:r>
      <w:r>
        <w:t>)</w:t>
      </w:r>
      <w:r w:rsidRPr="0066480B">
        <w:t xml:space="preserve"> to consider </w:t>
      </w:r>
      <w:r w:rsidR="005710AB">
        <w:t xml:space="preserve">reforms to </w:t>
      </w:r>
      <w:r w:rsidR="00690931">
        <w:t xml:space="preserve">anti-discrimination law to </w:t>
      </w:r>
      <w:r w:rsidRPr="0066480B">
        <w:t xml:space="preserve">limit or remove altogether (if practicable) </w:t>
      </w:r>
      <w:r w:rsidR="00690931">
        <w:t>religious exemptions to prohibitions on discrimination</w:t>
      </w:r>
      <w:r w:rsidR="00CE53C2">
        <w:t>,</w:t>
      </w:r>
      <w:r w:rsidR="00690931">
        <w:t xml:space="preserve"> </w:t>
      </w:r>
      <w:r w:rsidRPr="0066480B">
        <w:t>while also guaranteeing the right of religious institutions to conduct their affairs in a way that is consistent with their religious ethos.</w:t>
      </w:r>
      <w:r w:rsidR="00A9673D">
        <w:rPr>
          <w:rStyle w:val="EndnoteReference"/>
        </w:rPr>
        <w:endnoteReference w:id="4"/>
      </w:r>
    </w:p>
    <w:p w14:paraId="0FCF0D01" w14:textId="1D093E6F" w:rsidR="006C69DF" w:rsidRPr="00D97C9B" w:rsidRDefault="006C69DF" w:rsidP="00420E48">
      <w:pPr>
        <w:pStyle w:val="ListNumber"/>
      </w:pPr>
      <w:r>
        <w:t xml:space="preserve">In addition, </w:t>
      </w:r>
      <w:r>
        <w:rPr>
          <w:rFonts w:cs="Open Sans"/>
        </w:rPr>
        <w:t xml:space="preserve">the </w:t>
      </w:r>
      <w:r>
        <w:rPr>
          <w:rFonts w:cs="Open Sans"/>
          <w:i/>
          <w:iCs/>
        </w:rPr>
        <w:t xml:space="preserve">Human Rights (Parliamentary Scrutiny) Act 2011 </w:t>
      </w:r>
      <w:r w:rsidR="00040CE2">
        <w:rPr>
          <w:rFonts w:cs="Open Sans"/>
        </w:rPr>
        <w:t>(</w:t>
      </w:r>
      <w:proofErr w:type="spellStart"/>
      <w:r w:rsidR="00040CE2">
        <w:rPr>
          <w:rFonts w:cs="Open Sans"/>
        </w:rPr>
        <w:t>Cth</w:t>
      </w:r>
      <w:proofErr w:type="spellEnd"/>
      <w:r w:rsidR="00040CE2">
        <w:rPr>
          <w:rFonts w:cs="Open Sans"/>
        </w:rPr>
        <w:t xml:space="preserve">) </w:t>
      </w:r>
      <w:r>
        <w:rPr>
          <w:rFonts w:cs="Open Sans"/>
        </w:rPr>
        <w:t xml:space="preserve">requires bills and other draft legislation to be accompanied by a </w:t>
      </w:r>
      <w:r w:rsidR="00D41D0C">
        <w:rPr>
          <w:rFonts w:cs="Open Sans"/>
        </w:rPr>
        <w:t>‘</w:t>
      </w:r>
      <w:r w:rsidRPr="00CD4694">
        <w:rPr>
          <w:rFonts w:cs="Open Sans"/>
        </w:rPr>
        <w:t>statement of compatibility</w:t>
      </w:r>
      <w:r w:rsidR="00D41D0C">
        <w:rPr>
          <w:rFonts w:cs="Open Sans"/>
        </w:rPr>
        <w:t>’</w:t>
      </w:r>
      <w:r>
        <w:rPr>
          <w:rFonts w:cs="Open Sans"/>
        </w:rPr>
        <w:t xml:space="preserve">, when introduced into </w:t>
      </w:r>
      <w:r w:rsidR="000E1156">
        <w:rPr>
          <w:rFonts w:cs="Open Sans"/>
        </w:rPr>
        <w:t xml:space="preserve">the Australian </w:t>
      </w:r>
      <w:r>
        <w:rPr>
          <w:rFonts w:cs="Open Sans"/>
        </w:rPr>
        <w:t xml:space="preserve">Parliament. That statement considers </w:t>
      </w:r>
      <w:r w:rsidRPr="00CD4694">
        <w:rPr>
          <w:rFonts w:cs="Open Sans"/>
        </w:rPr>
        <w:t>how the draft law engages human rights</w:t>
      </w:r>
      <w:r>
        <w:rPr>
          <w:rFonts w:cs="Open Sans"/>
        </w:rPr>
        <w:t xml:space="preserve">, which is defined broadly and includes the </w:t>
      </w:r>
      <w:r w:rsidR="007D64CB">
        <w:rPr>
          <w:rFonts w:cs="Open Sans"/>
          <w:i/>
          <w:iCs/>
        </w:rPr>
        <w:t xml:space="preserve">International Covenant on Civil and Political Rights </w:t>
      </w:r>
      <w:r w:rsidR="007D64CB">
        <w:rPr>
          <w:rFonts w:cs="Open Sans"/>
        </w:rPr>
        <w:t>(ICCPR)</w:t>
      </w:r>
      <w:r w:rsidRPr="00CD4694">
        <w:rPr>
          <w:rFonts w:cs="Open Sans"/>
        </w:rPr>
        <w:t>.</w:t>
      </w:r>
      <w:r w:rsidRPr="00CD4694">
        <w:rPr>
          <w:rStyle w:val="EndnoteReference"/>
          <w:rFonts w:cs="Open Sans"/>
        </w:rPr>
        <w:endnoteReference w:id="5"/>
      </w:r>
      <w:r>
        <w:rPr>
          <w:rFonts w:cs="Open Sans"/>
        </w:rPr>
        <w:t xml:space="preserve"> Under this 2011 Act, t</w:t>
      </w:r>
      <w:r w:rsidRPr="00CD4694">
        <w:rPr>
          <w:rFonts w:cs="Open Sans"/>
        </w:rPr>
        <w:t>he Parliamentary Joint Committee on Human Rights scrutinises draft laws</w:t>
      </w:r>
      <w:r>
        <w:rPr>
          <w:rFonts w:cs="Open Sans"/>
        </w:rPr>
        <w:t>, including by reference to statements of compatibility</w:t>
      </w:r>
      <w:r w:rsidR="000E1156">
        <w:rPr>
          <w:rFonts w:cs="Open Sans"/>
        </w:rPr>
        <w:t>. It</w:t>
      </w:r>
      <w:r w:rsidRPr="00CD4694">
        <w:rPr>
          <w:rFonts w:cs="Open Sans"/>
        </w:rPr>
        <w:t xml:space="preserve"> advis</w:t>
      </w:r>
      <w:r w:rsidR="000E1156">
        <w:rPr>
          <w:rFonts w:cs="Open Sans"/>
        </w:rPr>
        <w:t>es</w:t>
      </w:r>
      <w:r w:rsidRPr="00CD4694">
        <w:rPr>
          <w:rFonts w:cs="Open Sans"/>
        </w:rPr>
        <w:t xml:space="preserve"> Parliament on whether </w:t>
      </w:r>
      <w:r w:rsidR="000E1156">
        <w:rPr>
          <w:rFonts w:cs="Open Sans"/>
        </w:rPr>
        <w:t xml:space="preserve">those draft laws </w:t>
      </w:r>
      <w:r w:rsidRPr="00CD4694">
        <w:rPr>
          <w:rFonts w:cs="Open Sans"/>
        </w:rPr>
        <w:t>are consistent with international human rights law</w:t>
      </w:r>
      <w:r w:rsidR="000E1156">
        <w:rPr>
          <w:rFonts w:cs="Open Sans"/>
        </w:rPr>
        <w:t xml:space="preserve">, </w:t>
      </w:r>
      <w:r>
        <w:rPr>
          <w:rFonts w:cs="Open Sans"/>
        </w:rPr>
        <w:t>includ</w:t>
      </w:r>
      <w:r w:rsidR="000E1156">
        <w:rPr>
          <w:rFonts w:cs="Open Sans"/>
        </w:rPr>
        <w:t>ing</w:t>
      </w:r>
      <w:r>
        <w:rPr>
          <w:rFonts w:cs="Open Sans"/>
        </w:rPr>
        <w:t xml:space="preserve"> freedom of religion.</w:t>
      </w:r>
    </w:p>
    <w:p w14:paraId="5AB67459" w14:textId="500F35A9" w:rsidR="00F70367" w:rsidRPr="0050652A" w:rsidRDefault="00F70367" w:rsidP="00170E03">
      <w:pPr>
        <w:pStyle w:val="Heading2"/>
      </w:pPr>
      <w:bookmarkStart w:id="14" w:name="_Ref19630971"/>
      <w:bookmarkStart w:id="15" w:name="_Toc20471743"/>
      <w:r w:rsidRPr="0050652A">
        <w:t>Discrimination in employment</w:t>
      </w:r>
      <w:r w:rsidR="00170E03">
        <w:t>: Australian Human Rights Commission</w:t>
      </w:r>
      <w:bookmarkEnd w:id="14"/>
      <w:bookmarkEnd w:id="15"/>
      <w:r>
        <w:t xml:space="preserve"> </w:t>
      </w:r>
    </w:p>
    <w:p w14:paraId="7F8BE615" w14:textId="412261E7" w:rsidR="008F6D56" w:rsidRDefault="00F70367" w:rsidP="00170E03">
      <w:pPr>
        <w:pStyle w:val="ListNumber"/>
      </w:pPr>
      <w:r>
        <w:t xml:space="preserve">The Commission can inquire into a complaint that a person has </w:t>
      </w:r>
      <w:r w:rsidR="0038306F">
        <w:t xml:space="preserve">been </w:t>
      </w:r>
      <w:r>
        <w:t>discriminat</w:t>
      </w:r>
      <w:r w:rsidR="0038306F">
        <w:t>ed against</w:t>
      </w:r>
      <w:r>
        <w:t xml:space="preserve"> in employment </w:t>
      </w:r>
      <w:proofErr w:type="gramStart"/>
      <w:r>
        <w:t>on the basis of</w:t>
      </w:r>
      <w:proofErr w:type="gramEnd"/>
      <w:r>
        <w:t xml:space="preserve"> religion. </w:t>
      </w:r>
      <w:r w:rsidR="002B505C">
        <w:t xml:space="preserve"> </w:t>
      </w:r>
      <w:r w:rsidRPr="0050652A">
        <w:t>The Commission</w:t>
      </w:r>
      <w:r>
        <w:t xml:space="preserve">’s role is to </w:t>
      </w:r>
      <w:r w:rsidRPr="0050652A">
        <w:t>inquir</w:t>
      </w:r>
      <w:r>
        <w:t>e</w:t>
      </w:r>
      <w:r w:rsidRPr="0050652A">
        <w:t xml:space="preserve"> into and attempt to reach a settlement of such complaints through conciliation.</w:t>
      </w:r>
      <w:r>
        <w:t xml:space="preserve"> </w:t>
      </w:r>
      <w:r w:rsidR="00DD7463">
        <w:t xml:space="preserve"> </w:t>
      </w:r>
    </w:p>
    <w:p w14:paraId="249A628F" w14:textId="08C0408E" w:rsidR="00F70367" w:rsidRDefault="00DD7463" w:rsidP="00170E03">
      <w:pPr>
        <w:pStyle w:val="ListNumber"/>
      </w:pPr>
      <w:r>
        <w:lastRenderedPageBreak/>
        <w:t xml:space="preserve">This function is given to the Commission </w:t>
      </w:r>
      <w:r w:rsidR="00545BA1" w:rsidRPr="00545BA1">
        <w:t xml:space="preserve">in pursuance of Australia’s international obligations under </w:t>
      </w:r>
      <w:r w:rsidR="00545BA1" w:rsidRPr="004A0C55">
        <w:rPr>
          <w:i/>
          <w:iCs/>
        </w:rPr>
        <w:t>I</w:t>
      </w:r>
      <w:r w:rsidR="00255B83" w:rsidRPr="004A0C55">
        <w:rPr>
          <w:i/>
          <w:iCs/>
        </w:rPr>
        <w:t xml:space="preserve">nternational </w:t>
      </w:r>
      <w:r w:rsidR="00545BA1" w:rsidRPr="004A0C55">
        <w:rPr>
          <w:i/>
          <w:iCs/>
        </w:rPr>
        <w:t>L</w:t>
      </w:r>
      <w:r w:rsidR="00255B83" w:rsidRPr="004A0C55">
        <w:rPr>
          <w:i/>
          <w:iCs/>
        </w:rPr>
        <w:t xml:space="preserve">abour </w:t>
      </w:r>
      <w:r w:rsidR="00545BA1" w:rsidRPr="004A0C55">
        <w:rPr>
          <w:i/>
          <w:iCs/>
        </w:rPr>
        <w:t>O</w:t>
      </w:r>
      <w:r w:rsidR="00255B83" w:rsidRPr="004A0C55">
        <w:rPr>
          <w:i/>
          <w:iCs/>
        </w:rPr>
        <w:t>rgani</w:t>
      </w:r>
      <w:r w:rsidR="004A0C55" w:rsidRPr="004A0C55">
        <w:rPr>
          <w:i/>
          <w:iCs/>
        </w:rPr>
        <w:t>z</w:t>
      </w:r>
      <w:r w:rsidR="00255B83" w:rsidRPr="004A0C55">
        <w:rPr>
          <w:i/>
          <w:iCs/>
        </w:rPr>
        <w:t>ation</w:t>
      </w:r>
      <w:r w:rsidR="00545BA1" w:rsidRPr="004A0C55">
        <w:rPr>
          <w:i/>
          <w:iCs/>
        </w:rPr>
        <w:t xml:space="preserve"> Convention (No 111) concerning Discrimination in respect of Employment and Occupation</w:t>
      </w:r>
      <w:r w:rsidR="00545BA1" w:rsidRPr="00545BA1">
        <w:t>, done at Geneva on 25 June 1958</w:t>
      </w:r>
      <w:r w:rsidR="00F55C9E">
        <w:t xml:space="preserve">.  This convention </w:t>
      </w:r>
      <w:r w:rsidR="008F6D56" w:rsidRPr="008F6D56">
        <w:t>prohibits discrimination in employment on the grounds of race, colour, sex, religion, political opinion, national extraction and social origin as well as other grounds specified by ratifying States.</w:t>
      </w:r>
    </w:p>
    <w:p w14:paraId="51C3D4D3" w14:textId="317ECEA1" w:rsidR="00F70367" w:rsidRDefault="00F70367" w:rsidP="00170E03">
      <w:pPr>
        <w:pStyle w:val="ListNumber"/>
      </w:pPr>
      <w:r>
        <w:t xml:space="preserve">The Commission has received </w:t>
      </w:r>
      <w:r w:rsidR="00905746">
        <w:t xml:space="preserve">a total of </w:t>
      </w:r>
      <w:r w:rsidR="00E95D5A">
        <w:t>58</w:t>
      </w:r>
      <w:r>
        <w:t xml:space="preserve"> complaints of discrimination in employment </w:t>
      </w:r>
      <w:proofErr w:type="gramStart"/>
      <w:r>
        <w:t>on the basis of</w:t>
      </w:r>
      <w:proofErr w:type="gramEnd"/>
      <w:r>
        <w:t xml:space="preserve"> religion in the five years</w:t>
      </w:r>
      <w:r w:rsidR="00E95D5A">
        <w:t xml:space="preserve"> to </w:t>
      </w:r>
      <w:r w:rsidR="00CE48BC">
        <w:t xml:space="preserve">30 </w:t>
      </w:r>
      <w:r w:rsidR="00E95D5A">
        <w:t>June 2019</w:t>
      </w:r>
      <w:r>
        <w:t xml:space="preserve">. </w:t>
      </w:r>
      <w:r w:rsidR="002B505C">
        <w:t xml:space="preserve"> </w:t>
      </w:r>
      <w:r>
        <w:t xml:space="preserve">The kinds of complaints received by the Commission include </w:t>
      </w:r>
      <w:r w:rsidRPr="00D96120">
        <w:t xml:space="preserve">complaints about workplace harassment </w:t>
      </w:r>
      <w:proofErr w:type="gramStart"/>
      <w:r w:rsidRPr="00D96120">
        <w:t>on the basis of</w:t>
      </w:r>
      <w:proofErr w:type="gramEnd"/>
      <w:r w:rsidRPr="00D96120">
        <w:t xml:space="preserve"> religion, discrimination because of religious dress, and discrimination </w:t>
      </w:r>
      <w:r w:rsidR="000B4758">
        <w:t xml:space="preserve">based on the complainant not having a </w:t>
      </w:r>
      <w:r w:rsidRPr="00E2235A">
        <w:t xml:space="preserve">religious </w:t>
      </w:r>
      <w:r>
        <w:t>belief</w:t>
      </w:r>
      <w:r w:rsidRPr="00D96120">
        <w:t>.</w:t>
      </w:r>
    </w:p>
    <w:p w14:paraId="60C88A6D" w14:textId="025B9C07" w:rsidR="00F70367" w:rsidRDefault="00F70367" w:rsidP="00170E03">
      <w:pPr>
        <w:pStyle w:val="ListNumber"/>
      </w:pPr>
      <w:r>
        <w:t>If a matter cannot be successfully conciliated, the Commission will inquir</w:t>
      </w:r>
      <w:r w:rsidR="000B4758">
        <w:t>e</w:t>
      </w:r>
      <w:r>
        <w:t xml:space="preserve"> into </w:t>
      </w:r>
      <w:proofErr w:type="gramStart"/>
      <w:r>
        <w:t>whether or not</w:t>
      </w:r>
      <w:proofErr w:type="gramEnd"/>
      <w:r>
        <w:t xml:space="preserve"> the alleged conduct amounted to discrimination in employment. </w:t>
      </w:r>
      <w:r w:rsidR="002B505C">
        <w:t xml:space="preserve"> </w:t>
      </w:r>
      <w:r>
        <w:t xml:space="preserve">For the conduct to amount to discrimination, it must be a distinction, exclusion or preference made </w:t>
      </w:r>
      <w:proofErr w:type="gramStart"/>
      <w:r>
        <w:t>on the basis of</w:t>
      </w:r>
      <w:proofErr w:type="gramEnd"/>
      <w:r>
        <w:t xml:space="preserve"> religion. </w:t>
      </w:r>
      <w:r w:rsidR="002B505C">
        <w:t xml:space="preserve"> </w:t>
      </w:r>
      <w:r>
        <w:t>However, conduct will not amount to discrimination if:</w:t>
      </w:r>
    </w:p>
    <w:p w14:paraId="08736765" w14:textId="77777777" w:rsidR="00F70367" w:rsidRDefault="00F70367" w:rsidP="00170E03">
      <w:pPr>
        <w:pStyle w:val="ListParagraph"/>
        <w:numPr>
          <w:ilvl w:val="0"/>
          <w:numId w:val="48"/>
        </w:numPr>
        <w:spacing w:before="0" w:after="160" w:line="259" w:lineRule="auto"/>
        <w:ind w:left="1434" w:hanging="357"/>
        <w:rPr>
          <w:rFonts w:cs="Open Sans"/>
        </w:rPr>
      </w:pPr>
      <w:r>
        <w:rPr>
          <w:rFonts w:cs="Open Sans"/>
        </w:rPr>
        <w:t>it is based on the inherent requirements of the job, or</w:t>
      </w:r>
    </w:p>
    <w:p w14:paraId="4E524177" w14:textId="77777777" w:rsidR="00F70367" w:rsidRPr="007977BC" w:rsidRDefault="00F70367" w:rsidP="00170E03">
      <w:pPr>
        <w:pStyle w:val="ListParagraph"/>
        <w:numPr>
          <w:ilvl w:val="0"/>
          <w:numId w:val="48"/>
        </w:numPr>
        <w:spacing w:before="0" w:after="160" w:line="259" w:lineRule="auto"/>
        <w:ind w:left="1434" w:hanging="357"/>
        <w:rPr>
          <w:rFonts w:cs="Open Sans"/>
        </w:rPr>
      </w:pPr>
      <w:r>
        <w:rPr>
          <w:rFonts w:cs="Open Sans"/>
        </w:rPr>
        <w:t xml:space="preserve">the job is at an institution conducted in accordance with the doctrines, tenets, beliefs or teachings of a </w:t>
      </w:r>
      <w:proofErr w:type="gramStart"/>
      <w:r>
        <w:rPr>
          <w:rFonts w:cs="Open Sans"/>
        </w:rPr>
        <w:t>particular religion</w:t>
      </w:r>
      <w:proofErr w:type="gramEnd"/>
      <w:r>
        <w:rPr>
          <w:rFonts w:cs="Open Sans"/>
        </w:rPr>
        <w:t xml:space="preserve"> or creed, and the distinction, exclusion or preference was made in good faith in order to avoid injury to the religious susceptibilities of adherents of that religion or creed.</w:t>
      </w:r>
    </w:p>
    <w:p w14:paraId="44A65FC7" w14:textId="3B7AB8C0" w:rsidR="00F70367" w:rsidRDefault="00F70367" w:rsidP="00BB7F78">
      <w:pPr>
        <w:pStyle w:val="ListNumber"/>
      </w:pPr>
      <w:r>
        <w:t xml:space="preserve">If the Commission finds that there was discrimination in employment </w:t>
      </w:r>
      <w:proofErr w:type="gramStart"/>
      <w:r>
        <w:t>on the basis of</w:t>
      </w:r>
      <w:proofErr w:type="gramEnd"/>
      <w:r>
        <w:t xml:space="preserve"> religion, the Commission can issue a notice to the parties setting out the action that it recommends be taken to remedy the act of discrimination. </w:t>
      </w:r>
      <w:r w:rsidR="00E728BB">
        <w:t xml:space="preserve"> </w:t>
      </w:r>
      <w:r>
        <w:t xml:space="preserve">These recommendations are not binding on the </w:t>
      </w:r>
      <w:proofErr w:type="gramStart"/>
      <w:r>
        <w:t>parties, but</w:t>
      </w:r>
      <w:proofErr w:type="gramEnd"/>
      <w:r>
        <w:t xml:space="preserve"> may form part of a public report to the Attorney-General.</w:t>
      </w:r>
    </w:p>
    <w:p w14:paraId="01354260" w14:textId="77777777" w:rsidR="001D55F7" w:rsidRDefault="001D55F7" w:rsidP="001D55F7">
      <w:pPr>
        <w:pStyle w:val="ListNumber"/>
        <w:numPr>
          <w:ilvl w:val="0"/>
          <w:numId w:val="0"/>
        </w:numPr>
        <w:ind w:left="1094"/>
      </w:pPr>
    </w:p>
    <w:p w14:paraId="7AC6099E" w14:textId="77777777" w:rsidR="001D55F7" w:rsidRDefault="001D55F7" w:rsidP="001D55F7">
      <w:pPr>
        <w:pStyle w:val="ListNumber"/>
        <w:numPr>
          <w:ilvl w:val="0"/>
          <w:numId w:val="0"/>
        </w:numPr>
        <w:ind w:left="1094"/>
      </w:pPr>
    </w:p>
    <w:p w14:paraId="1E5D0387" w14:textId="77777777" w:rsidR="00045404" w:rsidRDefault="00045404" w:rsidP="001D55F7">
      <w:pPr>
        <w:pStyle w:val="ListNumber"/>
        <w:numPr>
          <w:ilvl w:val="0"/>
          <w:numId w:val="0"/>
        </w:numPr>
        <w:ind w:left="1094"/>
      </w:pPr>
    </w:p>
    <w:p w14:paraId="3DB51E33" w14:textId="77777777" w:rsidR="00F70367" w:rsidRPr="002668D2" w:rsidRDefault="00F70367" w:rsidP="00E728BB">
      <w:pPr>
        <w:keepNext/>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b/>
          <w:bCs/>
        </w:rPr>
      </w:pPr>
      <w:r w:rsidRPr="002668D2">
        <w:rPr>
          <w:rFonts w:cs="Open Sans"/>
          <w:b/>
          <w:bCs/>
        </w:rPr>
        <w:t>Case study: wearing religious articles or clothing at work</w:t>
      </w:r>
    </w:p>
    <w:p w14:paraId="68545A40" w14:textId="7ED72213" w:rsidR="00F70367" w:rsidRPr="002668D2" w:rsidRDefault="00F70367" w:rsidP="001D55F7">
      <w:pPr>
        <w:keepNext/>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rPr>
      </w:pPr>
      <w:r>
        <w:rPr>
          <w:rFonts w:cs="Open Sans"/>
        </w:rPr>
        <w:t xml:space="preserve">A woman told the Commission that </w:t>
      </w:r>
      <w:r w:rsidRPr="002668D2">
        <w:rPr>
          <w:rFonts w:cs="Open Sans"/>
        </w:rPr>
        <w:t xml:space="preserve">she </w:t>
      </w:r>
      <w:r>
        <w:rPr>
          <w:rFonts w:cs="Open Sans"/>
        </w:rPr>
        <w:t>wa</w:t>
      </w:r>
      <w:r w:rsidRPr="002668D2">
        <w:rPr>
          <w:rFonts w:cs="Open Sans"/>
        </w:rPr>
        <w:t>s a convert to the Muslim faith and recently wore a headscarf to work. She claim</w:t>
      </w:r>
      <w:r>
        <w:rPr>
          <w:rFonts w:cs="Open Sans"/>
        </w:rPr>
        <w:t>ed</w:t>
      </w:r>
      <w:r w:rsidRPr="002668D2">
        <w:rPr>
          <w:rFonts w:cs="Open Sans"/>
        </w:rPr>
        <w:t xml:space="preserve"> that her </w:t>
      </w:r>
      <w:r w:rsidR="00905746">
        <w:rPr>
          <w:rFonts w:cs="Open Sans"/>
        </w:rPr>
        <w:t>employer</w:t>
      </w:r>
      <w:r w:rsidR="00905746" w:rsidRPr="002668D2">
        <w:rPr>
          <w:rFonts w:cs="Open Sans"/>
        </w:rPr>
        <w:t xml:space="preserve"> </w:t>
      </w:r>
      <w:r w:rsidRPr="002668D2">
        <w:rPr>
          <w:rFonts w:cs="Open Sans"/>
        </w:rPr>
        <w:t xml:space="preserve">then asked to see her and threatened to try to remove her </w:t>
      </w:r>
      <w:r w:rsidRPr="002668D2">
        <w:rPr>
          <w:rFonts w:cs="Open Sans"/>
        </w:rPr>
        <w:lastRenderedPageBreak/>
        <w:t xml:space="preserve">from the front desk as the headscarf made </w:t>
      </w:r>
      <w:r w:rsidR="00905746">
        <w:rPr>
          <w:rFonts w:cs="Open Sans"/>
        </w:rPr>
        <w:t xml:space="preserve">the employer </w:t>
      </w:r>
      <w:r w:rsidRPr="002668D2">
        <w:rPr>
          <w:rFonts w:cs="Open Sans"/>
        </w:rPr>
        <w:t xml:space="preserve">uncomfortable. </w:t>
      </w:r>
      <w:r w:rsidR="00067EA3">
        <w:rPr>
          <w:rFonts w:cs="Open Sans"/>
        </w:rPr>
        <w:t>The woman</w:t>
      </w:r>
      <w:r>
        <w:rPr>
          <w:rFonts w:cs="Open Sans"/>
        </w:rPr>
        <w:t xml:space="preserve"> made a complaint to the Commission.</w:t>
      </w:r>
    </w:p>
    <w:p w14:paraId="07172D48" w14:textId="1E432C37" w:rsidR="00F70367" w:rsidRDefault="00291A19" w:rsidP="00BB7F78">
      <w:pPr>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rPr>
      </w:pPr>
      <w:r>
        <w:rPr>
          <w:rFonts w:cs="Open Sans"/>
        </w:rPr>
        <w:t>Following the making of the complaint, t</w:t>
      </w:r>
      <w:r w:rsidR="00F70367" w:rsidRPr="002668D2">
        <w:rPr>
          <w:rFonts w:cs="Open Sans"/>
        </w:rPr>
        <w:t>he Commission was advised that the complainant resolved the complaint internally by speaking directly to her employer</w:t>
      </w:r>
      <w:r w:rsidR="00D94594">
        <w:rPr>
          <w:rFonts w:cs="Open Sans"/>
        </w:rPr>
        <w:t>.  The employer</w:t>
      </w:r>
      <w:r w:rsidR="00F70367" w:rsidRPr="002668D2">
        <w:rPr>
          <w:rFonts w:cs="Open Sans"/>
        </w:rPr>
        <w:t xml:space="preserve"> apologi</w:t>
      </w:r>
      <w:r w:rsidR="00F70367">
        <w:rPr>
          <w:rFonts w:cs="Open Sans"/>
        </w:rPr>
        <w:t>s</w:t>
      </w:r>
      <w:r w:rsidR="00F70367" w:rsidRPr="002668D2">
        <w:rPr>
          <w:rFonts w:cs="Open Sans"/>
        </w:rPr>
        <w:t xml:space="preserve">ed for her reaction and advised the complainant </w:t>
      </w:r>
      <w:r w:rsidR="00D94594">
        <w:rPr>
          <w:rFonts w:cs="Open Sans"/>
        </w:rPr>
        <w:t xml:space="preserve">that she </w:t>
      </w:r>
      <w:r w:rsidR="00F70367" w:rsidRPr="002668D2">
        <w:rPr>
          <w:rFonts w:cs="Open Sans"/>
        </w:rPr>
        <w:t>was welcome to wear the headscarf.</w:t>
      </w:r>
    </w:p>
    <w:p w14:paraId="1F30E971" w14:textId="77777777" w:rsidR="00F70367" w:rsidRPr="0050652A" w:rsidRDefault="00F70367" w:rsidP="00BB7F78">
      <w:pPr>
        <w:pStyle w:val="Heading2"/>
      </w:pPr>
      <w:bookmarkStart w:id="16" w:name="_Toc20471744"/>
      <w:r w:rsidRPr="0050652A">
        <w:t>Commonwealth acts or practices contrary to freedom of religion</w:t>
      </w:r>
      <w:bookmarkEnd w:id="16"/>
    </w:p>
    <w:p w14:paraId="32785610" w14:textId="64C68ED5" w:rsidR="00F70367" w:rsidRDefault="00F70367" w:rsidP="00BB7F78">
      <w:pPr>
        <w:pStyle w:val="ListNumber"/>
      </w:pPr>
      <w:r>
        <w:t>The Commission can also inquire into a complaint about acts or practices of the Commonwealth that are inconsistent with or contrary to:</w:t>
      </w:r>
    </w:p>
    <w:p w14:paraId="4D8A7EA0" w14:textId="5DAD721B" w:rsidR="00F70367" w:rsidRDefault="00F70367" w:rsidP="00BB7F78">
      <w:pPr>
        <w:pStyle w:val="ListParagraph"/>
        <w:numPr>
          <w:ilvl w:val="0"/>
          <w:numId w:val="47"/>
        </w:numPr>
        <w:spacing w:before="0" w:after="160" w:line="259" w:lineRule="auto"/>
        <w:ind w:left="1434" w:hanging="357"/>
        <w:rPr>
          <w:rFonts w:cs="Open Sans"/>
        </w:rPr>
      </w:pPr>
      <w:r w:rsidRPr="00FC45FB">
        <w:rPr>
          <w:rFonts w:cs="Open Sans"/>
        </w:rPr>
        <w:t xml:space="preserve">the right to freedom of </w:t>
      </w:r>
      <w:r>
        <w:rPr>
          <w:rFonts w:cs="Open Sans"/>
        </w:rPr>
        <w:t xml:space="preserve">thought, conscience and </w:t>
      </w:r>
      <w:r w:rsidRPr="00FC45FB">
        <w:rPr>
          <w:rFonts w:cs="Open Sans"/>
        </w:rPr>
        <w:t xml:space="preserve">religion </w:t>
      </w:r>
      <w:r>
        <w:rPr>
          <w:rFonts w:cs="Open Sans"/>
        </w:rPr>
        <w:t xml:space="preserve">in article 18 of the </w:t>
      </w:r>
      <w:r w:rsidRPr="0033260B">
        <w:rPr>
          <w:rFonts w:cs="Open Sans"/>
          <w:i/>
          <w:iCs/>
        </w:rPr>
        <w:t>International Covenant on Civil and Political Rights</w:t>
      </w:r>
      <w:r>
        <w:rPr>
          <w:rFonts w:cs="Open Sans"/>
        </w:rPr>
        <w:t xml:space="preserve"> (ICCPR)</w:t>
      </w:r>
      <w:r w:rsidR="004A3694">
        <w:rPr>
          <w:rFonts w:cs="Open Sans"/>
        </w:rPr>
        <w:t xml:space="preserve"> and article 14 of the </w:t>
      </w:r>
      <w:r w:rsidR="004A3694" w:rsidRPr="004A3694">
        <w:rPr>
          <w:rFonts w:cs="Open Sans"/>
          <w:i/>
          <w:iCs/>
        </w:rPr>
        <w:t>Convention on the Rights of the Child</w:t>
      </w:r>
      <w:r w:rsidR="004A3694">
        <w:rPr>
          <w:rFonts w:cs="Open Sans"/>
        </w:rPr>
        <w:t xml:space="preserve"> (CRC)</w:t>
      </w:r>
    </w:p>
    <w:p w14:paraId="55289FA8" w14:textId="464DF13C" w:rsidR="00F70367" w:rsidRDefault="00F70367" w:rsidP="00BB7F78">
      <w:pPr>
        <w:pStyle w:val="ListParagraph"/>
        <w:numPr>
          <w:ilvl w:val="0"/>
          <w:numId w:val="47"/>
        </w:numPr>
        <w:spacing w:before="0" w:after="160" w:line="259" w:lineRule="auto"/>
        <w:ind w:left="1434" w:hanging="357"/>
        <w:rPr>
          <w:rFonts w:cs="Open Sans"/>
        </w:rPr>
      </w:pPr>
      <w:r>
        <w:rPr>
          <w:rFonts w:cs="Open Sans"/>
        </w:rPr>
        <w:t xml:space="preserve">the right to non-discrimination, including </w:t>
      </w:r>
      <w:proofErr w:type="gramStart"/>
      <w:r>
        <w:rPr>
          <w:rFonts w:cs="Open Sans"/>
        </w:rPr>
        <w:t>on the basis of</w:t>
      </w:r>
      <w:proofErr w:type="gramEnd"/>
      <w:r>
        <w:rPr>
          <w:rFonts w:cs="Open Sans"/>
        </w:rPr>
        <w:t xml:space="preserve"> religion, in article 26 of the ICCPR</w:t>
      </w:r>
      <w:r w:rsidR="00C31577">
        <w:rPr>
          <w:rFonts w:cs="Open Sans"/>
        </w:rPr>
        <w:t xml:space="preserve"> and article 2 of the CRC</w:t>
      </w:r>
    </w:p>
    <w:p w14:paraId="1281E094" w14:textId="77777777" w:rsidR="00F70367" w:rsidRDefault="00F70367" w:rsidP="00BB7F78">
      <w:pPr>
        <w:pStyle w:val="ListParagraph"/>
        <w:numPr>
          <w:ilvl w:val="0"/>
          <w:numId w:val="47"/>
        </w:numPr>
        <w:spacing w:before="0" w:after="160" w:line="259" w:lineRule="auto"/>
        <w:ind w:left="1434" w:hanging="357"/>
        <w:rPr>
          <w:rFonts w:cs="Open Sans"/>
        </w:rPr>
      </w:pPr>
      <w:r>
        <w:rPr>
          <w:rFonts w:cs="Open Sans"/>
        </w:rPr>
        <w:t xml:space="preserve">the </w:t>
      </w:r>
      <w:r w:rsidRPr="0033260B">
        <w:rPr>
          <w:rFonts w:cs="Open Sans"/>
          <w:i/>
          <w:iCs/>
        </w:rPr>
        <w:t>Declaration on the Elimination of all forms of Intolerance and of Discrimination based on Religion or Belief</w:t>
      </w:r>
      <w:r>
        <w:rPr>
          <w:rFonts w:cs="Open Sans"/>
        </w:rPr>
        <w:t>, p</w:t>
      </w:r>
      <w:r w:rsidRPr="0033260B">
        <w:rPr>
          <w:rFonts w:cs="Open Sans"/>
        </w:rPr>
        <w:t>roclaimed by General Assembly of the United Nations on 25 November 1981</w:t>
      </w:r>
      <w:r>
        <w:rPr>
          <w:rFonts w:cs="Open Sans"/>
        </w:rPr>
        <w:t>.</w:t>
      </w:r>
    </w:p>
    <w:p w14:paraId="1B913A80" w14:textId="77777777" w:rsidR="00F70367" w:rsidRDefault="00F70367" w:rsidP="00BB7F78">
      <w:pPr>
        <w:pStyle w:val="ListNumber"/>
      </w:pPr>
      <w:r>
        <w:t xml:space="preserve">These instruments provide for an absolute right to have or adopt a religion and to hold religious beliefs. </w:t>
      </w:r>
    </w:p>
    <w:p w14:paraId="2D7E04D6" w14:textId="1203F075" w:rsidR="00F70367" w:rsidRDefault="00FB4001" w:rsidP="00BB7F78">
      <w:pPr>
        <w:pStyle w:val="ListNumber"/>
      </w:pPr>
      <w:r>
        <w:t>Under international law, w</w:t>
      </w:r>
      <w:r w:rsidR="00F70367" w:rsidRPr="001B52D3">
        <w:t xml:space="preserve">hile the right to hold religious </w:t>
      </w:r>
      <w:r w:rsidR="00F70367">
        <w:t xml:space="preserve">beliefs </w:t>
      </w:r>
      <w:r w:rsidR="00F70367" w:rsidRPr="001B52D3">
        <w:t xml:space="preserve">is absolute and not subject to any limitations, the right to manifest one’s religion may be subject to limitations in some circumstances. </w:t>
      </w:r>
      <w:r w:rsidR="00673E97">
        <w:t xml:space="preserve"> </w:t>
      </w:r>
      <w:r w:rsidR="00F70367" w:rsidRPr="001B52D3">
        <w:t xml:space="preserve">Any limitations must be prescribed by law and must be necessary to protect one or more other important goals. </w:t>
      </w:r>
      <w:r w:rsidR="00673E97">
        <w:t xml:space="preserve"> </w:t>
      </w:r>
      <w:r w:rsidR="00F70367" w:rsidRPr="001B52D3">
        <w:t xml:space="preserve">The ICCPR identifies these other public goals as the protection of public safety, order, health, or morals or the fundamental rights and freedoms of others. </w:t>
      </w:r>
      <w:r w:rsidR="00673E97">
        <w:t xml:space="preserve"> </w:t>
      </w:r>
      <w:r w:rsidR="00F70367" w:rsidRPr="001B52D3">
        <w:t>When the achievement of one of these other goals interferes with the right to manifest one’s religion, it is necessary to conduct a proportionality analysis to determine whether the right to manifest one’s religion has been impermissibly infringed.</w:t>
      </w:r>
    </w:p>
    <w:p w14:paraId="568C5265" w14:textId="629DE26C" w:rsidR="00F70367" w:rsidRDefault="00F70367" w:rsidP="00BB7F78">
      <w:pPr>
        <w:pStyle w:val="ListNumber"/>
      </w:pPr>
      <w:r>
        <w:lastRenderedPageBreak/>
        <w:t xml:space="preserve">The manifestation of religion may be </w:t>
      </w:r>
      <w:r w:rsidR="00295FC8">
        <w:t>individual or</w:t>
      </w:r>
      <w:r>
        <w:t xml:space="preserve"> in community with others and in public or private. </w:t>
      </w:r>
      <w:r w:rsidR="0060304B">
        <w:t xml:space="preserve"> </w:t>
      </w:r>
      <w:r>
        <w:t>It includes the following freedoms:</w:t>
      </w:r>
    </w:p>
    <w:p w14:paraId="6041BF8F"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worship or assemble in connection with a religion or belief, and to establish and maintain places for these purposes</w:t>
      </w:r>
    </w:p>
    <w:p w14:paraId="555ECD1B"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establish and maintain appropriate charitable or humanitarian institutions</w:t>
      </w:r>
    </w:p>
    <w:p w14:paraId="30EF5DD3"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make, acquire and use to an adequate extent the necessary articles and materials related to the rites or customs of a religion or belief</w:t>
      </w:r>
    </w:p>
    <w:p w14:paraId="69EF3966"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 xml:space="preserve">o write, issue and disseminate relevant publications in </w:t>
      </w:r>
      <w:r>
        <w:rPr>
          <w:rFonts w:cs="Open Sans"/>
        </w:rPr>
        <w:t>the area of religion or belief</w:t>
      </w:r>
    </w:p>
    <w:p w14:paraId="1979DE6A"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teach a religion or belief in places suitable for these purposes</w:t>
      </w:r>
    </w:p>
    <w:p w14:paraId="7356529C"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solicit and receive voluntary financial and other contributions from individuals and institutions</w:t>
      </w:r>
    </w:p>
    <w:p w14:paraId="51AC1D29"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train, appoint, elect or designate by succession appropriate leaders called for by the requirements and standards of any religion or belief</w:t>
      </w:r>
    </w:p>
    <w:p w14:paraId="52E79CB6"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observe days of rest and to celebrate holidays and ceremonies in accordance with the precepts of one</w:t>
      </w:r>
      <w:r>
        <w:rPr>
          <w:rFonts w:cs="Open Sans"/>
        </w:rPr>
        <w:t>’</w:t>
      </w:r>
      <w:r w:rsidRPr="001E6692">
        <w:rPr>
          <w:rFonts w:cs="Open Sans"/>
        </w:rPr>
        <w:t>s religion or belief</w:t>
      </w:r>
    </w:p>
    <w:p w14:paraId="1A73E4C3" w14:textId="77777777" w:rsidR="00F70367" w:rsidRPr="001E6692" w:rsidRDefault="00F70367" w:rsidP="006A4B2E">
      <w:pPr>
        <w:pStyle w:val="ListParagraph"/>
        <w:numPr>
          <w:ilvl w:val="0"/>
          <w:numId w:val="49"/>
        </w:numPr>
        <w:spacing w:before="0" w:after="160" w:line="259" w:lineRule="auto"/>
        <w:ind w:left="1434" w:hanging="357"/>
        <w:rPr>
          <w:rFonts w:cs="Open Sans"/>
        </w:rPr>
      </w:pPr>
      <w:r>
        <w:rPr>
          <w:rFonts w:cs="Open Sans"/>
        </w:rPr>
        <w:t>t</w:t>
      </w:r>
      <w:r w:rsidRPr="001E6692">
        <w:rPr>
          <w:rFonts w:cs="Open Sans"/>
        </w:rPr>
        <w:t>o establish and maintain communications with individuals and communities in matters of religion and belief at the national and international levels.</w:t>
      </w:r>
    </w:p>
    <w:p w14:paraId="22297B0C" w14:textId="4E45A727" w:rsidR="00F70367" w:rsidRPr="0033260B" w:rsidRDefault="00F70367" w:rsidP="00E81FA1">
      <w:pPr>
        <w:pStyle w:val="ListNumber"/>
      </w:pPr>
      <w:r>
        <w:t>Again, when a complaint is made to the Commission, t</w:t>
      </w:r>
      <w:r w:rsidRPr="0033260B">
        <w:t xml:space="preserve">he Commission’s role is to inquire into and attempt to reach a settlement of such complaints through conciliation. </w:t>
      </w:r>
      <w:r w:rsidR="00606323">
        <w:t xml:space="preserve"> </w:t>
      </w:r>
      <w:r>
        <w:t xml:space="preserve">The Commission has </w:t>
      </w:r>
      <w:r w:rsidRPr="007B63C9">
        <w:t>received</w:t>
      </w:r>
      <w:r>
        <w:t xml:space="preserve"> </w:t>
      </w:r>
      <w:r w:rsidR="00FB4001">
        <w:t xml:space="preserve">a total of </w:t>
      </w:r>
      <w:r w:rsidR="00E95D5A">
        <w:t>11</w:t>
      </w:r>
      <w:r w:rsidRPr="008A265F">
        <w:t xml:space="preserve"> </w:t>
      </w:r>
      <w:r w:rsidRPr="00ED1B40">
        <w:t>complaints about acts or practices of the Commonwealth that are contrary to freedom of religion or belief in the five years</w:t>
      </w:r>
      <w:r w:rsidR="00E95D5A">
        <w:t xml:space="preserve"> to 30 June 2019</w:t>
      </w:r>
      <w:r w:rsidRPr="00ED1B40">
        <w:t>.</w:t>
      </w:r>
    </w:p>
    <w:p w14:paraId="2C625281" w14:textId="31DFE028" w:rsidR="00F70367" w:rsidRDefault="00F70367" w:rsidP="006A4B2E">
      <w:pPr>
        <w:pStyle w:val="ListNumber"/>
      </w:pPr>
      <w:r w:rsidRPr="0033260B">
        <w:t xml:space="preserve">If a matter cannot be successfully conciliated, the Commission </w:t>
      </w:r>
      <w:r>
        <w:t>will inquir</w:t>
      </w:r>
      <w:r w:rsidR="00FB4001">
        <w:t>e</w:t>
      </w:r>
      <w:r>
        <w:t xml:space="preserve"> into </w:t>
      </w:r>
      <w:proofErr w:type="gramStart"/>
      <w:r>
        <w:t>whether or not</w:t>
      </w:r>
      <w:proofErr w:type="gramEnd"/>
      <w:r>
        <w:t xml:space="preserve"> the act or practice was contrary to human rights.</w:t>
      </w:r>
    </w:p>
    <w:p w14:paraId="5303DBDB" w14:textId="4E0227FE" w:rsidR="00F70367" w:rsidRPr="0033260B" w:rsidRDefault="00F70367" w:rsidP="006A4B2E">
      <w:pPr>
        <w:pStyle w:val="ListNumber"/>
      </w:pPr>
      <w:r>
        <w:t xml:space="preserve">If the Commission </w:t>
      </w:r>
      <w:r w:rsidRPr="0033260B">
        <w:t xml:space="preserve">finds </w:t>
      </w:r>
      <w:r>
        <w:t>an act or practice of the Commonwealth was contrary to the human rights protected by these instruments</w:t>
      </w:r>
      <w:r w:rsidRPr="0033260B">
        <w:t xml:space="preserve">, the </w:t>
      </w:r>
      <w:r w:rsidRPr="0033260B">
        <w:lastRenderedPageBreak/>
        <w:t>Commission can issue a notice to the parties setting out the action that it recommends be taken</w:t>
      </w:r>
      <w:r>
        <w:t xml:space="preserve"> to remedy the breach of human rights</w:t>
      </w:r>
      <w:r w:rsidRPr="0033260B">
        <w:t xml:space="preserve">. </w:t>
      </w:r>
      <w:r w:rsidR="00606323">
        <w:t xml:space="preserve"> </w:t>
      </w:r>
      <w:r w:rsidRPr="0033260B">
        <w:t xml:space="preserve">These recommendations are not binding on the </w:t>
      </w:r>
      <w:proofErr w:type="gramStart"/>
      <w:r w:rsidRPr="0033260B">
        <w:t>parties, but</w:t>
      </w:r>
      <w:proofErr w:type="gramEnd"/>
      <w:r w:rsidRPr="0033260B">
        <w:t xml:space="preserve"> </w:t>
      </w:r>
      <w:r>
        <w:t>may</w:t>
      </w:r>
      <w:r w:rsidRPr="0033260B">
        <w:t xml:space="preserve"> form part of a public report to the Attorney-General.</w:t>
      </w:r>
    </w:p>
    <w:p w14:paraId="7F3AC4A9" w14:textId="592EA4AB" w:rsidR="00F70367" w:rsidRPr="0050652A" w:rsidRDefault="00F70367" w:rsidP="00691A8C">
      <w:pPr>
        <w:pStyle w:val="Heading2"/>
      </w:pPr>
      <w:bookmarkStart w:id="17" w:name="_Toc20471745"/>
      <w:r w:rsidRPr="0050652A">
        <w:t>Fair Work Commission</w:t>
      </w:r>
      <w:r w:rsidR="00FB4001">
        <w:t xml:space="preserve"> jurisdiction</w:t>
      </w:r>
      <w:bookmarkEnd w:id="17"/>
    </w:p>
    <w:p w14:paraId="0C97965C" w14:textId="77777777" w:rsidR="00F70367" w:rsidRPr="00166698" w:rsidRDefault="00F70367" w:rsidP="00691A8C">
      <w:pPr>
        <w:pStyle w:val="ListNumber"/>
      </w:pPr>
      <w:r w:rsidRPr="00166698">
        <w:t xml:space="preserve">Under the </w:t>
      </w:r>
      <w:r w:rsidRPr="00A84733">
        <w:rPr>
          <w:i/>
          <w:iCs/>
        </w:rPr>
        <w:t>Fair Work Act 2009</w:t>
      </w:r>
      <w:r w:rsidRPr="00166698">
        <w:t xml:space="preserve"> (</w:t>
      </w:r>
      <w:proofErr w:type="spellStart"/>
      <w:r w:rsidRPr="00166698">
        <w:t>Cth</w:t>
      </w:r>
      <w:proofErr w:type="spellEnd"/>
      <w:r w:rsidRPr="00166698">
        <w:t xml:space="preserve">), employers are prohibited from: </w:t>
      </w:r>
    </w:p>
    <w:p w14:paraId="2E7010C7" w14:textId="77777777" w:rsidR="00F70367" w:rsidRPr="00166698" w:rsidRDefault="00F70367" w:rsidP="00691A8C">
      <w:pPr>
        <w:pStyle w:val="ListParagraph"/>
        <w:numPr>
          <w:ilvl w:val="0"/>
          <w:numId w:val="47"/>
        </w:numPr>
        <w:spacing w:before="0" w:after="160" w:line="259" w:lineRule="auto"/>
        <w:ind w:left="1434" w:hanging="357"/>
        <w:rPr>
          <w:rFonts w:cs="Open Sans"/>
        </w:rPr>
      </w:pPr>
      <w:r w:rsidRPr="00166698">
        <w:rPr>
          <w:rFonts w:cs="Open Sans"/>
        </w:rPr>
        <w:t xml:space="preserve">taking adverse action against an employee or prospective employee </w:t>
      </w:r>
      <w:proofErr w:type="gramStart"/>
      <w:r w:rsidRPr="00166698">
        <w:rPr>
          <w:rFonts w:cs="Open Sans"/>
        </w:rPr>
        <w:t>on the basis of</w:t>
      </w:r>
      <w:proofErr w:type="gramEnd"/>
      <w:r w:rsidRPr="00166698">
        <w:rPr>
          <w:rFonts w:cs="Open Sans"/>
        </w:rPr>
        <w:t xml:space="preserve"> a number of specified protected attributes, including religion </w:t>
      </w:r>
    </w:p>
    <w:p w14:paraId="1C407577" w14:textId="77777777" w:rsidR="00F70367" w:rsidRPr="00166698" w:rsidRDefault="00F70367" w:rsidP="00691A8C">
      <w:pPr>
        <w:pStyle w:val="ListParagraph"/>
        <w:numPr>
          <w:ilvl w:val="0"/>
          <w:numId w:val="47"/>
        </w:numPr>
        <w:spacing w:before="0" w:after="160" w:line="259" w:lineRule="auto"/>
        <w:ind w:left="1434" w:hanging="357"/>
        <w:rPr>
          <w:rFonts w:cs="Open Sans"/>
        </w:rPr>
      </w:pPr>
      <w:r w:rsidRPr="00166698">
        <w:rPr>
          <w:rFonts w:cs="Open Sans"/>
        </w:rPr>
        <w:t xml:space="preserve">including terms in a modern award that discriminate against an employee for </w:t>
      </w:r>
      <w:proofErr w:type="gramStart"/>
      <w:r w:rsidRPr="00166698">
        <w:rPr>
          <w:rFonts w:cs="Open Sans"/>
        </w:rPr>
        <w:t>a number of</w:t>
      </w:r>
      <w:proofErr w:type="gramEnd"/>
      <w:r w:rsidRPr="00166698">
        <w:rPr>
          <w:rFonts w:cs="Open Sans"/>
        </w:rPr>
        <w:t xml:space="preserve"> reasons, including religion </w:t>
      </w:r>
    </w:p>
    <w:p w14:paraId="6FE72188" w14:textId="391366B3" w:rsidR="00F70367" w:rsidRDefault="00F70367" w:rsidP="00691A8C">
      <w:pPr>
        <w:pStyle w:val="ListParagraph"/>
        <w:numPr>
          <w:ilvl w:val="0"/>
          <w:numId w:val="47"/>
        </w:numPr>
        <w:spacing w:before="0" w:after="160" w:line="259" w:lineRule="auto"/>
        <w:ind w:left="1434" w:hanging="357"/>
        <w:rPr>
          <w:rFonts w:cs="Open Sans"/>
        </w:rPr>
      </w:pPr>
      <w:r w:rsidRPr="00166698">
        <w:rPr>
          <w:rFonts w:cs="Open Sans"/>
        </w:rPr>
        <w:t>terminating an employee’s employment for reasons including their religion.</w:t>
      </w:r>
    </w:p>
    <w:p w14:paraId="3857B027" w14:textId="0E507FE6" w:rsidR="007159A8" w:rsidRPr="007C6698" w:rsidRDefault="007C6698" w:rsidP="007C6698">
      <w:pPr>
        <w:pStyle w:val="ListNumber"/>
      </w:pPr>
      <w:r>
        <w:t xml:space="preserve">The </w:t>
      </w:r>
      <w:r w:rsidRPr="003B3448">
        <w:rPr>
          <w:i/>
          <w:iCs/>
        </w:rPr>
        <w:t>Fair Work Act 2009</w:t>
      </w:r>
      <w:r>
        <w:t xml:space="preserve"> (</w:t>
      </w:r>
      <w:proofErr w:type="spellStart"/>
      <w:r>
        <w:t>Cth</w:t>
      </w:r>
      <w:proofErr w:type="spellEnd"/>
      <w:r>
        <w:t xml:space="preserve">) </w:t>
      </w:r>
      <w:r w:rsidR="003B3448">
        <w:t xml:space="preserve">permits applicants to bring court proceedings </w:t>
      </w:r>
      <w:r w:rsidR="00A1728E">
        <w:t>that</w:t>
      </w:r>
      <w:r w:rsidR="003B3448">
        <w:t xml:space="preserve"> can result in </w:t>
      </w:r>
      <w:r w:rsidR="00A1728E">
        <w:t>legally binding determinations.</w:t>
      </w:r>
    </w:p>
    <w:p w14:paraId="06E85639" w14:textId="77777777" w:rsidR="00F70367" w:rsidRPr="0050652A" w:rsidRDefault="00F70367" w:rsidP="00691A8C">
      <w:pPr>
        <w:pStyle w:val="Heading2"/>
      </w:pPr>
      <w:bookmarkStart w:id="18" w:name="_Toc20471746"/>
      <w:r w:rsidRPr="0050652A">
        <w:t xml:space="preserve">State and </w:t>
      </w:r>
      <w:r>
        <w:t>T</w:t>
      </w:r>
      <w:r w:rsidRPr="0050652A">
        <w:t>erritory bodies</w:t>
      </w:r>
      <w:bookmarkEnd w:id="18"/>
    </w:p>
    <w:p w14:paraId="1A40749E" w14:textId="796349CE" w:rsidR="00F70367" w:rsidRDefault="00F70367" w:rsidP="00691A8C">
      <w:pPr>
        <w:pStyle w:val="ListNumber"/>
      </w:pPr>
      <w:r w:rsidRPr="00166698">
        <w:t xml:space="preserve">The anti-discrimination laws of each </w:t>
      </w:r>
      <w:r>
        <w:t>S</w:t>
      </w:r>
      <w:r w:rsidRPr="00166698">
        <w:t xml:space="preserve">tate and </w:t>
      </w:r>
      <w:r>
        <w:t>T</w:t>
      </w:r>
      <w:r w:rsidRPr="00166698">
        <w:t xml:space="preserve">erritory, </w:t>
      </w:r>
      <w:proofErr w:type="gramStart"/>
      <w:r w:rsidRPr="00166698">
        <w:t>with the exception of</w:t>
      </w:r>
      <w:proofErr w:type="gramEnd"/>
      <w:r w:rsidRPr="00166698">
        <w:t xml:space="preserve"> </w:t>
      </w:r>
      <w:r w:rsidR="002060CE">
        <w:t>NSW</w:t>
      </w:r>
      <w:r w:rsidRPr="00166698">
        <w:t xml:space="preserve"> and South Australia, contain a prohibition against discrimination on the ground of religious belief.</w:t>
      </w:r>
      <w:r>
        <w:t xml:space="preserve"> </w:t>
      </w:r>
      <w:r w:rsidR="009751E3">
        <w:t xml:space="preserve"> </w:t>
      </w:r>
      <w:r>
        <w:t xml:space="preserve">In </w:t>
      </w:r>
      <w:r w:rsidR="002060CE">
        <w:t>NSW</w:t>
      </w:r>
      <w:r>
        <w:t xml:space="preserve">, it is prohibited to discriminate against a person </w:t>
      </w:r>
      <w:proofErr w:type="gramStart"/>
      <w:r>
        <w:t>on the basis of</w:t>
      </w:r>
      <w:proofErr w:type="gramEnd"/>
      <w:r>
        <w:t xml:space="preserve"> their ‘ethno-religious origin’. </w:t>
      </w:r>
      <w:r w:rsidR="009751E3">
        <w:t xml:space="preserve"> </w:t>
      </w:r>
      <w:r>
        <w:t>In South Australia, there are protections from discrimination in employment and education on the grounds of religious dress.</w:t>
      </w:r>
    </w:p>
    <w:p w14:paraId="35C695CF" w14:textId="77777777" w:rsidR="00F70367" w:rsidRDefault="00F70367" w:rsidP="00691A8C">
      <w:pPr>
        <w:pStyle w:val="ListNumber"/>
      </w:pPr>
      <w:r w:rsidRPr="00166698">
        <w:t xml:space="preserve">Where those laws prohibit discrimination or vilification </w:t>
      </w:r>
      <w:proofErr w:type="gramStart"/>
      <w:r w:rsidRPr="00166698">
        <w:t>on the basis of</w:t>
      </w:r>
      <w:proofErr w:type="gramEnd"/>
      <w:r w:rsidRPr="00166698">
        <w:t xml:space="preserve"> a person’s religion, an individual complainant may make a complaint to a specialist anti-discrimination or human rights body.</w:t>
      </w:r>
      <w:r>
        <w:t xml:space="preserve"> </w:t>
      </w:r>
    </w:p>
    <w:p w14:paraId="283E0EFD" w14:textId="33E4608A" w:rsidR="00420E48" w:rsidRDefault="00420E48" w:rsidP="00691A8C">
      <w:pPr>
        <w:pStyle w:val="ListNumber"/>
      </w:pPr>
      <w:r w:rsidRPr="00B0160A">
        <w:t>Queensland</w:t>
      </w:r>
      <w:r>
        <w:t xml:space="preserve">, </w:t>
      </w:r>
      <w:r w:rsidRPr="00166698">
        <w:t>Victoria</w:t>
      </w:r>
      <w:r>
        <w:t xml:space="preserve"> and </w:t>
      </w:r>
      <w:r w:rsidRPr="00166698">
        <w:t xml:space="preserve">the </w:t>
      </w:r>
      <w:r w:rsidR="002060CE">
        <w:t>ACT</w:t>
      </w:r>
      <w:r w:rsidRPr="00166698">
        <w:t xml:space="preserve"> have also enacted statutory charters of human rights</w:t>
      </w:r>
      <w:r w:rsidR="002060CE">
        <w:t xml:space="preserve"> (or human rights </w:t>
      </w:r>
      <w:r w:rsidR="00161069">
        <w:t>A</w:t>
      </w:r>
      <w:r w:rsidR="002060CE">
        <w:t>cts)</w:t>
      </w:r>
      <w:r w:rsidRPr="00166698">
        <w:t xml:space="preserve">, which each include freedom of religion. </w:t>
      </w:r>
      <w:r w:rsidR="000E692B">
        <w:t xml:space="preserve"> </w:t>
      </w:r>
      <w:r w:rsidR="00DC6827">
        <w:t xml:space="preserve">Like the </w:t>
      </w:r>
      <w:r w:rsidR="00DC6827">
        <w:rPr>
          <w:i/>
          <w:iCs/>
        </w:rPr>
        <w:t xml:space="preserve">Human Rights (Parliamentary Scrutiny) Act 2011 </w:t>
      </w:r>
      <w:r w:rsidR="00DC6827">
        <w:t>(</w:t>
      </w:r>
      <w:proofErr w:type="spellStart"/>
      <w:r w:rsidR="00DC6827">
        <w:t>Cth</w:t>
      </w:r>
      <w:proofErr w:type="spellEnd"/>
      <w:r w:rsidR="00DC6827">
        <w:t>)</w:t>
      </w:r>
      <w:r w:rsidR="007D64CB">
        <w:t xml:space="preserve"> referred to above</w:t>
      </w:r>
      <w:r w:rsidR="00DC6827">
        <w:t>, e</w:t>
      </w:r>
      <w:r w:rsidRPr="00166698">
        <w:t xml:space="preserve">ach of these </w:t>
      </w:r>
      <w:r w:rsidR="00E44069">
        <w:t>S</w:t>
      </w:r>
      <w:r w:rsidR="00DC6827">
        <w:t xml:space="preserve">tate and </w:t>
      </w:r>
      <w:r w:rsidR="00E44069">
        <w:t>T</w:t>
      </w:r>
      <w:r w:rsidR="00DC6827">
        <w:t xml:space="preserve">erritory </w:t>
      </w:r>
      <w:r w:rsidRPr="00166698">
        <w:t xml:space="preserve">laws requires that for every proposed draft law (such as a </w:t>
      </w:r>
      <w:r w:rsidR="00DB7AAD">
        <w:t>B</w:t>
      </w:r>
      <w:r w:rsidRPr="00166698">
        <w:t>ill), the executive branch of government must produce a statement that assesses the compatibility of the draft law with human rights.</w:t>
      </w:r>
      <w:r w:rsidR="000E692B">
        <w:t xml:space="preserve"> </w:t>
      </w:r>
      <w:r w:rsidRPr="00166698">
        <w:t xml:space="preserve"> The </w:t>
      </w:r>
      <w:r>
        <w:t xml:space="preserve">laws also </w:t>
      </w:r>
      <w:r w:rsidRPr="00166698">
        <w:t xml:space="preserve">allow the Supreme </w:t>
      </w:r>
      <w:r w:rsidRPr="00166698">
        <w:lastRenderedPageBreak/>
        <w:t xml:space="preserve">Court of the relevant jurisdiction to make a declaration </w:t>
      </w:r>
      <w:r w:rsidR="00BD2C7D">
        <w:t>where</w:t>
      </w:r>
      <w:r w:rsidR="00BD2C7D" w:rsidRPr="00166698">
        <w:t xml:space="preserve"> </w:t>
      </w:r>
      <w:r w:rsidRPr="00166698">
        <w:t>an existing law cannot be interpreted consistently with a human right.</w:t>
      </w:r>
      <w:r w:rsidR="000E692B">
        <w:t xml:space="preserve"> </w:t>
      </w:r>
      <w:r>
        <w:t xml:space="preserve"> </w:t>
      </w:r>
      <w:r w:rsidRPr="00662060">
        <w:t>In those circumstances, the declaration is provided to the responsible Minister for them to consider whether to amend the draft law.</w:t>
      </w:r>
    </w:p>
    <w:p w14:paraId="40E86899" w14:textId="6FD1D7A6" w:rsidR="007B7556" w:rsidRPr="007B7556" w:rsidRDefault="00420E48" w:rsidP="00691A8C">
      <w:pPr>
        <w:pStyle w:val="ListNumber"/>
      </w:pPr>
      <w:r>
        <w:t xml:space="preserve">From 1 January 2020, the Queensland Human Rights Commission will be able to take complaints under the </w:t>
      </w:r>
      <w:r w:rsidRPr="00B67E93">
        <w:rPr>
          <w:i/>
          <w:iCs/>
        </w:rPr>
        <w:t>Human Rights Act 2019</w:t>
      </w:r>
      <w:r>
        <w:t xml:space="preserve"> (Qld) about conduct by public entities after that date that is not compatible with human rights, including freedom of thought, conscience, religion and belief.</w:t>
      </w:r>
    </w:p>
    <w:p w14:paraId="652E2F3D" w14:textId="54FC3AD3" w:rsidR="001C04F6" w:rsidRDefault="001E4662" w:rsidP="001C04F6">
      <w:pPr>
        <w:pStyle w:val="Heading1"/>
      </w:pPr>
      <w:bookmarkStart w:id="19" w:name="_Toc20471747"/>
      <w:r>
        <w:t>Scope of the Bill</w:t>
      </w:r>
      <w:bookmarkEnd w:id="19"/>
    </w:p>
    <w:p w14:paraId="7060E520" w14:textId="77777777" w:rsidR="00BC340A" w:rsidRDefault="00BC340A" w:rsidP="00BC340A">
      <w:pPr>
        <w:pStyle w:val="Heading2"/>
      </w:pPr>
      <w:bookmarkStart w:id="20" w:name="_Ref19871045"/>
      <w:bookmarkStart w:id="21" w:name="_Toc20471748"/>
      <w:r>
        <w:t>Definition of employment</w:t>
      </w:r>
      <w:bookmarkEnd w:id="20"/>
      <w:bookmarkEnd w:id="21"/>
    </w:p>
    <w:p w14:paraId="504301EC" w14:textId="77777777" w:rsidR="00BC340A" w:rsidRDefault="00BC340A" w:rsidP="00BC340A">
      <w:pPr>
        <w:pStyle w:val="ListNumber"/>
      </w:pPr>
      <w:r>
        <w:t>The Bill includes a definition of employment that includes volunteer workers and unpaid interns.</w:t>
      </w:r>
      <w:r>
        <w:rPr>
          <w:rStyle w:val="EndnoteReference"/>
        </w:rPr>
        <w:endnoteReference w:id="6"/>
      </w:r>
      <w:r>
        <w:t xml:space="preserve">  The Commission commends the Government for this initiative.</w:t>
      </w:r>
    </w:p>
    <w:p w14:paraId="35AD99F8" w14:textId="77777777" w:rsidR="00BC340A" w:rsidRDefault="00BC340A" w:rsidP="00BC340A">
      <w:pPr>
        <w:pStyle w:val="ListNumber"/>
      </w:pPr>
      <w:r>
        <w:t>The Commission has identified this as a gap in protection across existing Commonwealth discrimination laws.</w:t>
      </w:r>
      <w:r>
        <w:rPr>
          <w:rStyle w:val="EndnoteReference"/>
        </w:rPr>
        <w:endnoteReference w:id="7"/>
      </w:r>
      <w:r>
        <w:t xml:space="preserve">  </w:t>
      </w:r>
    </w:p>
    <w:p w14:paraId="5FF893C3" w14:textId="77777777" w:rsidR="00BC340A" w:rsidRDefault="00BC340A" w:rsidP="00BC340A">
      <w:pPr>
        <w:pStyle w:val="ListNumber"/>
      </w:pPr>
      <w:r>
        <w:t xml:space="preserve">The decision to provide protection to unpaid workers is significant in the context of this Bill, given that there are many volunteers who work for religious organisations.  </w:t>
      </w:r>
    </w:p>
    <w:p w14:paraId="5E49836B" w14:textId="2488ACB0" w:rsidR="00BC340A" w:rsidRDefault="00BC340A" w:rsidP="00BC340A">
      <w:pPr>
        <w:pStyle w:val="ListNumber"/>
      </w:pPr>
      <w:r>
        <w:t>The Commission is of the view that the protection for volunteers and unpaid interns in the Bill should be extended to the other grounds of discrimination covered by Commonwealth discrimination law</w:t>
      </w:r>
      <w:r w:rsidR="002425DF">
        <w:t>s</w:t>
      </w:r>
      <w:r>
        <w:t>.  There are many people who participate in public life as volunteers and they should have the benefit of protection from discrimination.  Similarly, internships are now a common part of higher education courses and can be critically important for young people seeking to enter the workforce.</w:t>
      </w:r>
    </w:p>
    <w:p w14:paraId="45438912" w14:textId="3173EFC6" w:rsidR="00BC340A" w:rsidRDefault="00BC340A" w:rsidP="00BC340A">
      <w:pPr>
        <w:pStyle w:val="ListNumber"/>
      </w:pPr>
      <w:r>
        <w:t>Making this protection uniform would also address potential inconsistencies that may arise in intersectional complaints.  For example, a Buddhist woman who was volunteering for a particular organisation and claimed to be discriminated against on the grounds of her religious belief</w:t>
      </w:r>
      <w:r w:rsidR="002425DF">
        <w:t>,</w:t>
      </w:r>
      <w:r>
        <w:t xml:space="preserve"> and either her race or her sex</w:t>
      </w:r>
      <w:r w:rsidR="002425DF">
        <w:t>,</w:t>
      </w:r>
      <w:r>
        <w:t xml:space="preserve"> would only be able to bring a claim for discrimination on the grounds of her religious belief. </w:t>
      </w:r>
    </w:p>
    <w:p w14:paraId="4AEE5247" w14:textId="77777777" w:rsidR="00BC340A" w:rsidRDefault="00BC340A" w:rsidP="00BC340A">
      <w:pPr>
        <w:pStyle w:val="ListNumber"/>
      </w:pPr>
      <w:r>
        <w:lastRenderedPageBreak/>
        <w:t>Uniform protection could be provided by inserting an equivalent definition of ‘employment’ into the other four Commonwealth discrimination Acts.  This could be done, for example, through inserting appropriate amendments into the Consequential Amendments Bill or the Freedom of Religion Bill.</w:t>
      </w:r>
    </w:p>
    <w:p w14:paraId="33D7465C" w14:textId="77777777" w:rsidR="00BC340A" w:rsidRPr="000B6F04" w:rsidRDefault="00BC340A" w:rsidP="00BC340A">
      <w:pPr>
        <w:pStyle w:val="ListNumber"/>
        <w:keepNext/>
        <w:numPr>
          <w:ilvl w:val="0"/>
          <w:numId w:val="0"/>
        </w:numPr>
        <w:ind w:left="1094"/>
        <w:rPr>
          <w:b/>
          <w:bCs/>
        </w:rPr>
      </w:pPr>
      <w:r w:rsidRPr="000B6F04">
        <w:rPr>
          <w:b/>
          <w:bCs/>
        </w:rPr>
        <w:t>Recommendation 1</w:t>
      </w:r>
    </w:p>
    <w:p w14:paraId="64B305B8" w14:textId="621F7F25" w:rsidR="00BC340A" w:rsidRDefault="00BC340A" w:rsidP="00BC340A">
      <w:pPr>
        <w:pStyle w:val="ListNumber"/>
        <w:numPr>
          <w:ilvl w:val="0"/>
          <w:numId w:val="0"/>
        </w:numPr>
        <w:ind w:left="1094"/>
      </w:pPr>
      <w:r>
        <w:t>The Commission recommends that the protection against discrimination for unpaid workers provided by the Bill also be included in the existing four Commonwealth discrimination Acts</w:t>
      </w:r>
      <w:r w:rsidR="0010250D">
        <w:t xml:space="preserve">, namely the </w:t>
      </w:r>
      <w:r w:rsidR="0010250D" w:rsidRPr="00490658">
        <w:rPr>
          <w:i/>
          <w:iCs/>
        </w:rPr>
        <w:t>Racial Discrimination Act 1975</w:t>
      </w:r>
      <w:r w:rsidR="0010250D">
        <w:t xml:space="preserve"> (</w:t>
      </w:r>
      <w:proofErr w:type="spellStart"/>
      <w:r w:rsidR="0010250D">
        <w:t>Cth</w:t>
      </w:r>
      <w:proofErr w:type="spellEnd"/>
      <w:r w:rsidR="0010250D">
        <w:t xml:space="preserve">), the </w:t>
      </w:r>
      <w:r w:rsidR="0010250D" w:rsidRPr="00490658">
        <w:rPr>
          <w:i/>
          <w:iCs/>
        </w:rPr>
        <w:t>Sex Discrimination Act 1984</w:t>
      </w:r>
      <w:r w:rsidR="0010250D">
        <w:t xml:space="preserve"> (</w:t>
      </w:r>
      <w:proofErr w:type="spellStart"/>
      <w:r w:rsidR="0010250D">
        <w:t>Cth</w:t>
      </w:r>
      <w:proofErr w:type="spellEnd"/>
      <w:r w:rsidR="0010250D">
        <w:t xml:space="preserve">), the </w:t>
      </w:r>
      <w:r w:rsidR="0010250D" w:rsidRPr="00490658">
        <w:rPr>
          <w:i/>
          <w:iCs/>
        </w:rPr>
        <w:t>Disability Discrimination Act 1992</w:t>
      </w:r>
      <w:r w:rsidR="0010250D">
        <w:t xml:space="preserve"> (</w:t>
      </w:r>
      <w:proofErr w:type="spellStart"/>
      <w:r w:rsidR="0010250D">
        <w:t>Cth</w:t>
      </w:r>
      <w:proofErr w:type="spellEnd"/>
      <w:r w:rsidR="0010250D">
        <w:t xml:space="preserve">) and the </w:t>
      </w:r>
      <w:r w:rsidR="0010250D" w:rsidRPr="00490658">
        <w:rPr>
          <w:i/>
          <w:iCs/>
        </w:rPr>
        <w:t>Age Discrimination Act 2004</w:t>
      </w:r>
      <w:r w:rsidR="0010250D">
        <w:t xml:space="preserve"> (</w:t>
      </w:r>
      <w:proofErr w:type="spellStart"/>
      <w:r w:rsidR="0010250D">
        <w:t>Cth</w:t>
      </w:r>
      <w:proofErr w:type="spellEnd"/>
      <w:r w:rsidR="0010250D">
        <w:t>)</w:t>
      </w:r>
      <w:r>
        <w:t>.</w:t>
      </w:r>
    </w:p>
    <w:p w14:paraId="1461304E" w14:textId="67D46C7C" w:rsidR="00F56A39" w:rsidRDefault="00DB43EE" w:rsidP="00F56A39">
      <w:pPr>
        <w:pStyle w:val="Heading2"/>
      </w:pPr>
      <w:bookmarkStart w:id="22" w:name="_Toc20471749"/>
      <w:r>
        <w:t xml:space="preserve">Actions by corporations alleging religious </w:t>
      </w:r>
      <w:r w:rsidR="00F56A39">
        <w:t>discrimination</w:t>
      </w:r>
      <w:bookmarkEnd w:id="22"/>
    </w:p>
    <w:p w14:paraId="0DA76655" w14:textId="0164D58D" w:rsidR="009C4DB6" w:rsidRDefault="007F26E4" w:rsidP="00E81FA1">
      <w:pPr>
        <w:pStyle w:val="ListNumber"/>
      </w:pPr>
      <w:r>
        <w:t>Human rights are the inherent rights of people</w:t>
      </w:r>
      <w:r w:rsidR="00D2122E">
        <w:t xml:space="preserve"> that arise </w:t>
      </w:r>
      <w:r w:rsidR="005602C4">
        <w:t>by reason of our shared humanity</w:t>
      </w:r>
      <w:r w:rsidR="00D2122E">
        <w:t>.</w:t>
      </w:r>
      <w:r w:rsidR="005602C4">
        <w:t xml:space="preserve">  </w:t>
      </w:r>
      <w:r w:rsidR="00301372">
        <w:t>From this</w:t>
      </w:r>
      <w:r w:rsidR="009C4DB6">
        <w:t xml:space="preserve"> mutual </w:t>
      </w:r>
      <w:r w:rsidR="00CB6295">
        <w:t>and reciprocal recognition of equality comes our standards of freedom and justice.</w:t>
      </w:r>
      <w:r w:rsidR="00301372">
        <w:t xml:space="preserve"> </w:t>
      </w:r>
      <w:r w:rsidR="00CB6295">
        <w:t xml:space="preserve"> </w:t>
      </w:r>
      <w:r w:rsidR="005602C4">
        <w:t xml:space="preserve">As the preamble to the Universal Declaration of Human Rights </w:t>
      </w:r>
      <w:r w:rsidR="0074549B">
        <w:t>proclaims</w:t>
      </w:r>
      <w:r w:rsidR="009C4DB6">
        <w:t>:</w:t>
      </w:r>
    </w:p>
    <w:p w14:paraId="7273B62D" w14:textId="5812E23C" w:rsidR="001E4662" w:rsidRDefault="0074549B" w:rsidP="00B54F0C">
      <w:pPr>
        <w:pStyle w:val="Quote"/>
      </w:pPr>
      <w:r>
        <w:t xml:space="preserve">recognition of the inherent dignity and of the equal and inalienable </w:t>
      </w:r>
      <w:r w:rsidR="00B54F0C">
        <w:t>rights of all members of the human family is the foundation of freedom, justice and peace in the world.</w:t>
      </w:r>
    </w:p>
    <w:p w14:paraId="4983F47A" w14:textId="0DF0DB2A" w:rsidR="00A33658" w:rsidRDefault="00137858" w:rsidP="00E81FA1">
      <w:pPr>
        <w:pStyle w:val="ListNumber"/>
      </w:pPr>
      <w:r>
        <w:t xml:space="preserve">The Bill takes the </w:t>
      </w:r>
      <w:r w:rsidR="00B23307">
        <w:t xml:space="preserve">unusual step of extending the scope of protection against discrimination on the grounds of religious belief or activity to bodies corporate.  </w:t>
      </w:r>
      <w:r w:rsidR="00C85CC8">
        <w:t>More specifically, it provides that bodies corporate may make complaints of religious discrimination against</w:t>
      </w:r>
      <w:r w:rsidR="00DC1414">
        <w:t xml:space="preserve"> other corporations or against </w:t>
      </w:r>
      <w:r w:rsidR="00C85CC8">
        <w:t xml:space="preserve">people.  </w:t>
      </w:r>
      <w:r w:rsidR="00B23307">
        <w:t xml:space="preserve">It does this </w:t>
      </w:r>
      <w:r w:rsidR="0095033D">
        <w:t>explicitly through</w:t>
      </w:r>
      <w:r w:rsidR="00A33658">
        <w:t>:</w:t>
      </w:r>
    </w:p>
    <w:p w14:paraId="2C1F2275" w14:textId="765BF865" w:rsidR="0016272B" w:rsidRDefault="00DF7577" w:rsidP="00A33658">
      <w:pPr>
        <w:pStyle w:val="ListNumber"/>
        <w:numPr>
          <w:ilvl w:val="0"/>
          <w:numId w:val="40"/>
        </w:numPr>
      </w:pPr>
      <w:r>
        <w:t xml:space="preserve">the definition of </w:t>
      </w:r>
      <w:r w:rsidR="0095033D">
        <w:t xml:space="preserve">‘person’ </w:t>
      </w:r>
      <w:r>
        <w:t>in clause 5 of the Bill</w:t>
      </w:r>
      <w:r w:rsidR="00F56A39">
        <w:t>, which says that ‘person</w:t>
      </w:r>
      <w:r w:rsidR="0032376C">
        <w:t>’</w:t>
      </w:r>
      <w:r w:rsidR="00F56A39">
        <w:t xml:space="preserve"> has </w:t>
      </w:r>
      <w:r w:rsidR="0032376C">
        <w:t xml:space="preserve">a meaning affected by the </w:t>
      </w:r>
      <w:r w:rsidR="0032376C" w:rsidRPr="0032376C">
        <w:rPr>
          <w:i/>
          <w:iCs/>
        </w:rPr>
        <w:t>Acts Interpretation Act 1901</w:t>
      </w:r>
    </w:p>
    <w:p w14:paraId="0B492878" w14:textId="10E18CC4" w:rsidR="00A33658" w:rsidRDefault="00A33658" w:rsidP="00A33658">
      <w:pPr>
        <w:pStyle w:val="ListNumber"/>
        <w:numPr>
          <w:ilvl w:val="0"/>
          <w:numId w:val="40"/>
        </w:numPr>
      </w:pPr>
      <w:r>
        <w:t xml:space="preserve">the Note to the definition of ‘person’ which </w:t>
      </w:r>
      <w:r w:rsidR="00FF5067">
        <w:t>provides that: ‘[u]</w:t>
      </w:r>
      <w:proofErr w:type="spellStart"/>
      <w:r w:rsidR="00FF5067">
        <w:t>nder</w:t>
      </w:r>
      <w:proofErr w:type="spellEnd"/>
      <w:r w:rsidR="00FF5067">
        <w:t xml:space="preserve"> </w:t>
      </w:r>
      <w:r w:rsidR="00EC5630">
        <w:t xml:space="preserve">s 2C of the </w:t>
      </w:r>
      <w:r w:rsidR="00EC5630" w:rsidRPr="0045798B">
        <w:rPr>
          <w:i/>
          <w:iCs/>
        </w:rPr>
        <w:t xml:space="preserve">Acts Interpretation Act </w:t>
      </w:r>
      <w:r w:rsidR="0045798B" w:rsidRPr="0045798B">
        <w:rPr>
          <w:i/>
          <w:iCs/>
        </w:rPr>
        <w:t>1901</w:t>
      </w:r>
      <w:r w:rsidR="0045798B">
        <w:t xml:space="preserve">, an expression that is used to denote a person includes a body corporate, which may </w:t>
      </w:r>
      <w:r w:rsidR="00F261D8">
        <w:t>include a religious body or other religious institution</w:t>
      </w:r>
      <w:r w:rsidR="0045798B">
        <w:t>’</w:t>
      </w:r>
    </w:p>
    <w:p w14:paraId="130F914F" w14:textId="50C49D74" w:rsidR="00F261D8" w:rsidRDefault="00F261D8" w:rsidP="00A33658">
      <w:pPr>
        <w:pStyle w:val="ListNumber"/>
        <w:numPr>
          <w:ilvl w:val="0"/>
          <w:numId w:val="40"/>
        </w:numPr>
      </w:pPr>
      <w:r>
        <w:t xml:space="preserve">the Explanatory </w:t>
      </w:r>
      <w:r w:rsidR="00B92BE2">
        <w:t>Notes to the Bill, particularly at [77]</w:t>
      </w:r>
      <w:r w:rsidR="00EE0A7B">
        <w:t>,</w:t>
      </w:r>
      <w:r w:rsidR="00B92BE2">
        <w:t xml:space="preserve"> which s</w:t>
      </w:r>
      <w:r w:rsidR="00215061">
        <w:t xml:space="preserve">ays that ‘it is open for a body corporate to make a complaint under </w:t>
      </w:r>
      <w:r w:rsidR="00215061">
        <w:lastRenderedPageBreak/>
        <w:t xml:space="preserve">this Act alleging that it has been discriminated against </w:t>
      </w:r>
      <w:proofErr w:type="gramStart"/>
      <w:r w:rsidR="00215061">
        <w:t>on the basis of</w:t>
      </w:r>
      <w:proofErr w:type="gramEnd"/>
      <w:r w:rsidR="00215061">
        <w:t xml:space="preserve"> its religious belief or activity’.</w:t>
      </w:r>
    </w:p>
    <w:p w14:paraId="158BC6F3" w14:textId="111FA090" w:rsidR="00B23307" w:rsidRDefault="00215061" w:rsidP="00E81FA1">
      <w:pPr>
        <w:pStyle w:val="ListNumber"/>
      </w:pPr>
      <w:r>
        <w:t xml:space="preserve">It </w:t>
      </w:r>
      <w:r w:rsidR="00EE0A7B">
        <w:t xml:space="preserve">is difficult to understand how </w:t>
      </w:r>
      <w:r>
        <w:t xml:space="preserve">a corporation </w:t>
      </w:r>
      <w:r w:rsidR="00EE0A7B">
        <w:t xml:space="preserve">could </w:t>
      </w:r>
      <w:r>
        <w:t xml:space="preserve">have a religious </w:t>
      </w:r>
      <w:r w:rsidR="00EE0A7B">
        <w:t xml:space="preserve">or any other </w:t>
      </w:r>
      <w:r>
        <w:t>belief</w:t>
      </w:r>
      <w:r w:rsidR="0022307E">
        <w:t>.  Corporations have ‘neither soul nor body’ and can only act through the agency of individuals.</w:t>
      </w:r>
      <w:r w:rsidR="00D17DC0">
        <w:rPr>
          <w:rStyle w:val="EndnoteReference"/>
        </w:rPr>
        <w:endnoteReference w:id="8"/>
      </w:r>
      <w:r w:rsidR="0022307E">
        <w:t xml:space="preserve"> </w:t>
      </w:r>
      <w:r w:rsidR="0008435D">
        <w:t xml:space="preserve"> </w:t>
      </w:r>
      <w:r w:rsidR="004F5F11">
        <w:t>A key</w:t>
      </w:r>
      <w:r w:rsidR="00F614D6">
        <w:t xml:space="preserve"> rationale for adopting a corporate structure, particularly that of a limited liability company, is to separate the legal personality and </w:t>
      </w:r>
      <w:r w:rsidR="0037738E">
        <w:t>responsibility of the company from that of its shareholders</w:t>
      </w:r>
      <w:r w:rsidR="00C21256">
        <w:t xml:space="preserve"> or members</w:t>
      </w:r>
      <w:r w:rsidR="0037738E">
        <w:t xml:space="preserve">. </w:t>
      </w:r>
    </w:p>
    <w:p w14:paraId="018CAE17" w14:textId="4E330EED" w:rsidR="007811AF" w:rsidRDefault="007811AF" w:rsidP="00E81FA1">
      <w:pPr>
        <w:pStyle w:val="ListNumber"/>
      </w:pPr>
      <w:r>
        <w:t xml:space="preserve">In the Commission’s view, </w:t>
      </w:r>
      <w:r w:rsidR="005E2C23">
        <w:t xml:space="preserve">protection </w:t>
      </w:r>
      <w:r w:rsidR="00EE0A7B">
        <w:t>against</w:t>
      </w:r>
      <w:r w:rsidR="005E2C23">
        <w:t xml:space="preserve"> discrimination </w:t>
      </w:r>
      <w:proofErr w:type="gramStart"/>
      <w:r w:rsidR="005E2C23">
        <w:t>on the basis of</w:t>
      </w:r>
      <w:proofErr w:type="gramEnd"/>
      <w:r w:rsidR="005E2C23">
        <w:t xml:space="preserve"> ‘religious activity’ should be confined to </w:t>
      </w:r>
      <w:r w:rsidR="00D0479F">
        <w:t>activity engaged in by natural pe</w:t>
      </w:r>
      <w:r w:rsidR="00F77098">
        <w:t>rsons</w:t>
      </w:r>
      <w:r w:rsidR="00D0479F">
        <w:t xml:space="preserve"> </w:t>
      </w:r>
      <w:r w:rsidR="000A688A">
        <w:t>on the basis of their religious belief (or lack thereof).</w:t>
      </w:r>
      <w:r w:rsidR="00AB16C0">
        <w:t xml:space="preserve">  </w:t>
      </w:r>
      <w:r w:rsidR="00B45EE9">
        <w:t xml:space="preserve">Human rights are designed to protect innately human characteristics, especially dignity.  </w:t>
      </w:r>
      <w:r w:rsidR="00F77098">
        <w:t xml:space="preserve">It is </w:t>
      </w:r>
      <w:r w:rsidR="00B45EE9">
        <w:t xml:space="preserve">therefore </w:t>
      </w:r>
      <w:r w:rsidR="00F77098">
        <w:t xml:space="preserve">an axiomatic principle of international law that human rights extend only to humans.  This principle is reflected in existing </w:t>
      </w:r>
      <w:r w:rsidR="00AB16C0">
        <w:t>Commonwealth discrimination law</w:t>
      </w:r>
      <w:r w:rsidR="00354946">
        <w:t>s</w:t>
      </w:r>
      <w:r w:rsidR="00AB16C0">
        <w:t>.</w:t>
      </w:r>
      <w:r w:rsidR="00F77098">
        <w:t xml:space="preserve">  This principle </w:t>
      </w:r>
      <w:r w:rsidR="007D5A26">
        <w:t>is applied</w:t>
      </w:r>
      <w:r w:rsidR="00F77098">
        <w:t xml:space="preserve"> also in Australian law dealing with </w:t>
      </w:r>
      <w:r w:rsidR="007D5A26">
        <w:t>other human rights</w:t>
      </w:r>
      <w:r w:rsidR="002425DF">
        <w:t>,</w:t>
      </w:r>
      <w:r w:rsidR="007D5A26">
        <w:t xml:space="preserve"> </w:t>
      </w:r>
      <w:r w:rsidR="00F77098">
        <w:t>such as privacy.</w:t>
      </w:r>
    </w:p>
    <w:p w14:paraId="5ACB4955" w14:textId="03B16E9D" w:rsidR="00FE4DAD" w:rsidRDefault="003C6A37" w:rsidP="00E81FA1">
      <w:pPr>
        <w:pStyle w:val="ListNumber"/>
      </w:pPr>
      <w:r>
        <w:t xml:space="preserve">An important aspect of religion is that it is practised both individually and communally. </w:t>
      </w:r>
      <w:r w:rsidR="00EE0A7B">
        <w:t>I</w:t>
      </w:r>
      <w:r>
        <w:t>n this context, i</w:t>
      </w:r>
      <w:r w:rsidR="004977C6">
        <w:t>t is possible that</w:t>
      </w:r>
      <w:r w:rsidR="00EE0A7B">
        <w:t xml:space="preserve"> the Bill’s expansive definition of ‘person’ is intended to provide a simple means for a group of individuals, who have suffered discrimination </w:t>
      </w:r>
      <w:proofErr w:type="gramStart"/>
      <w:r w:rsidR="00EE0A7B">
        <w:t>on the basis of</w:t>
      </w:r>
      <w:proofErr w:type="gramEnd"/>
      <w:r w:rsidR="00EE0A7B">
        <w:t xml:space="preserve"> their religion, to make a single complaint</w:t>
      </w:r>
      <w:r w:rsidR="004977C6">
        <w:t>.</w:t>
      </w:r>
      <w:r w:rsidR="00EE0A7B">
        <w:t xml:space="preserve"> </w:t>
      </w:r>
      <w:r w:rsidR="004977C6">
        <w:t xml:space="preserve"> However, the </w:t>
      </w:r>
      <w:r w:rsidR="00B45EE9" w:rsidRPr="006F28F6">
        <w:rPr>
          <w:i/>
        </w:rPr>
        <w:t>Australian Human Rights Commission Act</w:t>
      </w:r>
      <w:r w:rsidR="00F75E07">
        <w:rPr>
          <w:i/>
        </w:rPr>
        <w:t xml:space="preserve"> 1986 </w:t>
      </w:r>
      <w:r w:rsidR="00F75E07">
        <w:t>(</w:t>
      </w:r>
      <w:proofErr w:type="spellStart"/>
      <w:r w:rsidR="00F75E07">
        <w:t>Cth</w:t>
      </w:r>
      <w:proofErr w:type="spellEnd"/>
      <w:r w:rsidR="00F75E07">
        <w:t>) (AHRC Act)</w:t>
      </w:r>
      <w:r w:rsidR="004977C6">
        <w:t xml:space="preserve"> already </w:t>
      </w:r>
      <w:r w:rsidR="00B45EE9">
        <w:t xml:space="preserve">provides for this </w:t>
      </w:r>
      <w:r w:rsidR="004977C6">
        <w:t>in a manner that would not cause the problem</w:t>
      </w:r>
      <w:r w:rsidR="00B45EE9">
        <w:t>s</w:t>
      </w:r>
      <w:r w:rsidR="004977C6">
        <w:t xml:space="preserve"> adverted to above.  For example, a</w:t>
      </w:r>
      <w:r w:rsidR="009F19B4">
        <w:t xml:space="preserve"> complaint of discrimination may be made </w:t>
      </w:r>
      <w:r w:rsidR="00290A4E">
        <w:t xml:space="preserve">to the Commission </w:t>
      </w:r>
      <w:r w:rsidR="009F19B4">
        <w:t xml:space="preserve">on behalf of a ‘person aggrieved’ by </w:t>
      </w:r>
      <w:r w:rsidR="006B0234">
        <w:t>particular conduct, being a person who alleges that they have been discriminated against.</w:t>
      </w:r>
      <w:r w:rsidR="00584739">
        <w:rPr>
          <w:rStyle w:val="EndnoteReference"/>
        </w:rPr>
        <w:endnoteReference w:id="9"/>
      </w:r>
      <w:r w:rsidR="006B0234">
        <w:t xml:space="preserve">  </w:t>
      </w:r>
      <w:r w:rsidR="008F470B">
        <w:t>An individual</w:t>
      </w:r>
      <w:r w:rsidR="009B6FA9">
        <w:t>, a union</w:t>
      </w:r>
      <w:r w:rsidR="008F470B">
        <w:t xml:space="preserve"> or a </w:t>
      </w:r>
      <w:r w:rsidR="008810E7">
        <w:t xml:space="preserve">corporate entity </w:t>
      </w:r>
      <w:r w:rsidR="008F470B">
        <w:t>may</w:t>
      </w:r>
      <w:r w:rsidR="00823D2D">
        <w:t xml:space="preserve"> </w:t>
      </w:r>
      <w:r w:rsidR="006B0234">
        <w:t xml:space="preserve">also </w:t>
      </w:r>
      <w:r w:rsidR="00F85E9A">
        <w:t xml:space="preserve">make a complaint to the Commission on behalf of </w:t>
      </w:r>
      <w:r w:rsidR="006B0234">
        <w:t xml:space="preserve">one or more </w:t>
      </w:r>
      <w:r w:rsidR="009B6FA9">
        <w:t xml:space="preserve">other people who </w:t>
      </w:r>
      <w:r w:rsidR="00002164">
        <w:t xml:space="preserve">are </w:t>
      </w:r>
      <w:r w:rsidR="00805E97">
        <w:t>‘persons aggrieved’</w:t>
      </w:r>
      <w:r w:rsidR="0021746B">
        <w:t>.</w:t>
      </w:r>
      <w:r w:rsidR="00922BF1">
        <w:rPr>
          <w:rStyle w:val="EndnoteReference"/>
        </w:rPr>
        <w:endnoteReference w:id="10"/>
      </w:r>
      <w:r w:rsidR="0021746B">
        <w:t xml:space="preserve"> </w:t>
      </w:r>
      <w:r w:rsidR="00895B3F">
        <w:t xml:space="preserve"> </w:t>
      </w:r>
      <w:r w:rsidR="00BC1519">
        <w:t xml:space="preserve">If conciliation by the Commission is not successful, an application </w:t>
      </w:r>
      <w:r w:rsidR="007F592E">
        <w:t xml:space="preserve">may be made </w:t>
      </w:r>
      <w:r w:rsidR="00BC1519">
        <w:t>to the Court by a</w:t>
      </w:r>
      <w:r w:rsidR="00DC33F2">
        <w:t xml:space="preserve">n ‘affected person’, being a person on whose behalf </w:t>
      </w:r>
      <w:r w:rsidR="00BC1519">
        <w:t xml:space="preserve">the </w:t>
      </w:r>
      <w:r w:rsidR="00DC33F2">
        <w:t>complaint was lodged</w:t>
      </w:r>
      <w:r w:rsidR="00BC1519">
        <w:t>.</w:t>
      </w:r>
      <w:r w:rsidR="00FB0886">
        <w:rPr>
          <w:rStyle w:val="EndnoteReference"/>
        </w:rPr>
        <w:endnoteReference w:id="11"/>
      </w:r>
      <w:r w:rsidR="00BC1519">
        <w:t xml:space="preserve"> </w:t>
      </w:r>
      <w:r w:rsidR="00DC33F2">
        <w:t xml:space="preserve"> </w:t>
      </w:r>
      <w:r w:rsidR="00351F35">
        <w:t>Such complaints may also be brought as representative proceedings.</w:t>
      </w:r>
      <w:r w:rsidR="005A68B7">
        <w:rPr>
          <w:rStyle w:val="EndnoteReference"/>
        </w:rPr>
        <w:endnoteReference w:id="12"/>
      </w:r>
    </w:p>
    <w:p w14:paraId="04FD78D0" w14:textId="44ADD7E1" w:rsidR="00D252B7" w:rsidRDefault="00B45EE9" w:rsidP="00E81FA1">
      <w:pPr>
        <w:pStyle w:val="ListNumber"/>
      </w:pPr>
      <w:r>
        <w:t>For instance, t</w:t>
      </w:r>
      <w:r w:rsidR="00C21256">
        <w:t xml:space="preserve">hese provisions </w:t>
      </w:r>
      <w:r>
        <w:t xml:space="preserve">were </w:t>
      </w:r>
      <w:r w:rsidR="00C21256">
        <w:t xml:space="preserve">used to allow </w:t>
      </w:r>
      <w:r w:rsidR="00BE330C">
        <w:t xml:space="preserve">Mr </w:t>
      </w:r>
      <w:r w:rsidR="0016171B">
        <w:t xml:space="preserve">Jeremy Jones, </w:t>
      </w:r>
      <w:r w:rsidR="00E27235">
        <w:t>the Executive Vice President of the Executive Council of Australian Jewry</w:t>
      </w:r>
      <w:r w:rsidR="00BE330C">
        <w:t xml:space="preserve">, </w:t>
      </w:r>
      <w:r w:rsidR="00E27235">
        <w:t xml:space="preserve">to </w:t>
      </w:r>
      <w:r w:rsidR="008E41FB">
        <w:t xml:space="preserve">make a complaint </w:t>
      </w:r>
      <w:r w:rsidR="00E27235">
        <w:t>on</w:t>
      </w:r>
      <w:r w:rsidR="00A45846">
        <w:t xml:space="preserve"> </w:t>
      </w:r>
      <w:r w:rsidR="007B0A41">
        <w:t xml:space="preserve">behalf </w:t>
      </w:r>
      <w:r w:rsidR="00E27235">
        <w:t xml:space="preserve">of </w:t>
      </w:r>
      <w:r w:rsidR="00253DD1">
        <w:t>Jewish people in Launceston</w:t>
      </w:r>
      <w:r w:rsidR="008C74A8">
        <w:t xml:space="preserve"> alleging racial hatred</w:t>
      </w:r>
      <w:r w:rsidR="00253DD1">
        <w:t>.</w:t>
      </w:r>
      <w:r w:rsidR="004819EC">
        <w:t xml:space="preserve">  Mr Jones was </w:t>
      </w:r>
      <w:r w:rsidR="00593113">
        <w:t xml:space="preserve">also </w:t>
      </w:r>
      <w:r w:rsidR="004819EC">
        <w:t>a ‘person aggrieved’</w:t>
      </w:r>
      <w:r w:rsidR="00DA5B65">
        <w:t>,</w:t>
      </w:r>
      <w:r w:rsidR="004819EC">
        <w:t xml:space="preserve"> </w:t>
      </w:r>
      <w:r w:rsidR="00754A8E">
        <w:t>including because of his representative role.</w:t>
      </w:r>
      <w:r w:rsidR="00B46359">
        <w:rPr>
          <w:rStyle w:val="EndnoteReference"/>
        </w:rPr>
        <w:endnoteReference w:id="13"/>
      </w:r>
      <w:r w:rsidR="00E20D95">
        <w:t xml:space="preserve">  </w:t>
      </w:r>
      <w:r w:rsidR="005A6066">
        <w:t>By contrast</w:t>
      </w:r>
      <w:r w:rsidR="00FE4DAD">
        <w:t>,</w:t>
      </w:r>
      <w:r w:rsidR="005A6066">
        <w:t xml:space="preserve"> in a different matter,</w:t>
      </w:r>
      <w:r w:rsidR="00FE4DAD">
        <w:t xml:space="preserve"> </w:t>
      </w:r>
      <w:r w:rsidR="0017508D">
        <w:t>a</w:t>
      </w:r>
      <w:r w:rsidR="00B151C0">
        <w:t xml:space="preserve"> volunteer</w:t>
      </w:r>
      <w:r w:rsidR="0017508D">
        <w:t xml:space="preserve"> incorporated association </w:t>
      </w:r>
      <w:r w:rsidR="00B151C0">
        <w:t xml:space="preserve">established to advocate for </w:t>
      </w:r>
      <w:r w:rsidR="00506487">
        <w:lastRenderedPageBreak/>
        <w:t xml:space="preserve">equitable access to premises and facilities did not have standing </w:t>
      </w:r>
      <w:r w:rsidR="00EA4554">
        <w:t xml:space="preserve">itself </w:t>
      </w:r>
      <w:r w:rsidR="00506487">
        <w:t xml:space="preserve">as a ‘person aggrieved’ to </w:t>
      </w:r>
      <w:r w:rsidR="00DF6FE1">
        <w:t xml:space="preserve">complain that council bus stops failed to comply with </w:t>
      </w:r>
      <w:r w:rsidR="00A066A6">
        <w:t>the relevant standard</w:t>
      </w:r>
      <w:r w:rsidR="005A6066">
        <w:t xml:space="preserve"> under the </w:t>
      </w:r>
      <w:r w:rsidR="005A6066" w:rsidRPr="00FC6F66">
        <w:rPr>
          <w:i/>
          <w:iCs/>
        </w:rPr>
        <w:t>Disability Discrimination Act 1992</w:t>
      </w:r>
      <w:r w:rsidR="005A6066">
        <w:t xml:space="preserve"> (</w:t>
      </w:r>
      <w:proofErr w:type="spellStart"/>
      <w:r w:rsidR="005A6066">
        <w:t>Cth</w:t>
      </w:r>
      <w:proofErr w:type="spellEnd"/>
      <w:r w:rsidR="005A6066">
        <w:t>) (</w:t>
      </w:r>
      <w:r w:rsidR="005A6066" w:rsidRPr="00A96A06">
        <w:t>DDA</w:t>
      </w:r>
      <w:r w:rsidR="005A6066">
        <w:t>)</w:t>
      </w:r>
      <w:r w:rsidR="00A066A6">
        <w:t>.</w:t>
      </w:r>
      <w:r w:rsidR="00831151">
        <w:rPr>
          <w:rStyle w:val="EndnoteReference"/>
        </w:rPr>
        <w:endnoteReference w:id="14"/>
      </w:r>
      <w:r w:rsidR="00EA4554">
        <w:t xml:space="preserve">  </w:t>
      </w:r>
    </w:p>
    <w:p w14:paraId="3799CF1A" w14:textId="26E87242" w:rsidR="00FB3F3C" w:rsidRDefault="007E0EA5" w:rsidP="00E81FA1">
      <w:pPr>
        <w:pStyle w:val="ListNumber"/>
      </w:pPr>
      <w:r>
        <w:t xml:space="preserve">These cases highlight the difference between corporations </w:t>
      </w:r>
      <w:r w:rsidR="00E41E9F">
        <w:t xml:space="preserve">seeking to </w:t>
      </w:r>
      <w:r>
        <w:t xml:space="preserve">bring discrimination </w:t>
      </w:r>
      <w:proofErr w:type="gramStart"/>
      <w:r>
        <w:t>claims in their own right, and</w:t>
      </w:r>
      <w:proofErr w:type="gramEnd"/>
      <w:r>
        <w:t xml:space="preserve"> </w:t>
      </w:r>
      <w:r w:rsidR="002D03FF">
        <w:t>representative proceedings dealing with discrimination against individuals</w:t>
      </w:r>
      <w:r w:rsidR="00CC36A5">
        <w:t xml:space="preserve">.  </w:t>
      </w:r>
      <w:r w:rsidR="00ED5897">
        <w:t xml:space="preserve">The Commission considers that </w:t>
      </w:r>
      <w:r w:rsidR="0074501C">
        <w:t xml:space="preserve">a </w:t>
      </w:r>
      <w:r w:rsidR="005A6066">
        <w:t xml:space="preserve">religious body, such as a </w:t>
      </w:r>
      <w:r w:rsidR="0074501C">
        <w:t>church</w:t>
      </w:r>
      <w:r w:rsidR="005A6066">
        <w:t>,</w:t>
      </w:r>
      <w:r w:rsidR="0074501C">
        <w:t xml:space="preserve"> </w:t>
      </w:r>
      <w:r w:rsidR="00ED5897">
        <w:t xml:space="preserve">should be able to </w:t>
      </w:r>
      <w:r w:rsidR="00767C21">
        <w:t xml:space="preserve">make a complaint </w:t>
      </w:r>
      <w:r w:rsidR="0074501C">
        <w:t xml:space="preserve">on behalf of </w:t>
      </w:r>
      <w:r w:rsidR="00BA5BB1">
        <w:t>its members who ha</w:t>
      </w:r>
      <w:r w:rsidR="009A7450">
        <w:t>ve</w:t>
      </w:r>
      <w:r w:rsidR="00BA5BB1">
        <w:t xml:space="preserve"> been subjected to discrimination </w:t>
      </w:r>
      <w:proofErr w:type="gramStart"/>
      <w:r w:rsidR="00BA5BB1">
        <w:t>on the basis of</w:t>
      </w:r>
      <w:proofErr w:type="gramEnd"/>
      <w:r w:rsidR="00BA5BB1">
        <w:t xml:space="preserve"> their religious beliefs or activities.  </w:t>
      </w:r>
      <w:r w:rsidR="00911B48">
        <w:t xml:space="preserve">If it were necessary for such a complaint to go to court, this could be done by way of a representative proceeding.  </w:t>
      </w:r>
      <w:r w:rsidR="00BA5BB1">
        <w:t>However,</w:t>
      </w:r>
      <w:r w:rsidR="008810E7">
        <w:t xml:space="preserve"> </w:t>
      </w:r>
      <w:r w:rsidR="008F470B">
        <w:t xml:space="preserve">it would be a </w:t>
      </w:r>
      <w:r w:rsidR="00C83582">
        <w:t xml:space="preserve">significant </w:t>
      </w:r>
      <w:r w:rsidR="008F470B">
        <w:t>depart</w:t>
      </w:r>
      <w:r w:rsidR="00BA5BB1">
        <w:t>ure from existing discrimination law</w:t>
      </w:r>
      <w:r w:rsidR="005A6066">
        <w:t>, and from human rights law as protecting only humans,</w:t>
      </w:r>
      <w:r w:rsidR="00BA5BB1">
        <w:t xml:space="preserve"> to allow corporations to bring actions </w:t>
      </w:r>
      <w:r w:rsidR="00DE3A5D">
        <w:t xml:space="preserve">for religious </w:t>
      </w:r>
      <w:proofErr w:type="gramStart"/>
      <w:r w:rsidR="00DE3A5D">
        <w:t>discrimination in their own right</w:t>
      </w:r>
      <w:proofErr w:type="gramEnd"/>
      <w:r w:rsidR="00DE3A5D">
        <w:t xml:space="preserve">. </w:t>
      </w:r>
    </w:p>
    <w:p w14:paraId="5265572E" w14:textId="531BC314" w:rsidR="005B6B4A" w:rsidRDefault="00D56202" w:rsidP="00A21EFE">
      <w:pPr>
        <w:pStyle w:val="ListNumber"/>
      </w:pPr>
      <w:r>
        <w:t>In other Commonwealth discrimination law</w:t>
      </w:r>
      <w:r w:rsidR="00DA5B65">
        <w:t>s</w:t>
      </w:r>
      <w:r>
        <w:t xml:space="preserve">, the term ‘person’ is used when speaking about </w:t>
      </w:r>
      <w:r w:rsidR="000F14C9">
        <w:t xml:space="preserve">both </w:t>
      </w:r>
      <w:r>
        <w:t>someone engaging in discrimina</w:t>
      </w:r>
      <w:r w:rsidR="005A6066">
        <w:t>tory conduct</w:t>
      </w:r>
      <w:r>
        <w:t xml:space="preserve"> and someone who is</w:t>
      </w:r>
      <w:r w:rsidR="00CF6464">
        <w:t xml:space="preserve"> discriminated against</w:t>
      </w:r>
      <w:r w:rsidR="00B654C0">
        <w:t xml:space="preserve">.  However, it is clear from the context of those other laws that </w:t>
      </w:r>
      <w:r w:rsidR="00F27AD3">
        <w:t xml:space="preserve">the </w:t>
      </w:r>
      <w:r w:rsidR="00816E42">
        <w:t xml:space="preserve">person discriminated against </w:t>
      </w:r>
      <w:r w:rsidR="005A6066">
        <w:t xml:space="preserve">can be only </w:t>
      </w:r>
      <w:r w:rsidR="00F27AD3">
        <w:t xml:space="preserve">a natural person.  In part, this is </w:t>
      </w:r>
      <w:r w:rsidR="000F7324">
        <w:t xml:space="preserve">clear from the </w:t>
      </w:r>
      <w:r w:rsidR="00004E9D">
        <w:t>prohibited grounds of discrimination.  A natural person can have a race, a sex, a sexual orientation, a gender identity</w:t>
      </w:r>
      <w:r w:rsidR="00F63257">
        <w:t>, an intersex status, a marital or relationship status</w:t>
      </w:r>
      <w:r w:rsidR="001732A4">
        <w:t>,</w:t>
      </w:r>
      <w:r w:rsidR="00F25307">
        <w:t xml:space="preserve"> or a disability.  A natural person can be pregnant or breastfeeding.  A corporation </w:t>
      </w:r>
      <w:r w:rsidR="001732A4">
        <w:t xml:space="preserve">can have none of these characteristics.  While </w:t>
      </w:r>
      <w:r w:rsidR="00B35580">
        <w:t xml:space="preserve">a corporation could be said to have an age, it would be </w:t>
      </w:r>
      <w:r w:rsidR="002632B0">
        <w:t xml:space="preserve">incongruous </w:t>
      </w:r>
      <w:r w:rsidR="00B35580">
        <w:t xml:space="preserve">to suggest that the </w:t>
      </w:r>
      <w:r w:rsidR="00B35580" w:rsidRPr="00A21EFE">
        <w:rPr>
          <w:i/>
          <w:iCs/>
        </w:rPr>
        <w:t>Age Discrimination Act 2004</w:t>
      </w:r>
      <w:r w:rsidR="00B35580">
        <w:t xml:space="preserve"> (</w:t>
      </w:r>
      <w:proofErr w:type="spellStart"/>
      <w:r w:rsidR="00B35580">
        <w:t>Cth</w:t>
      </w:r>
      <w:proofErr w:type="spellEnd"/>
      <w:r w:rsidR="00B35580">
        <w:t xml:space="preserve">) extends to the protection of </w:t>
      </w:r>
      <w:r w:rsidR="00A21EFE">
        <w:t>discrimination against corporations, whether young or old.</w:t>
      </w:r>
    </w:p>
    <w:p w14:paraId="67D891D1" w14:textId="060ECBFB" w:rsidR="00A21EFE" w:rsidRDefault="000F6376" w:rsidP="00A21EFE">
      <w:pPr>
        <w:pStyle w:val="ListNumber"/>
      </w:pPr>
      <w:r>
        <w:t xml:space="preserve">The </w:t>
      </w:r>
      <w:r w:rsidR="00EC3650">
        <w:t xml:space="preserve">focus of </w:t>
      </w:r>
      <w:r w:rsidR="00DA5B65">
        <w:t xml:space="preserve">the </w:t>
      </w:r>
      <w:r w:rsidR="0000705B">
        <w:t xml:space="preserve">protection of natural persons is also clear from the </w:t>
      </w:r>
      <w:r w:rsidR="00E75BC5">
        <w:t xml:space="preserve">provisions of other Commonwealth discrimination laws that set out the constitutional basis for </w:t>
      </w:r>
      <w:r w:rsidR="006E0D7F">
        <w:t>their operation.  In all cases, the primary constitutional source is the external affairs power in s </w:t>
      </w:r>
      <w:r w:rsidR="00F81861">
        <w:t xml:space="preserve">51(xxix) of the </w:t>
      </w:r>
      <w:r w:rsidR="00E95609">
        <w:t>Constitution</w:t>
      </w:r>
      <w:r w:rsidR="00DA5B65">
        <w:t>,</w:t>
      </w:r>
      <w:r w:rsidR="00E95609">
        <w:t xml:space="preserve"> because the laws seek to enact into domestic law </w:t>
      </w:r>
      <w:r w:rsidR="00092BC9">
        <w:t xml:space="preserve">some of </w:t>
      </w:r>
      <w:r w:rsidR="00E95609">
        <w:t xml:space="preserve">Australia’s international obligations agreed through the </w:t>
      </w:r>
      <w:r w:rsidR="0010304E">
        <w:t>ratification of human rights treaties.</w:t>
      </w:r>
      <w:r w:rsidR="00736257">
        <w:rPr>
          <w:rStyle w:val="EndnoteReference"/>
        </w:rPr>
        <w:endnoteReference w:id="15"/>
      </w:r>
      <w:r w:rsidR="002F779A">
        <w:t xml:space="preserve">  </w:t>
      </w:r>
      <w:r w:rsidR="00C53C46">
        <w:t>The same is true of the present Bill.</w:t>
      </w:r>
      <w:r w:rsidR="00C53C46">
        <w:rPr>
          <w:rStyle w:val="EndnoteReference"/>
        </w:rPr>
        <w:endnoteReference w:id="16"/>
      </w:r>
      <w:r w:rsidR="00C53C46">
        <w:t xml:space="preserve">  </w:t>
      </w:r>
      <w:r w:rsidR="002F779A">
        <w:t>Those human rights treaties, in turn, relate to the rights of natural persons within the territory or jurisdiction of Australia.</w:t>
      </w:r>
      <w:r w:rsidR="00320F01">
        <w:rPr>
          <w:rStyle w:val="EndnoteReference"/>
        </w:rPr>
        <w:endnoteReference w:id="17"/>
      </w:r>
    </w:p>
    <w:p w14:paraId="1C90EF49" w14:textId="6CF235AB" w:rsidR="00287FED" w:rsidRDefault="00287FED" w:rsidP="00A21EFE">
      <w:pPr>
        <w:pStyle w:val="ListNumber"/>
      </w:pPr>
      <w:r>
        <w:lastRenderedPageBreak/>
        <w:t>Where</w:t>
      </w:r>
      <w:r w:rsidR="0084143F">
        <w:t xml:space="preserve"> the corporations power in s </w:t>
      </w:r>
      <w:r w:rsidR="00C1483A">
        <w:t xml:space="preserve">51(xx) of the Constitution is </w:t>
      </w:r>
      <w:r>
        <w:t>relied on</w:t>
      </w:r>
      <w:r w:rsidR="003A0449">
        <w:t xml:space="preserve"> for validity</w:t>
      </w:r>
      <w:r w:rsidR="00011F67">
        <w:t xml:space="preserve"> in other Commonwealth discrimination laws</w:t>
      </w:r>
      <w:r>
        <w:t xml:space="preserve">, </w:t>
      </w:r>
      <w:r w:rsidR="0029281C">
        <w:t xml:space="preserve">this is limited to </w:t>
      </w:r>
      <w:r w:rsidR="006F59D1">
        <w:t xml:space="preserve">ensuring that the </w:t>
      </w:r>
      <w:r w:rsidR="00201FBE">
        <w:t xml:space="preserve">relevant </w:t>
      </w:r>
      <w:r w:rsidR="006F59D1">
        <w:t xml:space="preserve">provisions apply to discrimination by a corporation, or by a person </w:t>
      </w:r>
      <w:r w:rsidR="006229D3">
        <w:t>employed by a corporation</w:t>
      </w:r>
      <w:r w:rsidR="00145163">
        <w:t>.</w:t>
      </w:r>
      <w:r w:rsidR="003173A0">
        <w:rPr>
          <w:rStyle w:val="EndnoteReference"/>
        </w:rPr>
        <w:endnoteReference w:id="18"/>
      </w:r>
      <w:r w:rsidR="00145163">
        <w:t xml:space="preserve">  </w:t>
      </w:r>
      <w:r w:rsidR="006229D3">
        <w:t>The same is true of the present Bill</w:t>
      </w:r>
      <w:r w:rsidR="00CE62B8">
        <w:t xml:space="preserve">, although it also extends </w:t>
      </w:r>
      <w:r w:rsidR="005C7E92">
        <w:t>the</w:t>
      </w:r>
      <w:r w:rsidR="00CE62B8">
        <w:t xml:space="preserve"> operation </w:t>
      </w:r>
      <w:r w:rsidR="005C7E92">
        <w:t xml:space="preserve">of the Bill </w:t>
      </w:r>
      <w:r w:rsidR="00CE62B8">
        <w:t xml:space="preserve">so that </w:t>
      </w:r>
      <w:r w:rsidR="005C7E92">
        <w:t xml:space="preserve">its </w:t>
      </w:r>
      <w:r w:rsidR="009F6F05">
        <w:t xml:space="preserve">provisions are valid to the extent that they relate to discrimination against </w:t>
      </w:r>
      <w:r w:rsidR="00CE62B8">
        <w:t>a person employed by a corporation</w:t>
      </w:r>
      <w:r w:rsidR="006229D3">
        <w:t>.</w:t>
      </w:r>
      <w:r w:rsidR="00A31417">
        <w:rPr>
          <w:rStyle w:val="EndnoteReference"/>
        </w:rPr>
        <w:endnoteReference w:id="19"/>
      </w:r>
      <w:r w:rsidR="006229D3">
        <w:t xml:space="preserve"> </w:t>
      </w:r>
    </w:p>
    <w:p w14:paraId="1BFD7DED" w14:textId="521C0227" w:rsidR="004825F2" w:rsidRDefault="002F4A8A" w:rsidP="00A21EFE">
      <w:pPr>
        <w:pStyle w:val="ListNumber"/>
      </w:pPr>
      <w:r>
        <w:t xml:space="preserve">The clear policy intention in other </w:t>
      </w:r>
      <w:r w:rsidR="001C3847">
        <w:t xml:space="preserve">Commonwealth </w:t>
      </w:r>
      <w:r>
        <w:t xml:space="preserve">discrimination laws is to rely on the </w:t>
      </w:r>
      <w:proofErr w:type="gramStart"/>
      <w:r>
        <w:t>corporations</w:t>
      </w:r>
      <w:proofErr w:type="gramEnd"/>
      <w:r>
        <w:t xml:space="preserve"> power only to permit claims to be made </w:t>
      </w:r>
      <w:r w:rsidRPr="00964B73">
        <w:rPr>
          <w:i/>
          <w:iCs/>
        </w:rPr>
        <w:t>against</w:t>
      </w:r>
      <w:r>
        <w:t xml:space="preserve"> corporations and not </w:t>
      </w:r>
      <w:r w:rsidRPr="00964B73">
        <w:rPr>
          <w:i/>
          <w:iCs/>
        </w:rPr>
        <w:t>by</w:t>
      </w:r>
      <w:r>
        <w:t xml:space="preserve"> them.</w:t>
      </w:r>
    </w:p>
    <w:p w14:paraId="024E492D" w14:textId="2E5E1A67" w:rsidR="005A56E4" w:rsidRPr="007A1ECE" w:rsidRDefault="005A56E4" w:rsidP="007A1ECE">
      <w:pPr>
        <w:pStyle w:val="ListNumber"/>
        <w:keepNext/>
        <w:numPr>
          <w:ilvl w:val="0"/>
          <w:numId w:val="0"/>
        </w:numPr>
        <w:ind w:left="1094"/>
        <w:rPr>
          <w:b/>
          <w:bCs/>
        </w:rPr>
      </w:pPr>
      <w:r w:rsidRPr="007A1ECE">
        <w:rPr>
          <w:b/>
          <w:bCs/>
        </w:rPr>
        <w:t xml:space="preserve">Recommendation </w:t>
      </w:r>
      <w:r w:rsidR="00AA04DF">
        <w:rPr>
          <w:b/>
          <w:bCs/>
        </w:rPr>
        <w:t>2</w:t>
      </w:r>
    </w:p>
    <w:p w14:paraId="532D69BE" w14:textId="59760882" w:rsidR="005A56E4" w:rsidRDefault="005A56E4" w:rsidP="007A1ECE">
      <w:pPr>
        <w:pStyle w:val="ListNumber"/>
        <w:numPr>
          <w:ilvl w:val="0"/>
          <w:numId w:val="0"/>
        </w:numPr>
        <w:ind w:left="1094"/>
      </w:pPr>
      <w:r>
        <w:t xml:space="preserve">The Commission recommends that </w:t>
      </w:r>
      <w:r w:rsidR="007A1ECE">
        <w:t xml:space="preserve">the definition of ‘person’ be </w:t>
      </w:r>
      <w:r w:rsidR="00423ACD">
        <w:t xml:space="preserve">removed </w:t>
      </w:r>
      <w:r w:rsidR="007A1ECE">
        <w:t xml:space="preserve">from the Bill and that the Explanatory Notes </w:t>
      </w:r>
      <w:r w:rsidR="00423ACD">
        <w:t>be</w:t>
      </w:r>
      <w:r w:rsidR="007A1ECE">
        <w:t xml:space="preserve"> amended to make clear that </w:t>
      </w:r>
      <w:r w:rsidR="00423ACD">
        <w:t xml:space="preserve">a </w:t>
      </w:r>
      <w:r w:rsidR="007A1ECE">
        <w:t xml:space="preserve">complaint of discrimination </w:t>
      </w:r>
      <w:r w:rsidR="00B37DD1">
        <w:t>on the ground of religious belief or activity may only be made by or on behalf of a natural person.</w:t>
      </w:r>
    </w:p>
    <w:p w14:paraId="7C038A61" w14:textId="0F4D127D" w:rsidR="005A56E4" w:rsidRDefault="007B37AA" w:rsidP="007A1ECE">
      <w:pPr>
        <w:pStyle w:val="Heading2"/>
      </w:pPr>
      <w:bookmarkStart w:id="23" w:name="_Toc20471750"/>
      <w:r>
        <w:t>General exemption for religious bodies</w:t>
      </w:r>
      <w:bookmarkEnd w:id="23"/>
    </w:p>
    <w:p w14:paraId="36CFB95D" w14:textId="77777777" w:rsidR="0089302F" w:rsidRDefault="00433109" w:rsidP="00E81FA1">
      <w:pPr>
        <w:pStyle w:val="ListNumber"/>
      </w:pPr>
      <w:r>
        <w:t xml:space="preserve">The other aspect of the Bill </w:t>
      </w:r>
      <w:r w:rsidR="009F197A">
        <w:t>which affects its overall scope is the general exemption granted to ‘religious bodies’ in clause 10.</w:t>
      </w:r>
    </w:p>
    <w:p w14:paraId="231A5C7D" w14:textId="53E3B2CD" w:rsidR="009F197A" w:rsidRDefault="00FC709A" w:rsidP="00E81FA1">
      <w:pPr>
        <w:pStyle w:val="ListNumber"/>
      </w:pPr>
      <w:r>
        <w:t xml:space="preserve">Religious bodies </w:t>
      </w:r>
      <w:r w:rsidR="00044187">
        <w:t xml:space="preserve">would be </w:t>
      </w:r>
      <w:r>
        <w:t xml:space="preserve">entirely exempt from </w:t>
      </w:r>
      <w:r w:rsidR="004A41F3">
        <w:t xml:space="preserve">the prohibition of </w:t>
      </w:r>
      <w:r>
        <w:t xml:space="preserve">religious discrimination </w:t>
      </w:r>
      <w:r w:rsidR="006E5ECC">
        <w:t xml:space="preserve">provided that </w:t>
      </w:r>
      <w:r w:rsidR="00D249B0">
        <w:t>their conduct is in good faith and ‘may reasonably be regarded as being in accordance with the doctrines, tenets, beliefs or teachings</w:t>
      </w:r>
      <w:r w:rsidR="009E37E7">
        <w:t>’ of the particular religion.</w:t>
      </w:r>
    </w:p>
    <w:p w14:paraId="2BFAB069" w14:textId="6E5F1C09" w:rsidR="00A765F9" w:rsidRDefault="00A765F9" w:rsidP="00E81FA1">
      <w:pPr>
        <w:pStyle w:val="ListNumber"/>
      </w:pPr>
      <w:r>
        <w:t xml:space="preserve">The </w:t>
      </w:r>
      <w:r w:rsidR="004A41F3">
        <w:t xml:space="preserve">Commission’s </w:t>
      </w:r>
      <w:r>
        <w:t>primary concern</w:t>
      </w:r>
      <w:r w:rsidR="00F2219E">
        <w:t xml:space="preserve"> with this exemption is the scope </w:t>
      </w:r>
      <w:r w:rsidR="00556E55">
        <w:t xml:space="preserve">of the definition of ‘religious </w:t>
      </w:r>
      <w:r w:rsidR="003561DD">
        <w:t>body’</w:t>
      </w:r>
      <w:r w:rsidR="00556E55">
        <w:t>.</w:t>
      </w:r>
      <w:r w:rsidR="005D5183">
        <w:t xml:space="preserve">  Related to this, is a concern about the scope of activities of these bodies that would qualify for an exemption.</w:t>
      </w:r>
    </w:p>
    <w:p w14:paraId="2A8CBB75" w14:textId="3A09FB4E" w:rsidR="009E37E7" w:rsidRDefault="00C34AB8" w:rsidP="00E81FA1">
      <w:pPr>
        <w:pStyle w:val="ListNumber"/>
      </w:pPr>
      <w:r>
        <w:t xml:space="preserve">There are undoubtedly </w:t>
      </w:r>
      <w:r w:rsidR="00A07A6D">
        <w:t xml:space="preserve">intrinsic </w:t>
      </w:r>
      <w:r>
        <w:t xml:space="preserve">aspects of religious practice that involve discrimination against </w:t>
      </w:r>
      <w:r w:rsidR="00511DA5">
        <w:t xml:space="preserve">people who are not </w:t>
      </w:r>
      <w:r w:rsidR="00A07A6D">
        <w:t xml:space="preserve">adherents of </w:t>
      </w:r>
      <w:r w:rsidR="00E851EA">
        <w:t xml:space="preserve">the </w:t>
      </w:r>
      <w:r w:rsidR="00CA5714">
        <w:t>relevant</w:t>
      </w:r>
      <w:r w:rsidR="00E851EA">
        <w:t xml:space="preserve"> </w:t>
      </w:r>
      <w:r w:rsidR="00A07A6D">
        <w:t xml:space="preserve">faith.  The Explanatory Notes give the examples of </w:t>
      </w:r>
      <w:r w:rsidR="00965FB6">
        <w:t xml:space="preserve">a church </w:t>
      </w:r>
      <w:r w:rsidR="00EE4F20">
        <w:t>requiring that anyone taking communion be Christian</w:t>
      </w:r>
      <w:r w:rsidR="001D3492">
        <w:t xml:space="preserve">, or of </w:t>
      </w:r>
      <w:r w:rsidR="00175692">
        <w:t xml:space="preserve">a place of worship permitting entrance only to </w:t>
      </w:r>
      <w:r w:rsidR="004B2A11">
        <w:t>people who are adherents of that faith.</w:t>
      </w:r>
    </w:p>
    <w:p w14:paraId="1F67AB6E" w14:textId="0DFEB9D6" w:rsidR="003B6C42" w:rsidRDefault="004E0881" w:rsidP="003B6C42">
      <w:pPr>
        <w:pStyle w:val="ListNumber"/>
      </w:pPr>
      <w:r>
        <w:t xml:space="preserve">However, </w:t>
      </w:r>
      <w:r w:rsidR="00C855D6">
        <w:t xml:space="preserve">the general exemption in </w:t>
      </w:r>
      <w:r w:rsidR="003B6C42">
        <w:t>clause 10 applies not only to ‘bodies established for religious purposes’</w:t>
      </w:r>
      <w:r w:rsidR="004A41F3">
        <w:t>,</w:t>
      </w:r>
      <w:r w:rsidR="003B6C42">
        <w:rPr>
          <w:rStyle w:val="EndnoteReference"/>
        </w:rPr>
        <w:endnoteReference w:id="20"/>
      </w:r>
      <w:r w:rsidR="003B6C42">
        <w:t xml:space="preserve"> but </w:t>
      </w:r>
      <w:r w:rsidR="004A41F3">
        <w:t xml:space="preserve">also </w:t>
      </w:r>
      <w:r w:rsidR="003B6C42">
        <w:t>to a much broader group</w:t>
      </w:r>
      <w:r w:rsidR="00CE368E">
        <w:t xml:space="preserve">, including bodies </w:t>
      </w:r>
      <w:r w:rsidR="00235C73">
        <w:t xml:space="preserve">that engage in commercial activities. </w:t>
      </w:r>
    </w:p>
    <w:p w14:paraId="6181529B" w14:textId="0847471B" w:rsidR="000B7F51" w:rsidRDefault="00235C73" w:rsidP="00EA0B89">
      <w:pPr>
        <w:pStyle w:val="ListNumber"/>
        <w:keepNext/>
      </w:pPr>
      <w:r>
        <w:lastRenderedPageBreak/>
        <w:t>The term ‘religious body’ is defined as including:</w:t>
      </w:r>
    </w:p>
    <w:p w14:paraId="317F8903" w14:textId="7363DC02" w:rsidR="00235C73" w:rsidRDefault="00873150" w:rsidP="00235C73">
      <w:pPr>
        <w:pStyle w:val="ListNumber"/>
        <w:numPr>
          <w:ilvl w:val="0"/>
          <w:numId w:val="41"/>
        </w:numPr>
      </w:pPr>
      <w:r>
        <w:t>a</w:t>
      </w:r>
      <w:r w:rsidR="003C6228">
        <w:t xml:space="preserve">n educational institution that is conducted in accordance with the doctrines, tenets, beliefs or teachings of a </w:t>
      </w:r>
      <w:proofErr w:type="gramStart"/>
      <w:r w:rsidR="003C6228">
        <w:t>particular religion</w:t>
      </w:r>
      <w:proofErr w:type="gramEnd"/>
    </w:p>
    <w:p w14:paraId="46A2C1DE" w14:textId="5246CB0B" w:rsidR="00873150" w:rsidRDefault="00873150" w:rsidP="00235C73">
      <w:pPr>
        <w:pStyle w:val="ListNumber"/>
        <w:numPr>
          <w:ilvl w:val="0"/>
          <w:numId w:val="41"/>
        </w:numPr>
      </w:pPr>
      <w:r>
        <w:t xml:space="preserve">a registered charity that is conducted in accordance with the doctrines, tenets, beliefs or teachings of a </w:t>
      </w:r>
      <w:proofErr w:type="gramStart"/>
      <w:r>
        <w:t>particular religion</w:t>
      </w:r>
      <w:proofErr w:type="gramEnd"/>
      <w:r w:rsidR="004C38CF">
        <w:t xml:space="preserve"> (other than a registered charity that engages solely or primarily in commercial activities)</w:t>
      </w:r>
    </w:p>
    <w:p w14:paraId="00E83C4B" w14:textId="303EF111" w:rsidR="004C38CF" w:rsidRDefault="004C38CF" w:rsidP="00235C73">
      <w:pPr>
        <w:pStyle w:val="ListNumber"/>
        <w:numPr>
          <w:ilvl w:val="0"/>
          <w:numId w:val="41"/>
        </w:numPr>
      </w:pPr>
      <w:r>
        <w:t xml:space="preserve">any other body that is conducted in accordance with the doctrines, tenets, beliefs or teachings of a </w:t>
      </w:r>
      <w:proofErr w:type="gramStart"/>
      <w:r>
        <w:t>particular religion</w:t>
      </w:r>
      <w:proofErr w:type="gramEnd"/>
      <w:r>
        <w:t xml:space="preserve"> (other than a body that engages solely or primarily in commercial activities)</w:t>
      </w:r>
      <w:r w:rsidR="00BD3F25">
        <w:t>.</w:t>
      </w:r>
    </w:p>
    <w:p w14:paraId="08BDE0FD" w14:textId="7D85C509" w:rsidR="005E3E62" w:rsidRDefault="00693A9D" w:rsidP="00E81FA1">
      <w:pPr>
        <w:pStyle w:val="ListNumber"/>
      </w:pPr>
      <w:r>
        <w:t xml:space="preserve">The </w:t>
      </w:r>
      <w:r w:rsidR="005F0852">
        <w:t xml:space="preserve">definition of </w:t>
      </w:r>
      <w:r>
        <w:t xml:space="preserve">‘educational institution’ is in the same terms as </w:t>
      </w:r>
      <w:r w:rsidR="00B239E9">
        <w:t xml:space="preserve">the exemption in </w:t>
      </w:r>
      <w:r>
        <w:t xml:space="preserve">s 38 of the </w:t>
      </w:r>
      <w:r w:rsidRPr="00A96A06">
        <w:t>SDA</w:t>
      </w:r>
      <w:r w:rsidR="00285303">
        <w:t>.</w:t>
      </w:r>
      <w:r w:rsidR="00D42C86">
        <w:t xml:space="preserve"> </w:t>
      </w:r>
      <w:r w:rsidR="00285303">
        <w:t xml:space="preserve"> B</w:t>
      </w:r>
      <w:r w:rsidR="00D42C86">
        <w:t xml:space="preserve">oth cover schools, colleges, universities and other </w:t>
      </w:r>
      <w:r w:rsidR="0012463E">
        <w:t xml:space="preserve">institutions in which education or training is provided.  </w:t>
      </w:r>
      <w:r w:rsidR="00376DCB">
        <w:t xml:space="preserve">However, the scope of the exemption in clause 10 </w:t>
      </w:r>
      <w:r w:rsidR="00285303">
        <w:t xml:space="preserve">of the Bill </w:t>
      </w:r>
      <w:r w:rsidR="00376DCB">
        <w:t>is broader</w:t>
      </w:r>
      <w:r w:rsidR="0097311D">
        <w:t xml:space="preserve"> than s 38</w:t>
      </w:r>
      <w:r w:rsidR="00376DCB">
        <w:t xml:space="preserve"> </w:t>
      </w:r>
      <w:r w:rsidR="00062FFD">
        <w:t>of the SDA</w:t>
      </w:r>
      <w:r w:rsidR="00C06E03">
        <w:t>,</w:t>
      </w:r>
      <w:r w:rsidR="00062FFD">
        <w:t xml:space="preserve"> </w:t>
      </w:r>
      <w:r w:rsidR="00376DCB">
        <w:t>because it is not limited to conduct that</w:t>
      </w:r>
      <w:r w:rsidR="00D04ABD">
        <w:t xml:space="preserve"> is </w:t>
      </w:r>
      <w:r w:rsidR="00376DCB">
        <w:t xml:space="preserve">‘necessary to avoid injury to the religious </w:t>
      </w:r>
      <w:r w:rsidR="00D04ABD">
        <w:t xml:space="preserve">susceptibilities </w:t>
      </w:r>
      <w:r w:rsidR="00376DCB">
        <w:t>of adherents of that religion’</w:t>
      </w:r>
      <w:r w:rsidR="00533CBC">
        <w:t xml:space="preserve">.  </w:t>
      </w:r>
    </w:p>
    <w:p w14:paraId="5DDD37C2" w14:textId="386E9A2F" w:rsidR="00BD3F25" w:rsidRDefault="00533CBC" w:rsidP="00E81FA1">
      <w:pPr>
        <w:pStyle w:val="ListNumber"/>
      </w:pPr>
      <w:r>
        <w:t xml:space="preserve">Section 38 of the SDA permits </w:t>
      </w:r>
      <w:r w:rsidR="005E3E62">
        <w:t xml:space="preserve">certain kinds of </w:t>
      </w:r>
      <w:r>
        <w:t xml:space="preserve">discrimination </w:t>
      </w:r>
      <w:r w:rsidR="000F3E27">
        <w:t xml:space="preserve">by educational institutions against staff, </w:t>
      </w:r>
      <w:r w:rsidR="002A37E9">
        <w:t xml:space="preserve">contract workers and students </w:t>
      </w:r>
      <w:r>
        <w:t xml:space="preserve">on the grounds of </w:t>
      </w:r>
      <w:r w:rsidR="005E3E62">
        <w:t>sex, sexual orientation, gender identity, marital or relationship status</w:t>
      </w:r>
      <w:r w:rsidR="005B05EB">
        <w:t xml:space="preserve"> or pregnancy.  </w:t>
      </w:r>
      <w:r w:rsidR="00E7222E">
        <w:t xml:space="preserve">At the request of the </w:t>
      </w:r>
      <w:r w:rsidR="00D97232">
        <w:t>Attorney-General</w:t>
      </w:r>
      <w:r w:rsidR="00E7222E">
        <w:t>, t</w:t>
      </w:r>
      <w:r w:rsidR="005B05EB">
        <w:t xml:space="preserve">his section is currently being reviewed by the </w:t>
      </w:r>
      <w:r w:rsidR="00DD6A42" w:rsidRPr="00A96A06">
        <w:t>ALRC</w:t>
      </w:r>
      <w:r w:rsidR="00BE4DE6">
        <w:t xml:space="preserve">.  The </w:t>
      </w:r>
      <w:r w:rsidR="00D97232">
        <w:t xml:space="preserve">Attorney-General </w:t>
      </w:r>
      <w:r w:rsidR="00BE4DE6">
        <w:t xml:space="preserve">has asked the ALRC to consider whether these exemptions </w:t>
      </w:r>
      <w:r w:rsidR="00B86A70">
        <w:t>could be limited or removed altogether.</w:t>
      </w:r>
      <w:r w:rsidR="005B05EB">
        <w:t xml:space="preserve"> </w:t>
      </w:r>
    </w:p>
    <w:p w14:paraId="07031EB5" w14:textId="2C10870B" w:rsidR="00B86A70" w:rsidRDefault="00B86A70" w:rsidP="00E81FA1">
      <w:pPr>
        <w:pStyle w:val="ListNumber"/>
      </w:pPr>
      <w:r>
        <w:t xml:space="preserve">In the Commission’s view, </w:t>
      </w:r>
      <w:r w:rsidR="005C73C2">
        <w:t xml:space="preserve">and </w:t>
      </w:r>
      <w:r>
        <w:t xml:space="preserve">in light of the reference to the ALRC, it would not be appropriate to grant a broader exemption to </w:t>
      </w:r>
      <w:r w:rsidR="00C61D28">
        <w:t xml:space="preserve">educational institutions to discriminate on the </w:t>
      </w:r>
      <w:r w:rsidR="00BC1655">
        <w:t>ground</w:t>
      </w:r>
      <w:r w:rsidR="00C61D28">
        <w:t xml:space="preserve"> of religious belief or activity than currently exists under the SDA</w:t>
      </w:r>
      <w:r w:rsidR="00953277">
        <w:t xml:space="preserve"> in relation to the grounds covered by that Act</w:t>
      </w:r>
      <w:r w:rsidR="00C61D28">
        <w:t>.</w:t>
      </w:r>
    </w:p>
    <w:p w14:paraId="5EE61344" w14:textId="1085CCCE" w:rsidR="006972AF" w:rsidRDefault="006A0AD7" w:rsidP="00E81FA1">
      <w:pPr>
        <w:pStyle w:val="ListNumber"/>
      </w:pPr>
      <w:r>
        <w:t xml:space="preserve">The Explanatory Notes suggest that clause 10 would permit a Jewish school to </w:t>
      </w:r>
      <w:r w:rsidR="00F14638">
        <w:t>require that all staff be Jewish.</w:t>
      </w:r>
      <w:r w:rsidR="00F14638">
        <w:rPr>
          <w:rStyle w:val="EndnoteReference"/>
        </w:rPr>
        <w:endnoteReference w:id="21"/>
      </w:r>
      <w:r w:rsidR="00F14638">
        <w:t xml:space="preserve">  </w:t>
      </w:r>
      <w:r w:rsidR="00C83410">
        <w:t xml:space="preserve">In the Commission’s view, </w:t>
      </w:r>
      <w:r w:rsidR="00175AEE">
        <w:t xml:space="preserve">employment decisions, including by schools, are best evaluated </w:t>
      </w:r>
      <w:r w:rsidR="009D311C">
        <w:t xml:space="preserve">according to the ‘inherent requirements’ test set out in clause </w:t>
      </w:r>
      <w:r w:rsidR="00F8711B">
        <w:t xml:space="preserve">31(2) of the Bill.  At religious schools, it may well be an inherent requirement for teachers to be </w:t>
      </w:r>
      <w:r w:rsidR="00862A93">
        <w:t xml:space="preserve">of the faith </w:t>
      </w:r>
      <w:r w:rsidR="005238BD">
        <w:t xml:space="preserve">on which the </w:t>
      </w:r>
      <w:r w:rsidR="00862A93">
        <w:t>school</w:t>
      </w:r>
      <w:r w:rsidR="005238BD">
        <w:t xml:space="preserve"> is founded</w:t>
      </w:r>
      <w:r w:rsidR="00411784">
        <w:t xml:space="preserve">, particularly if they are required to have pastoral care responsibilities.  </w:t>
      </w:r>
      <w:r w:rsidR="00411784">
        <w:lastRenderedPageBreak/>
        <w:t xml:space="preserve">However, it may not be an inherent requirement </w:t>
      </w:r>
      <w:r w:rsidR="0026218E">
        <w:t>for</w:t>
      </w:r>
      <w:r w:rsidR="00411784">
        <w:t xml:space="preserve"> a </w:t>
      </w:r>
      <w:r w:rsidR="00062FFD">
        <w:t xml:space="preserve">cleaner or </w:t>
      </w:r>
      <w:r w:rsidR="00411784">
        <w:t>gardener employed by the school to be of the same faith.</w:t>
      </w:r>
      <w:r w:rsidR="003F19CC">
        <w:rPr>
          <w:rStyle w:val="EndnoteReference"/>
        </w:rPr>
        <w:endnoteReference w:id="22"/>
      </w:r>
    </w:p>
    <w:p w14:paraId="7B1557C7" w14:textId="0B79826A" w:rsidR="002F6FE7" w:rsidRDefault="00765F83" w:rsidP="00E81FA1">
      <w:pPr>
        <w:pStyle w:val="ListNumber"/>
      </w:pPr>
      <w:r>
        <w:t xml:space="preserve">Charities and ‘other bodies’ are also included within the broad definition of ‘religious </w:t>
      </w:r>
      <w:proofErr w:type="gramStart"/>
      <w:r>
        <w:t>bod</w:t>
      </w:r>
      <w:r w:rsidR="005D0DFB">
        <w:t>ies’</w:t>
      </w:r>
      <w:proofErr w:type="gramEnd"/>
      <w:r w:rsidR="00FD0CE7">
        <w:t xml:space="preserve">.  They are only excluded if their </w:t>
      </w:r>
      <w:r w:rsidR="00916677">
        <w:t xml:space="preserve">activities </w:t>
      </w:r>
      <w:r w:rsidR="00FD0CE7">
        <w:t xml:space="preserve">are </w:t>
      </w:r>
      <w:r w:rsidR="00916677">
        <w:t>‘solely or primarily’ comm</w:t>
      </w:r>
      <w:r w:rsidR="00203118">
        <w:t xml:space="preserve">ercial.  This leaves open the potential for </w:t>
      </w:r>
      <w:r w:rsidR="006A55F1">
        <w:t xml:space="preserve">certain </w:t>
      </w:r>
      <w:r w:rsidR="00774F48">
        <w:t xml:space="preserve">religious </w:t>
      </w:r>
      <w:r w:rsidR="00203118">
        <w:t xml:space="preserve">bodies to be exempt from </w:t>
      </w:r>
      <w:r w:rsidR="004F3C72">
        <w:t xml:space="preserve">claims of </w:t>
      </w:r>
      <w:r w:rsidR="00203118">
        <w:t xml:space="preserve">religious discrimination in a range of commercial activities, provided the </w:t>
      </w:r>
      <w:r w:rsidR="00774F48">
        <w:t xml:space="preserve">body also engages in other </w:t>
      </w:r>
      <w:r w:rsidR="00691774">
        <w:t>activities as well.</w:t>
      </w:r>
      <w:r w:rsidR="00842B5C">
        <w:t xml:space="preserve">  It is not clear to the Commission that</w:t>
      </w:r>
      <w:r w:rsidR="0096103A">
        <w:t xml:space="preserve">, as suggested in the Explanatory Notes, </w:t>
      </w:r>
      <w:r w:rsidR="00D52E6D">
        <w:t>religious hospitals and aged care providers would necessarily fall outside th</w:t>
      </w:r>
      <w:r w:rsidR="00960AF5">
        <w:t xml:space="preserve">e definition of ‘religious bodies’ </w:t>
      </w:r>
      <w:r w:rsidR="00A273A0">
        <w:t xml:space="preserve">because </w:t>
      </w:r>
      <w:r w:rsidR="00AE399B">
        <w:t>‘</w:t>
      </w:r>
      <w:r w:rsidR="00A273A0">
        <w:t xml:space="preserve">they </w:t>
      </w:r>
      <w:r w:rsidR="00AE399B">
        <w:t>provide services to the public on a commercial basis’.</w:t>
      </w:r>
      <w:r w:rsidR="00AE399B">
        <w:rPr>
          <w:rStyle w:val="EndnoteReference"/>
        </w:rPr>
        <w:endnoteReference w:id="23"/>
      </w:r>
      <w:r w:rsidR="00AE399B">
        <w:t xml:space="preserve">  This should be made clear in the Bill</w:t>
      </w:r>
      <w:r w:rsidR="00E24612">
        <w:t xml:space="preserve">, by providing that the exemption does not apply to conduct </w:t>
      </w:r>
      <w:r w:rsidR="002A6EFC">
        <w:t>connected with commercial activities</w:t>
      </w:r>
      <w:r w:rsidR="00AE399B">
        <w:t>.</w:t>
      </w:r>
    </w:p>
    <w:p w14:paraId="7DDDA582" w14:textId="6D3F577B" w:rsidR="00447310" w:rsidRDefault="00447310" w:rsidP="00E81FA1">
      <w:pPr>
        <w:pStyle w:val="ListNumber"/>
      </w:pPr>
      <w:r>
        <w:t xml:space="preserve">It is important to acknowledge that </w:t>
      </w:r>
      <w:r w:rsidR="00161E26">
        <w:t xml:space="preserve">charities and other </w:t>
      </w:r>
      <w:r>
        <w:t xml:space="preserve">religious organisations have a significant role in public life in Australia. </w:t>
      </w:r>
      <w:r w:rsidR="00D02209">
        <w:t xml:space="preserve"> </w:t>
      </w:r>
      <w:r>
        <w:t xml:space="preserve">They run schools, hospitals, welfare organisations and employment agencies. </w:t>
      </w:r>
      <w:r w:rsidR="00D02209">
        <w:t xml:space="preserve"> </w:t>
      </w:r>
      <w:r>
        <w:t xml:space="preserve">They employ a very large number of people. </w:t>
      </w:r>
      <w:r w:rsidR="00D02209">
        <w:t xml:space="preserve"> </w:t>
      </w:r>
      <w:r>
        <w:t xml:space="preserve">Many receive a significant amount of public funding to </w:t>
      </w:r>
      <w:r w:rsidR="002A6EFC">
        <w:t xml:space="preserve">support </w:t>
      </w:r>
      <w:r w:rsidR="00980BE6">
        <w:t xml:space="preserve">them in </w:t>
      </w:r>
      <w:r>
        <w:t>carry</w:t>
      </w:r>
      <w:r w:rsidR="002A6EFC">
        <w:t>ing</w:t>
      </w:r>
      <w:r>
        <w:t xml:space="preserve"> out their activities. </w:t>
      </w:r>
      <w:r w:rsidR="00D02209">
        <w:t xml:space="preserve"> </w:t>
      </w:r>
      <w:r>
        <w:t xml:space="preserve">The extent to which such organisations are </w:t>
      </w:r>
      <w:r w:rsidR="00A500BD">
        <w:t xml:space="preserve">permitted to engage in conduct that would otherwise be unlawful </w:t>
      </w:r>
      <w:r>
        <w:t>discriminat</w:t>
      </w:r>
      <w:r w:rsidR="00A26E58">
        <w:t xml:space="preserve">ion </w:t>
      </w:r>
      <w:r>
        <w:t xml:space="preserve">has an impact </w:t>
      </w:r>
      <w:r w:rsidR="002667A5">
        <w:t>on the lives of many Australians</w:t>
      </w:r>
      <w:r>
        <w:t>.</w:t>
      </w:r>
    </w:p>
    <w:p w14:paraId="5AEEF8A1" w14:textId="29804B44" w:rsidR="003F65BF" w:rsidRDefault="003F65BF" w:rsidP="00E81FA1">
      <w:pPr>
        <w:pStyle w:val="ListNumber"/>
      </w:pPr>
      <w:r>
        <w:t xml:space="preserve">The aim of the Bill is to introduce, for the first time, </w:t>
      </w:r>
      <w:r w:rsidR="00436577">
        <w:t xml:space="preserve">comprehensive protections against religious discrimination in core areas of public life.  To the extent that religious bodies are participating in these areas of public life, they should generally be held to the same standard as everyone else.  </w:t>
      </w:r>
    </w:p>
    <w:p w14:paraId="68CCE8BB" w14:textId="0681186C" w:rsidR="0005144D" w:rsidRDefault="00A64BBE" w:rsidP="00E81FA1">
      <w:pPr>
        <w:pStyle w:val="ListNumber"/>
      </w:pPr>
      <w:r>
        <w:t xml:space="preserve">In the Commission’s view, the </w:t>
      </w:r>
      <w:r w:rsidR="007E3011">
        <w:t xml:space="preserve">range </w:t>
      </w:r>
      <w:r>
        <w:t xml:space="preserve">of bodies that </w:t>
      </w:r>
      <w:proofErr w:type="gramStart"/>
      <w:r w:rsidR="00173667">
        <w:t>are</w:t>
      </w:r>
      <w:r>
        <w:t xml:space="preserve"> able to</w:t>
      </w:r>
      <w:proofErr w:type="gramEnd"/>
      <w:r>
        <w:t xml:space="preserve"> </w:t>
      </w:r>
      <w:r w:rsidR="007E3011">
        <w:t>access the general exemption in clause 10 of the Bill is too broad.  It should be limited, as with other Commonwealth discrimination law</w:t>
      </w:r>
      <w:r w:rsidR="005A2396">
        <w:t>s</w:t>
      </w:r>
      <w:r w:rsidR="007E3011">
        <w:t xml:space="preserve">, to </w:t>
      </w:r>
      <w:r w:rsidR="00173667">
        <w:t xml:space="preserve">‘bodies established for religious </w:t>
      </w:r>
      <w:proofErr w:type="gramStart"/>
      <w:r w:rsidR="00173667">
        <w:t>purposes’</w:t>
      </w:r>
      <w:proofErr w:type="gramEnd"/>
      <w:r w:rsidR="00173667">
        <w:t xml:space="preserve">.  </w:t>
      </w:r>
    </w:p>
    <w:p w14:paraId="3498ED42" w14:textId="1BF0B372" w:rsidR="00173667" w:rsidRDefault="00173667" w:rsidP="00E81FA1">
      <w:pPr>
        <w:pStyle w:val="ListNumber"/>
      </w:pPr>
      <w:r>
        <w:t xml:space="preserve">Further, </w:t>
      </w:r>
      <w:r w:rsidR="005244C6">
        <w:t xml:space="preserve">the Bill should explicitly provide that </w:t>
      </w:r>
      <w:r w:rsidR="003F3269">
        <w:t xml:space="preserve">the general exemption in clause 10 does not apply to </w:t>
      </w:r>
      <w:r w:rsidR="006E0138">
        <w:t xml:space="preserve">conduct </w:t>
      </w:r>
      <w:r w:rsidR="00E32D4D">
        <w:t xml:space="preserve">connected with </w:t>
      </w:r>
      <w:r w:rsidR="00D8290B">
        <w:t>commercial activities</w:t>
      </w:r>
      <w:r w:rsidR="00AA287F">
        <w:t xml:space="preserve">. </w:t>
      </w:r>
    </w:p>
    <w:p w14:paraId="322F25AF" w14:textId="640CEAC3" w:rsidR="0005144D" w:rsidRPr="002032F9" w:rsidRDefault="002032F9" w:rsidP="00114519">
      <w:pPr>
        <w:pStyle w:val="ListNumber"/>
        <w:keepNext/>
        <w:numPr>
          <w:ilvl w:val="0"/>
          <w:numId w:val="0"/>
        </w:numPr>
        <w:ind w:left="1094"/>
        <w:rPr>
          <w:b/>
          <w:bCs/>
        </w:rPr>
      </w:pPr>
      <w:r w:rsidRPr="002032F9">
        <w:rPr>
          <w:b/>
          <w:bCs/>
        </w:rPr>
        <w:t xml:space="preserve">Recommendation </w:t>
      </w:r>
      <w:r w:rsidR="00AA04DF">
        <w:rPr>
          <w:b/>
          <w:bCs/>
        </w:rPr>
        <w:t>3</w:t>
      </w:r>
    </w:p>
    <w:p w14:paraId="79A005EC" w14:textId="6FF528E8" w:rsidR="002032F9" w:rsidRDefault="002032F9" w:rsidP="002032F9">
      <w:pPr>
        <w:pStyle w:val="ListNumber"/>
        <w:numPr>
          <w:ilvl w:val="0"/>
          <w:numId w:val="0"/>
        </w:numPr>
        <w:ind w:left="1094"/>
      </w:pPr>
      <w:r>
        <w:t xml:space="preserve">The Commission recommends that </w:t>
      </w:r>
      <w:r w:rsidR="00782433">
        <w:t>clause 10 of the Bill be amended to:</w:t>
      </w:r>
    </w:p>
    <w:p w14:paraId="4EF561BD" w14:textId="0DB673A2" w:rsidR="009B0DF8" w:rsidRDefault="009B0DF8" w:rsidP="002A33D9">
      <w:pPr>
        <w:pStyle w:val="ListNumber"/>
        <w:numPr>
          <w:ilvl w:val="0"/>
          <w:numId w:val="0"/>
        </w:numPr>
        <w:ind w:left="1440" w:hanging="346"/>
      </w:pPr>
      <w:r>
        <w:lastRenderedPageBreak/>
        <w:t>(</w:t>
      </w:r>
      <w:r w:rsidR="00AA44B7">
        <w:t>a</w:t>
      </w:r>
      <w:r>
        <w:t>)</w:t>
      </w:r>
      <w:r>
        <w:tab/>
        <w:t xml:space="preserve">limit the definition of ‘religious body’ to </w:t>
      </w:r>
      <w:r w:rsidR="00320683">
        <w:t>‘bodies established for religious purposes’</w:t>
      </w:r>
    </w:p>
    <w:p w14:paraId="5FE81AD8" w14:textId="1D1F9AD0" w:rsidR="00320683" w:rsidRDefault="00320683" w:rsidP="002A33D9">
      <w:pPr>
        <w:pStyle w:val="ListNumber"/>
        <w:numPr>
          <w:ilvl w:val="0"/>
          <w:numId w:val="0"/>
        </w:numPr>
        <w:ind w:left="1440" w:hanging="346"/>
      </w:pPr>
      <w:r>
        <w:t>(</w:t>
      </w:r>
      <w:r w:rsidR="00AA44B7">
        <w:t>b</w:t>
      </w:r>
      <w:r>
        <w:t>)</w:t>
      </w:r>
      <w:r>
        <w:tab/>
      </w:r>
      <w:r w:rsidR="00FC5671">
        <w:t xml:space="preserve">provide that the </w:t>
      </w:r>
      <w:r w:rsidR="00FB3F01">
        <w:t>general exemption</w:t>
      </w:r>
      <w:r w:rsidR="003178FE">
        <w:t xml:space="preserve"> does not apply </w:t>
      </w:r>
      <w:r w:rsidR="00042151">
        <w:t xml:space="preserve">to </w:t>
      </w:r>
      <w:r w:rsidR="00F51BB2">
        <w:t xml:space="preserve">conduct connected with </w:t>
      </w:r>
      <w:r w:rsidR="00D8290B">
        <w:t>commercial activities</w:t>
      </w:r>
      <w:r w:rsidR="00042151">
        <w:t>.</w:t>
      </w:r>
    </w:p>
    <w:p w14:paraId="7CC49420" w14:textId="5F17B5B0" w:rsidR="002032F9" w:rsidRDefault="00D151EB" w:rsidP="00D151EB">
      <w:pPr>
        <w:pStyle w:val="Heading1"/>
      </w:pPr>
      <w:bookmarkStart w:id="24" w:name="_Toc20471751"/>
      <w:r>
        <w:t>Overriding Commonwealth, State and Territory discrimination law</w:t>
      </w:r>
      <w:bookmarkEnd w:id="24"/>
    </w:p>
    <w:p w14:paraId="2BA20438" w14:textId="1B0ADF67" w:rsidR="00D151EB" w:rsidRDefault="00DE0CCE" w:rsidP="00DE0CCE">
      <w:pPr>
        <w:pStyle w:val="Heading2"/>
      </w:pPr>
      <w:bookmarkStart w:id="25" w:name="_Toc20471752"/>
      <w:r>
        <w:t>Discriminatory statements of belief</w:t>
      </w:r>
      <w:bookmarkEnd w:id="25"/>
    </w:p>
    <w:p w14:paraId="4495F0A5" w14:textId="3EEA8CEE" w:rsidR="00A30B38" w:rsidRDefault="00AF4B18" w:rsidP="00E81FA1">
      <w:pPr>
        <w:pStyle w:val="ListNumber"/>
      </w:pPr>
      <w:r>
        <w:t xml:space="preserve">Clause </w:t>
      </w:r>
      <w:r w:rsidR="007A1614">
        <w:t>41</w:t>
      </w:r>
      <w:r w:rsidR="00F15803">
        <w:t xml:space="preserve">(1)(a) of the Bill provides that a ‘statement of belief’ does not </w:t>
      </w:r>
      <w:r w:rsidR="00866B5F">
        <w:t xml:space="preserve">constitute discrimination for the purpose of any anti-discrimination law.  This means that </w:t>
      </w:r>
      <w:r w:rsidR="00F0686B">
        <w:t>no action alleging discrimination can be brought under the Religious Discrimination Act</w:t>
      </w:r>
      <w:r w:rsidR="006037A2">
        <w:t>,</w:t>
      </w:r>
      <w:r w:rsidR="006037A2">
        <w:rPr>
          <w:rStyle w:val="EndnoteReference"/>
        </w:rPr>
        <w:endnoteReference w:id="24"/>
      </w:r>
      <w:r w:rsidR="006037A2">
        <w:t xml:space="preserve"> </w:t>
      </w:r>
      <w:r w:rsidR="007406F7">
        <w:t xml:space="preserve">the </w:t>
      </w:r>
      <w:r w:rsidR="007406F7" w:rsidRPr="00FC6F66">
        <w:rPr>
          <w:i/>
          <w:iCs/>
        </w:rPr>
        <w:t>Racial Discrimination Act</w:t>
      </w:r>
      <w:r w:rsidR="00C56417" w:rsidRPr="00FC6F66">
        <w:rPr>
          <w:i/>
          <w:iCs/>
        </w:rPr>
        <w:t xml:space="preserve"> </w:t>
      </w:r>
      <w:r w:rsidR="0021289F" w:rsidRPr="00FC6F66">
        <w:rPr>
          <w:i/>
          <w:iCs/>
        </w:rPr>
        <w:t>1975</w:t>
      </w:r>
      <w:r w:rsidR="0021289F">
        <w:t xml:space="preserve"> (</w:t>
      </w:r>
      <w:proofErr w:type="spellStart"/>
      <w:r w:rsidR="0021289F">
        <w:t>Cth</w:t>
      </w:r>
      <w:proofErr w:type="spellEnd"/>
      <w:r w:rsidR="0021289F">
        <w:t>)</w:t>
      </w:r>
      <w:r w:rsidR="00FC6F66">
        <w:t xml:space="preserve"> (</w:t>
      </w:r>
      <w:r w:rsidR="00FC6F66" w:rsidRPr="00A96A06">
        <w:t>RDA</w:t>
      </w:r>
      <w:r w:rsidR="00FC6F66">
        <w:t>)</w:t>
      </w:r>
      <w:r w:rsidR="007406F7">
        <w:t>, the S</w:t>
      </w:r>
      <w:r w:rsidR="0021289F">
        <w:t xml:space="preserve">DA, the </w:t>
      </w:r>
      <w:r w:rsidR="00FC6F66" w:rsidRPr="00A96A06">
        <w:t>DDA</w:t>
      </w:r>
      <w:r w:rsidR="0021289F">
        <w:t xml:space="preserve">, the </w:t>
      </w:r>
      <w:r w:rsidR="0021289F" w:rsidRPr="00A96A06">
        <w:t>ADA</w:t>
      </w:r>
      <w:r w:rsidR="0021289F">
        <w:t xml:space="preserve"> </w:t>
      </w:r>
      <w:r w:rsidR="0012352A">
        <w:t>or any State or Territory discrimination Act</w:t>
      </w:r>
      <w:r w:rsidR="00A30B38">
        <w:t xml:space="preserve"> in relation to such a statement, providing it does not contravene </w:t>
      </w:r>
      <w:r w:rsidR="00062FFD">
        <w:t>clause</w:t>
      </w:r>
      <w:r w:rsidR="00A30B38">
        <w:t> 41(2).</w:t>
      </w:r>
    </w:p>
    <w:p w14:paraId="51011417" w14:textId="7E78DC69" w:rsidR="00BC7CF5" w:rsidRDefault="00BC7CF5" w:rsidP="00240B33">
      <w:pPr>
        <w:pStyle w:val="ListNumber"/>
        <w:keepNext/>
      </w:pPr>
      <w:r>
        <w:t>Th</w:t>
      </w:r>
      <w:r w:rsidR="001970A6">
        <w:t>e</w:t>
      </w:r>
      <w:r>
        <w:t xml:space="preserve"> clause applies to:</w:t>
      </w:r>
    </w:p>
    <w:p w14:paraId="0598A1CB" w14:textId="0D1095AB" w:rsidR="00FF3FDC" w:rsidRDefault="00FF3FDC" w:rsidP="00FF3FDC">
      <w:pPr>
        <w:pStyle w:val="ListNumber"/>
        <w:numPr>
          <w:ilvl w:val="0"/>
          <w:numId w:val="41"/>
        </w:numPr>
      </w:pPr>
      <w:r>
        <w:t>a ‘statement of belief’</w:t>
      </w:r>
    </w:p>
    <w:p w14:paraId="014F4ADD" w14:textId="77777777" w:rsidR="00FF3FDC" w:rsidRDefault="00FF3FDC" w:rsidP="00FF3FDC">
      <w:pPr>
        <w:pStyle w:val="ListNumber"/>
        <w:numPr>
          <w:ilvl w:val="0"/>
          <w:numId w:val="41"/>
        </w:numPr>
      </w:pPr>
      <w:r>
        <w:t>that would otherwise amount to discrimination</w:t>
      </w:r>
    </w:p>
    <w:p w14:paraId="0B294225" w14:textId="3224E389" w:rsidR="00DE0CCE" w:rsidRDefault="00FF3FDC" w:rsidP="00FF3FDC">
      <w:pPr>
        <w:pStyle w:val="ListNumber"/>
        <w:numPr>
          <w:ilvl w:val="0"/>
          <w:numId w:val="41"/>
        </w:numPr>
      </w:pPr>
      <w:r>
        <w:t>but is not malicious</w:t>
      </w:r>
      <w:r w:rsidR="00C2341D">
        <w:t>; or</w:t>
      </w:r>
      <w:r w:rsidR="006037A2">
        <w:t xml:space="preserve"> </w:t>
      </w:r>
      <w:r w:rsidR="00B52F3E">
        <w:t>likely to harass, vilify or incite hatred or violence</w:t>
      </w:r>
      <w:r w:rsidR="00C2341D">
        <w:t>;</w:t>
      </w:r>
      <w:r w:rsidR="00B52F3E">
        <w:t xml:space="preserve"> or amount to </w:t>
      </w:r>
      <w:r w:rsidR="00073184">
        <w:t xml:space="preserve">the </w:t>
      </w:r>
      <w:r w:rsidR="00B52F3E">
        <w:t xml:space="preserve">urging of a </w:t>
      </w:r>
      <w:r w:rsidR="00C2341D">
        <w:t xml:space="preserve">serious </w:t>
      </w:r>
      <w:r w:rsidR="00B52F3E">
        <w:t>criminal offence.</w:t>
      </w:r>
    </w:p>
    <w:p w14:paraId="275233F9" w14:textId="05C094C8" w:rsidR="00305F95" w:rsidRDefault="004D4430" w:rsidP="004D4430">
      <w:pPr>
        <w:pStyle w:val="ListNumber"/>
      </w:pPr>
      <w:r>
        <w:t xml:space="preserve">This submission will refer to such a statement as a </w:t>
      </w:r>
      <w:r w:rsidR="001970A6">
        <w:t>‘discriminatory statement of belief’.</w:t>
      </w:r>
      <w:r w:rsidR="002A2E6B">
        <w:t xml:space="preserve">  The effect of the clause is to render discriminatory statements of belief lawful and to override other Commonwealth, State and Territory law</w:t>
      </w:r>
      <w:r w:rsidR="00D2166C">
        <w:t>s</w:t>
      </w:r>
      <w:r w:rsidR="002A2E6B">
        <w:t xml:space="preserve"> to that extent.</w:t>
      </w:r>
      <w:r w:rsidR="0035371B">
        <w:t xml:space="preserve"> </w:t>
      </w:r>
      <w:r w:rsidR="006D380E">
        <w:t xml:space="preserve"> As the Commission said in its submission to the Religious Freedom </w:t>
      </w:r>
      <w:r w:rsidR="00363763">
        <w:t>Review, it is highly unlikely that the Commission could support proposed reforms that would permit forms of discrimination that are currently unlawful.</w:t>
      </w:r>
      <w:r w:rsidR="00363763">
        <w:rPr>
          <w:rStyle w:val="EndnoteReference"/>
        </w:rPr>
        <w:endnoteReference w:id="25"/>
      </w:r>
    </w:p>
    <w:p w14:paraId="038E6217" w14:textId="43FEC590" w:rsidR="001970A6" w:rsidRDefault="00C92EF0" w:rsidP="004D4430">
      <w:pPr>
        <w:pStyle w:val="ListNumber"/>
      </w:pPr>
      <w:r>
        <w:t xml:space="preserve">A ‘statement of belief’ is defined in </w:t>
      </w:r>
      <w:r w:rsidR="001F06E4">
        <w:t>clause 5 of the Bill.  The definition varies depending on whether the maker of the statement is religious.  For a person who is religious, a statement of belief:</w:t>
      </w:r>
    </w:p>
    <w:p w14:paraId="1FEDFB42" w14:textId="29AFA53B" w:rsidR="001F06E4" w:rsidRDefault="007F2A71" w:rsidP="001F06E4">
      <w:pPr>
        <w:pStyle w:val="ListNumber"/>
        <w:numPr>
          <w:ilvl w:val="0"/>
          <w:numId w:val="42"/>
        </w:numPr>
      </w:pPr>
      <w:r>
        <w:t xml:space="preserve">is of a religious belief </w:t>
      </w:r>
      <w:proofErr w:type="gramStart"/>
      <w:r w:rsidR="00B6460B">
        <w:t xml:space="preserve">actually </w:t>
      </w:r>
      <w:r>
        <w:t>held</w:t>
      </w:r>
      <w:proofErr w:type="gramEnd"/>
      <w:r>
        <w:t xml:space="preserve"> by that person</w:t>
      </w:r>
    </w:p>
    <w:p w14:paraId="15AFC26D" w14:textId="0F2B3AE5" w:rsidR="00C5593E" w:rsidRDefault="00C5593E" w:rsidP="001F06E4">
      <w:pPr>
        <w:pStyle w:val="ListNumber"/>
        <w:numPr>
          <w:ilvl w:val="0"/>
          <w:numId w:val="42"/>
        </w:numPr>
      </w:pPr>
      <w:r>
        <w:t xml:space="preserve">where the belief </w:t>
      </w:r>
      <w:r w:rsidR="00B6460B">
        <w:t>is one that may reasonably be regarded as being in accordance with the doctrines, tenets</w:t>
      </w:r>
      <w:r w:rsidR="00C73700">
        <w:t>, beliefs or teachings of the religion, and</w:t>
      </w:r>
    </w:p>
    <w:p w14:paraId="545E363D" w14:textId="59F8C373" w:rsidR="007F2A71" w:rsidRDefault="00C73700" w:rsidP="001F06E4">
      <w:pPr>
        <w:pStyle w:val="ListNumber"/>
        <w:numPr>
          <w:ilvl w:val="0"/>
          <w:numId w:val="42"/>
        </w:numPr>
      </w:pPr>
      <w:r>
        <w:lastRenderedPageBreak/>
        <w:t xml:space="preserve">is </w:t>
      </w:r>
      <w:r w:rsidR="007F2A71">
        <w:t>made in good faith</w:t>
      </w:r>
      <w:r>
        <w:t>.</w:t>
      </w:r>
    </w:p>
    <w:p w14:paraId="1E3057D0" w14:textId="77B81288" w:rsidR="007F2A71" w:rsidRDefault="007C73AC" w:rsidP="007C73AC">
      <w:pPr>
        <w:pStyle w:val="ListNumber"/>
        <w:numPr>
          <w:ilvl w:val="0"/>
          <w:numId w:val="0"/>
        </w:numPr>
        <w:ind w:left="1094" w:hanging="737"/>
      </w:pPr>
      <w:r>
        <w:tab/>
        <w:t xml:space="preserve">The statement need not be about religion, it could be about any subject that </w:t>
      </w:r>
      <w:r w:rsidR="00A733A4">
        <w:t>is covered by a religious teaching.</w:t>
      </w:r>
    </w:p>
    <w:p w14:paraId="6E3DE0EF" w14:textId="114D4ACC" w:rsidR="001F06E4" w:rsidRDefault="00A733A4" w:rsidP="004D4430">
      <w:pPr>
        <w:pStyle w:val="ListNumber"/>
      </w:pPr>
      <w:r>
        <w:t>For a person who is not religious, a statement of belief:</w:t>
      </w:r>
    </w:p>
    <w:p w14:paraId="5D3B3C0A" w14:textId="38CEF00E" w:rsidR="00A733A4" w:rsidRDefault="00A52751" w:rsidP="00A52751">
      <w:pPr>
        <w:pStyle w:val="ListNumber"/>
        <w:numPr>
          <w:ilvl w:val="0"/>
          <w:numId w:val="43"/>
        </w:numPr>
      </w:pPr>
      <w:r>
        <w:t>must be about religion</w:t>
      </w:r>
    </w:p>
    <w:p w14:paraId="75DC2BC3" w14:textId="1A122731" w:rsidR="00A52751" w:rsidRDefault="00A52751" w:rsidP="00A52751">
      <w:pPr>
        <w:pStyle w:val="ListNumber"/>
        <w:numPr>
          <w:ilvl w:val="0"/>
          <w:numId w:val="43"/>
        </w:numPr>
      </w:pPr>
      <w:r>
        <w:t>must be limited to a belief that is held by the person that arises directly from the fact that the person does not hold a religious belief</w:t>
      </w:r>
      <w:r w:rsidR="000B593B">
        <w:t>, and</w:t>
      </w:r>
    </w:p>
    <w:p w14:paraId="45763886" w14:textId="1D9855AF" w:rsidR="000B593B" w:rsidRDefault="000B593B" w:rsidP="00A52751">
      <w:pPr>
        <w:pStyle w:val="ListNumber"/>
        <w:numPr>
          <w:ilvl w:val="0"/>
          <w:numId w:val="43"/>
        </w:numPr>
      </w:pPr>
      <w:r>
        <w:t>is made in good faith.</w:t>
      </w:r>
    </w:p>
    <w:p w14:paraId="4D587908" w14:textId="38C7C952" w:rsidR="00A733A4" w:rsidRDefault="00C80EDB" w:rsidP="004D4430">
      <w:pPr>
        <w:pStyle w:val="ListNumber"/>
      </w:pPr>
      <w:r>
        <w:t>Many</w:t>
      </w:r>
      <w:r w:rsidR="00DC4615">
        <w:t>, if not most</w:t>
      </w:r>
      <w:r w:rsidR="00C2341D">
        <w:t>,</w:t>
      </w:r>
      <w:r>
        <w:t xml:space="preserve"> ‘statements of belief’ will not contravene </w:t>
      </w:r>
      <w:r w:rsidR="00DC4615">
        <w:t>other discrimination law</w:t>
      </w:r>
      <w:r w:rsidR="00D2166C">
        <w:t>s</w:t>
      </w:r>
      <w:r w:rsidR="00DC4615">
        <w:t xml:space="preserve">.  </w:t>
      </w:r>
      <w:r w:rsidR="000A771C">
        <w:t xml:space="preserve">There is clearly no need to provide legislative protection from </w:t>
      </w:r>
      <w:r w:rsidR="00A204BE">
        <w:t xml:space="preserve">the operation of </w:t>
      </w:r>
      <w:r w:rsidR="000A771C">
        <w:t xml:space="preserve">discrimination </w:t>
      </w:r>
      <w:r w:rsidR="00A204BE">
        <w:t>law</w:t>
      </w:r>
      <w:r w:rsidR="00D2166C">
        <w:t>s</w:t>
      </w:r>
      <w:r w:rsidR="00A204BE">
        <w:t xml:space="preserve"> in relation to statements that are not discriminatory.  </w:t>
      </w:r>
      <w:r w:rsidR="00B50DA8">
        <w:t>The sphere of operation of c</w:t>
      </w:r>
      <w:r w:rsidR="00DC4615">
        <w:t xml:space="preserve">lause 41 </w:t>
      </w:r>
      <w:r w:rsidR="00B50DA8">
        <w:t xml:space="preserve">is limited to </w:t>
      </w:r>
      <w:r w:rsidR="00DC4615">
        <w:t>discriminatory statements of belief.</w:t>
      </w:r>
    </w:p>
    <w:p w14:paraId="24DED358" w14:textId="42434242" w:rsidR="00DC4615" w:rsidRDefault="00002957" w:rsidP="004D4430">
      <w:pPr>
        <w:pStyle w:val="ListNumber"/>
      </w:pPr>
      <w:r>
        <w:t>Discriminatory statements may amount to ‘less favourable treatment’</w:t>
      </w:r>
      <w:r w:rsidR="00416C8C">
        <w:t xml:space="preserve"> in and of themselves</w:t>
      </w:r>
      <w:r>
        <w:t xml:space="preserve">.  They may also provide evidence that other </w:t>
      </w:r>
      <w:r w:rsidR="00E55EA5">
        <w:t>conduct</w:t>
      </w:r>
      <w:r w:rsidR="00C2341D">
        <w:t>,</w:t>
      </w:r>
      <w:r w:rsidR="00E55EA5">
        <w:t xml:space="preserve"> which is less favourable to a person</w:t>
      </w:r>
      <w:r w:rsidR="00C2341D">
        <w:t>,</w:t>
      </w:r>
      <w:r w:rsidR="00E55EA5">
        <w:t xml:space="preserve"> was undertaken for a </w:t>
      </w:r>
      <w:r w:rsidR="00E54AC3">
        <w:t>prohibited</w:t>
      </w:r>
      <w:r w:rsidR="00E55EA5">
        <w:t xml:space="preserve"> reason.  Often establishing the reason that </w:t>
      </w:r>
      <w:r w:rsidR="000A3DB1">
        <w:t xml:space="preserve">unfavourable </w:t>
      </w:r>
      <w:r w:rsidR="007640D8">
        <w:t>conduct was undertaken is one of the greatest obstacles to a</w:t>
      </w:r>
      <w:r w:rsidR="00C2341D">
        <w:t>n individual</w:t>
      </w:r>
      <w:r w:rsidR="007B0719">
        <w:t>,</w:t>
      </w:r>
      <w:r w:rsidR="00C2341D">
        <w:t xml:space="preserve"> who has in fact </w:t>
      </w:r>
      <w:r w:rsidR="00941856">
        <w:t xml:space="preserve">been </w:t>
      </w:r>
      <w:r w:rsidR="007640D8">
        <w:t>discrimina</w:t>
      </w:r>
      <w:r w:rsidR="00941856">
        <w:t>ted against</w:t>
      </w:r>
      <w:r w:rsidR="007B0719">
        <w:t>,</w:t>
      </w:r>
      <w:r w:rsidR="00C2341D">
        <w:t xml:space="preserve"> being able to prove </w:t>
      </w:r>
      <w:r w:rsidR="007B0719">
        <w:t>it</w:t>
      </w:r>
      <w:r w:rsidR="00C2341D">
        <w:t xml:space="preserve"> to the requisite legal standard</w:t>
      </w:r>
      <w:r w:rsidR="007640D8">
        <w:t>.</w:t>
      </w:r>
    </w:p>
    <w:p w14:paraId="1D545552" w14:textId="387E4863" w:rsidR="00D75EE3" w:rsidRDefault="00416C8C" w:rsidP="00E81FA1">
      <w:pPr>
        <w:pStyle w:val="ListNumber"/>
      </w:pPr>
      <w:r>
        <w:t xml:space="preserve">For example, an employer may make a statement </w:t>
      </w:r>
      <w:r w:rsidR="00C2509E">
        <w:t xml:space="preserve">that </w:t>
      </w:r>
      <w:r w:rsidR="00EA5241">
        <w:t xml:space="preserve">‘women should not be in leadership </w:t>
      </w:r>
      <w:proofErr w:type="gramStart"/>
      <w:r w:rsidR="00EA5241">
        <w:t>positions’</w:t>
      </w:r>
      <w:proofErr w:type="gramEnd"/>
      <w:r w:rsidR="00EA5241">
        <w:t xml:space="preserve">.  </w:t>
      </w:r>
      <w:r w:rsidR="00FF44F9">
        <w:t xml:space="preserve">That is a statement that </w:t>
      </w:r>
      <w:r w:rsidR="00FB59E4">
        <w:t xml:space="preserve">may reasonably be regarded as being in accordance with the </w:t>
      </w:r>
      <w:r w:rsidR="00962F9F">
        <w:t>doctrines of some religions.</w:t>
      </w:r>
      <w:r w:rsidR="00597E8E">
        <w:t xml:space="preserve">  The employer may genuinely believe the statement and make it in good faith.  However, it may have a significant adverse effect on women in </w:t>
      </w:r>
      <w:r w:rsidR="00D75EE3">
        <w:t>that</w:t>
      </w:r>
      <w:r w:rsidR="00597E8E">
        <w:t xml:space="preserve"> </w:t>
      </w:r>
      <w:r w:rsidR="00FB73C1">
        <w:t>workplace</w:t>
      </w:r>
      <w:r w:rsidR="00D0049E">
        <w:t xml:space="preserve">.  </w:t>
      </w:r>
      <w:r w:rsidR="00B22860">
        <w:t xml:space="preserve">Further, if there was subsequent conduct by the employer of not promoting women, it may provide evidence that the conduct was engaged in for a prohibited </w:t>
      </w:r>
      <w:r w:rsidR="002A469F">
        <w:t>reason</w:t>
      </w:r>
      <w:r w:rsidR="003E3582">
        <w:t>.</w:t>
      </w:r>
      <w:r w:rsidR="003C6210">
        <w:t xml:space="preserve">  </w:t>
      </w:r>
      <w:r w:rsidR="005728E8">
        <w:t>Section 5(1) of the SDA prohibits direct sex discrimination.  This involves less favourable treatment on the ground of sex.</w:t>
      </w:r>
      <w:r w:rsidR="00FF4E29">
        <w:t xml:space="preserve">  </w:t>
      </w:r>
      <w:r w:rsidR="00D75EE3">
        <w:t>As a result of clause 41</w:t>
      </w:r>
      <w:r w:rsidR="00FF4E29">
        <w:t xml:space="preserve"> of the Bill</w:t>
      </w:r>
      <w:r w:rsidR="00D75EE3">
        <w:t xml:space="preserve">, the statement would not constitute discrimination.  Arguably, </w:t>
      </w:r>
      <w:r w:rsidR="009B7F71">
        <w:t>a court may also find that</w:t>
      </w:r>
      <w:r w:rsidR="00D2166C">
        <w:t>,</w:t>
      </w:r>
      <w:r w:rsidR="009B7F71">
        <w:t xml:space="preserve"> </w:t>
      </w:r>
      <w:r w:rsidR="00D82A66">
        <w:t xml:space="preserve">if </w:t>
      </w:r>
      <w:r w:rsidR="009B7F71">
        <w:t xml:space="preserve">the statement is not </w:t>
      </w:r>
      <w:r w:rsidR="00D82A66">
        <w:t>discriminatory</w:t>
      </w:r>
      <w:r w:rsidR="00D2166C">
        <w:t>,</w:t>
      </w:r>
      <w:r w:rsidR="00D82A66">
        <w:t xml:space="preserve"> it cannot be relied on to support </w:t>
      </w:r>
      <w:r w:rsidR="0042676B">
        <w:t>an allegation that other related</w:t>
      </w:r>
      <w:r w:rsidR="00C20320">
        <w:t xml:space="preserve"> </w:t>
      </w:r>
      <w:r w:rsidR="0042676B">
        <w:t xml:space="preserve">conduct </w:t>
      </w:r>
      <w:r w:rsidR="009F5A7B">
        <w:t>was engaged in ‘on the ground</w:t>
      </w:r>
      <w:r w:rsidR="00D17EA0">
        <w:t xml:space="preserve"> of the sex</w:t>
      </w:r>
      <w:r w:rsidR="004F6558">
        <w:t xml:space="preserve"> of the aggrieved person’</w:t>
      </w:r>
      <w:r w:rsidR="009B7F71">
        <w:t xml:space="preserve">. </w:t>
      </w:r>
    </w:p>
    <w:p w14:paraId="404CEAE8" w14:textId="1FBBAA27" w:rsidR="00FC58E2" w:rsidRDefault="00AD0996" w:rsidP="00E81FA1">
      <w:pPr>
        <w:pStyle w:val="ListNumber"/>
      </w:pPr>
      <w:r>
        <w:lastRenderedPageBreak/>
        <w:t xml:space="preserve">To take another example, </w:t>
      </w:r>
      <w:r w:rsidR="00E478FF">
        <w:t xml:space="preserve">some people who are blind or have a vision impairment </w:t>
      </w:r>
      <w:r w:rsidR="00993E70">
        <w:t xml:space="preserve">have difficulty </w:t>
      </w:r>
      <w:r w:rsidR="00F94EB9">
        <w:t xml:space="preserve">in successfully hailing a taxi when they are travelling with a </w:t>
      </w:r>
      <w:r w:rsidR="00E478FF">
        <w:t>guide dog</w:t>
      </w:r>
      <w:r w:rsidR="00F94EB9">
        <w:t xml:space="preserve">.  </w:t>
      </w:r>
      <w:r w:rsidR="00C620C5">
        <w:t xml:space="preserve">Sections </w:t>
      </w:r>
      <w:r w:rsidR="00584138">
        <w:t xml:space="preserve">5(1) and </w:t>
      </w:r>
      <w:r w:rsidR="00C620C5">
        <w:t xml:space="preserve">8 of the DDA </w:t>
      </w:r>
      <w:r w:rsidR="00584138">
        <w:t xml:space="preserve">provide that it is unlawful to treat a person less favourably </w:t>
      </w:r>
      <w:r w:rsidR="007C1D92">
        <w:t xml:space="preserve">because they have an assistance animal.  </w:t>
      </w:r>
      <w:r w:rsidR="00AD141D">
        <w:t>If a taxi driver said to such a person that their religion considers dogs to be unclea</w:t>
      </w:r>
      <w:r w:rsidR="009E2CE4">
        <w:t xml:space="preserve">n animals </w:t>
      </w:r>
      <w:r w:rsidR="00A84DE7">
        <w:t>and should not be permitted in a vehicle</w:t>
      </w:r>
      <w:r w:rsidR="0018520F">
        <w:t xml:space="preserve">, </w:t>
      </w:r>
      <w:r w:rsidR="00715DA6">
        <w:t xml:space="preserve">this may involve treating the person less favourably because of their assistance animal.  </w:t>
      </w:r>
      <w:r w:rsidR="00FE5C0C">
        <w:t xml:space="preserve">As a result of clause 41 of the Bill, the statement would not constitute </w:t>
      </w:r>
      <w:r w:rsidR="00FA4FA1">
        <w:t xml:space="preserve">disability </w:t>
      </w:r>
      <w:r w:rsidR="00FE5C0C">
        <w:t xml:space="preserve">discrimination. </w:t>
      </w:r>
      <w:r w:rsidR="007C1D92">
        <w:t xml:space="preserve"> </w:t>
      </w:r>
    </w:p>
    <w:p w14:paraId="35453C6F" w14:textId="44145AF8" w:rsidR="004968CA" w:rsidRDefault="00F52AFB" w:rsidP="00E81FA1">
      <w:pPr>
        <w:pStyle w:val="ListNumber"/>
      </w:pPr>
      <w:r>
        <w:t>Historically, there have been inst</w:t>
      </w:r>
      <w:r w:rsidR="00B056F7">
        <w:t xml:space="preserve">ances where </w:t>
      </w:r>
      <w:r w:rsidR="004968CA">
        <w:t xml:space="preserve">people with disabilities have </w:t>
      </w:r>
      <w:r w:rsidR="00A173CB">
        <w:t xml:space="preserve">faced discrimination </w:t>
      </w:r>
      <w:proofErr w:type="gramStart"/>
      <w:r w:rsidR="00A173CB">
        <w:t>on the basis of</w:t>
      </w:r>
      <w:proofErr w:type="gramEnd"/>
      <w:r w:rsidR="00A173CB">
        <w:t xml:space="preserve"> a view that disability is a </w:t>
      </w:r>
      <w:r w:rsidR="00267A22">
        <w:t xml:space="preserve">divine punishment </w:t>
      </w:r>
      <w:r w:rsidR="004833B2">
        <w:t xml:space="preserve">for sin or the result of negative karma. </w:t>
      </w:r>
      <w:r w:rsidR="00032E90">
        <w:t xml:space="preserve"> It is not difficult to </w:t>
      </w:r>
      <w:r w:rsidR="007F15B2">
        <w:t>image situations in which statements of these views would be likely to entrench discrimination against people with disabilities</w:t>
      </w:r>
      <w:r w:rsidR="00676386">
        <w:t>, particularly w</w:t>
      </w:r>
      <w:r w:rsidR="00B84483">
        <w:t xml:space="preserve">here these statements are </w:t>
      </w:r>
      <w:r w:rsidR="007B45D0">
        <w:t>combined with other less favourable treatment</w:t>
      </w:r>
      <w:r w:rsidR="00676386">
        <w:t>.</w:t>
      </w:r>
      <w:r w:rsidR="00E454E4">
        <w:t xml:space="preserve"> </w:t>
      </w:r>
    </w:p>
    <w:p w14:paraId="008986A7" w14:textId="365D42B6" w:rsidR="003C6210" w:rsidRDefault="00912C05" w:rsidP="004D4430">
      <w:pPr>
        <w:pStyle w:val="ListNumber"/>
      </w:pPr>
      <w:r>
        <w:t xml:space="preserve">The Commission is not aware of any </w:t>
      </w:r>
      <w:r w:rsidR="000744DA">
        <w:t xml:space="preserve">faith-based group </w:t>
      </w:r>
      <w:r w:rsidR="009B349E">
        <w:t xml:space="preserve">that is currently advocating that it, or its members, should be </w:t>
      </w:r>
      <w:r w:rsidR="007B0719">
        <w:t>permitted to engage in conduct that is currently prohibited under the RDA</w:t>
      </w:r>
      <w:r w:rsidR="000744DA">
        <w:t>.  Nevertheless, c</w:t>
      </w:r>
      <w:r w:rsidR="00527B10">
        <w:t xml:space="preserve">lause 41 </w:t>
      </w:r>
      <w:r w:rsidR="006600B1">
        <w:t>would</w:t>
      </w:r>
      <w:r w:rsidR="00527B10">
        <w:t xml:space="preserve"> render lawful </w:t>
      </w:r>
      <w:r w:rsidR="00DA3DA0">
        <w:t xml:space="preserve">any </w:t>
      </w:r>
      <w:r w:rsidR="00527B10">
        <w:t>discriminatory statement of belief that would otherwise amount to racial discrimination</w:t>
      </w:r>
      <w:r w:rsidR="00C00089">
        <w:t xml:space="preserve"> under s </w:t>
      </w:r>
      <w:r w:rsidR="00D732BC">
        <w:t>9(1) of the RDA</w:t>
      </w:r>
      <w:r w:rsidR="00527B10">
        <w:t xml:space="preserve">.  </w:t>
      </w:r>
      <w:r w:rsidR="001301E6">
        <w:t xml:space="preserve">It is </w:t>
      </w:r>
      <w:r w:rsidR="009113EC">
        <w:t xml:space="preserve">extremely </w:t>
      </w:r>
      <w:r w:rsidR="001301E6">
        <w:t xml:space="preserve">difficult to establish racial discrimination in the absence of </w:t>
      </w:r>
      <w:r w:rsidR="00F9165C">
        <w:t>direct evidence</w:t>
      </w:r>
      <w:r w:rsidR="00E94695">
        <w:t>.</w:t>
      </w:r>
      <w:r w:rsidR="00014E48">
        <w:rPr>
          <w:rStyle w:val="EndnoteReference"/>
        </w:rPr>
        <w:endnoteReference w:id="26"/>
      </w:r>
      <w:r w:rsidR="00E94695">
        <w:t xml:space="preserve">  </w:t>
      </w:r>
      <w:r w:rsidR="000C0230">
        <w:t xml:space="preserve">In many cases, courts have been reluctant to draw inferences of racial discrimination in the absence of </w:t>
      </w:r>
      <w:r w:rsidR="00953382">
        <w:t>express</w:t>
      </w:r>
      <w:r w:rsidR="000C0230">
        <w:t xml:space="preserve"> statements </w:t>
      </w:r>
      <w:r w:rsidR="00D4180C">
        <w:t>that demonstrate that race was a factor in decision</w:t>
      </w:r>
      <w:r w:rsidR="00AC786F">
        <w:t>-</w:t>
      </w:r>
      <w:r w:rsidR="00D4180C">
        <w:t>making.</w:t>
      </w:r>
      <w:r w:rsidR="00E1403F">
        <w:rPr>
          <w:rStyle w:val="EndnoteReference"/>
        </w:rPr>
        <w:endnoteReference w:id="27"/>
      </w:r>
      <w:r w:rsidR="00D4180C">
        <w:t xml:space="preserve">  </w:t>
      </w:r>
      <w:r w:rsidR="005D03E8">
        <w:t xml:space="preserve">Clause 41 would be likely to compound this difficulty by insulating </w:t>
      </w:r>
      <w:r w:rsidR="008B4E8C">
        <w:t xml:space="preserve">racially discriminatory statements </w:t>
      </w:r>
      <w:r w:rsidR="00502ADC">
        <w:t xml:space="preserve">from review by the </w:t>
      </w:r>
      <w:r w:rsidR="00260974">
        <w:t>c</w:t>
      </w:r>
      <w:r w:rsidR="00502ADC">
        <w:t>ourts.</w:t>
      </w:r>
    </w:p>
    <w:p w14:paraId="0EBFE9CB" w14:textId="54EC5759" w:rsidR="00F61A43" w:rsidRDefault="00F61A43" w:rsidP="00E81FA1">
      <w:pPr>
        <w:pStyle w:val="ListNumber"/>
      </w:pPr>
      <w:r>
        <w:t xml:space="preserve">The Religious Freedom Review </w:t>
      </w:r>
      <w:r w:rsidR="0070380A">
        <w:t xml:space="preserve">received </w:t>
      </w:r>
      <w:r w:rsidR="00771180">
        <w:t xml:space="preserve">submissions setting out personal accounts of discrimination faced by </w:t>
      </w:r>
      <w:r w:rsidR="009B349E">
        <w:t>lesbian, gay, bisexual, transgender and intersex (</w:t>
      </w:r>
      <w:r w:rsidR="00771180">
        <w:t>LGBTI</w:t>
      </w:r>
      <w:r w:rsidR="009B349E">
        <w:t>)</w:t>
      </w:r>
      <w:r w:rsidR="00771180">
        <w:t xml:space="preserve"> people in a range of areas of public life, including ‘as students in religious schools, patients in faith-based hospitals, employees in religious institutions</w:t>
      </w:r>
      <w:r w:rsidR="0022535C">
        <w:t xml:space="preserve"> and members of religious congregations’</w:t>
      </w:r>
      <w:r w:rsidR="0040513B">
        <w:t>.</w:t>
      </w:r>
      <w:r w:rsidR="0040513B">
        <w:rPr>
          <w:rStyle w:val="EndnoteReference"/>
        </w:rPr>
        <w:endnoteReference w:id="28"/>
      </w:r>
      <w:r w:rsidR="006B3619">
        <w:t xml:space="preserve">  </w:t>
      </w:r>
      <w:r w:rsidR="007024A3">
        <w:t xml:space="preserve">Instances of </w:t>
      </w:r>
      <w:r w:rsidR="00E000A1">
        <w:t>discrimination in these areas may well be accompanied by discriminatory statements of belief.</w:t>
      </w:r>
      <w:r w:rsidR="001C08A7">
        <w:t xml:space="preserve">  Since 2013, the SDA has </w:t>
      </w:r>
      <w:r w:rsidR="00425E65">
        <w:t xml:space="preserve">prohibited discrimination in a range of areas of public life on the grounds of sexual </w:t>
      </w:r>
      <w:r w:rsidR="00C21E6F">
        <w:t>orientation, gender identity or intersex status.</w:t>
      </w:r>
      <w:r w:rsidR="00C21E6F">
        <w:rPr>
          <w:rStyle w:val="EndnoteReference"/>
        </w:rPr>
        <w:endnoteReference w:id="29"/>
      </w:r>
      <w:r w:rsidR="00C21E6F">
        <w:t xml:space="preserve"> </w:t>
      </w:r>
      <w:r w:rsidR="006C24B3">
        <w:t xml:space="preserve"> By rendering discriminatory statements of belief lawful, clause </w:t>
      </w:r>
      <w:r w:rsidR="006C24B3">
        <w:lastRenderedPageBreak/>
        <w:t xml:space="preserve">41 </w:t>
      </w:r>
      <w:r w:rsidR="00A50A52">
        <w:t xml:space="preserve">is likely to make it more difficult for LGBTI people to establish </w:t>
      </w:r>
      <w:r w:rsidR="00E65847">
        <w:t xml:space="preserve">that they have been </w:t>
      </w:r>
      <w:r w:rsidR="00A50A52">
        <w:t>discriminat</w:t>
      </w:r>
      <w:r w:rsidR="00E65847">
        <w:t>ed against for a prohibited reason.</w:t>
      </w:r>
    </w:p>
    <w:p w14:paraId="0D715D1E" w14:textId="3EADB3DB" w:rsidR="00ED4146" w:rsidRDefault="00C5665B" w:rsidP="00E81FA1">
      <w:pPr>
        <w:pStyle w:val="ListNumber"/>
      </w:pPr>
      <w:r>
        <w:t>The Explanatory Notes make clear that clause 41 does not apply to actions for harassment, offensive behaviour based on racial hatred, vilification or incitement.</w:t>
      </w:r>
      <w:r>
        <w:rPr>
          <w:rStyle w:val="EndnoteReference"/>
        </w:rPr>
        <w:endnoteReference w:id="30"/>
      </w:r>
      <w:r>
        <w:t xml:space="preserve">  However, s</w:t>
      </w:r>
      <w:r w:rsidR="00ED4146">
        <w:t xml:space="preserve">exual harassment </w:t>
      </w:r>
      <w:r w:rsidR="00DB380E">
        <w:t>can</w:t>
      </w:r>
      <w:r w:rsidR="00911A37">
        <w:t xml:space="preserve"> also</w:t>
      </w:r>
      <w:r w:rsidR="00DB380E">
        <w:t xml:space="preserve"> be a form of s</w:t>
      </w:r>
      <w:r w:rsidR="00A6749B">
        <w:t>ex discrimination.</w:t>
      </w:r>
      <w:r w:rsidR="008F3472">
        <w:rPr>
          <w:rStyle w:val="EndnoteReference"/>
        </w:rPr>
        <w:endnoteReference w:id="31"/>
      </w:r>
      <w:r w:rsidR="00A6749B">
        <w:t xml:space="preserve">  Further, conduct that falls short of sexual harassment may still amount to sex discrimination if it amounts to less favourable treatment by reason of sex.</w:t>
      </w:r>
      <w:r w:rsidR="00B52326">
        <w:rPr>
          <w:rStyle w:val="EndnoteReference"/>
        </w:rPr>
        <w:endnoteReference w:id="32"/>
      </w:r>
      <w:r w:rsidR="00A6749B">
        <w:t xml:space="preserve"> </w:t>
      </w:r>
      <w:r w:rsidR="003467CE">
        <w:t xml:space="preserve"> In each case, </w:t>
      </w:r>
      <w:r w:rsidR="00DC419B">
        <w:t>clause 41 would prevent actions for discrimination based on this kind of conduct as a result of a discriminatory statement of belief.</w:t>
      </w:r>
    </w:p>
    <w:p w14:paraId="7D65EF9E" w14:textId="5D89EB57" w:rsidR="00DC419B" w:rsidRDefault="0098761A" w:rsidP="00E81FA1">
      <w:pPr>
        <w:pStyle w:val="ListNumber"/>
      </w:pPr>
      <w:r>
        <w:t>Recommendation 3 of the Religious Freedom Review</w:t>
      </w:r>
      <w:r w:rsidR="00A126F7">
        <w:t xml:space="preserve"> was that Australian governments should consider the use of objects clauses in </w:t>
      </w:r>
      <w:r w:rsidR="00764406">
        <w:t>anti-discrimination legislation to reflect the equal status in international law of all human rights.  This recommendation was accepted by the Government</w:t>
      </w:r>
      <w:r w:rsidR="0014626D">
        <w:t xml:space="preserve"> and is endorsed by the Commission</w:t>
      </w:r>
      <w:r w:rsidR="0071165B">
        <w:t xml:space="preserve">.  In response to this recommendation, </w:t>
      </w:r>
      <w:r w:rsidR="00A137D5">
        <w:t>clause 3(2) of the Bill provides that</w:t>
      </w:r>
      <w:r w:rsidR="002B1D11">
        <w:t>,</w:t>
      </w:r>
      <w:r w:rsidR="00A137D5">
        <w:t xml:space="preserve"> </w:t>
      </w:r>
      <w:r w:rsidR="008E653C">
        <w:t xml:space="preserve">in giving effect to the objects of the Bill, regard is to be had to ‘the indivisibility and universality of human </w:t>
      </w:r>
      <w:proofErr w:type="gramStart"/>
      <w:r w:rsidR="008E653C">
        <w:t>rights’</w:t>
      </w:r>
      <w:proofErr w:type="gramEnd"/>
      <w:r w:rsidR="008E653C">
        <w:t xml:space="preserve">.  Similar provisions </w:t>
      </w:r>
      <w:r w:rsidR="00BD2785">
        <w:t xml:space="preserve">would be added to the RDA, SDA, DDA and ADA by the </w:t>
      </w:r>
      <w:r w:rsidR="009932A6">
        <w:t>Freedom of Religion Bill.</w:t>
      </w:r>
    </w:p>
    <w:p w14:paraId="01067D63" w14:textId="77D661AF" w:rsidR="009932A6" w:rsidRDefault="009932A6" w:rsidP="00E81FA1">
      <w:pPr>
        <w:pStyle w:val="ListNumber"/>
      </w:pPr>
      <w:r>
        <w:t xml:space="preserve">Clause 41 is inconsistent with these </w:t>
      </w:r>
      <w:proofErr w:type="gramStart"/>
      <w:r>
        <w:t>objects</w:t>
      </w:r>
      <w:proofErr w:type="gramEnd"/>
      <w:r>
        <w:t xml:space="preserve"> clauses.  Instead of reflecting the </w:t>
      </w:r>
      <w:r w:rsidR="00A90ABA">
        <w:t xml:space="preserve">equal status of human rights and their indivisibility, it seeks to </w:t>
      </w:r>
      <w:r w:rsidR="00772835">
        <w:t>favour</w:t>
      </w:r>
      <w:r w:rsidR="00A90ABA">
        <w:t xml:space="preserve"> one human right at the expense of others.</w:t>
      </w:r>
      <w:r w:rsidR="00D30FEB">
        <w:t xml:space="preserve">  The Commission has serious concerns about how this </w:t>
      </w:r>
      <w:r w:rsidR="00F45CF7">
        <w:t>would affect the enjoyment of other human rights in practice.</w:t>
      </w:r>
    </w:p>
    <w:p w14:paraId="4F625DD5" w14:textId="0A08866E" w:rsidR="00464A29" w:rsidRDefault="00464A29" w:rsidP="00D77A9D">
      <w:pPr>
        <w:pStyle w:val="ListNumber"/>
      </w:pPr>
      <w:r>
        <w:t>Further, clause 41 is inconsistent with the protections against discrimination provided for in articles 2 and 26 of the ICCPR.  Article 26 requires Australia to legislate ‘equal and effective protection’ against discrimination on a range of grounds including race, sex, religion or other status.  Among other things, article 2 requires Australia to ensure that people whose rights have been violated have an effective remedy.  In overriding other anti-discrimination law</w:t>
      </w:r>
      <w:r w:rsidR="00946922">
        <w:t>s</w:t>
      </w:r>
      <w:r>
        <w:t>, clause 41 does not provide equal protection against discrimination and compromises the ability of people who have been discriminated against to obtain an effective remedy in the circumstances in which the clause operates.</w:t>
      </w:r>
    </w:p>
    <w:p w14:paraId="0FF5F161" w14:textId="34435AC5" w:rsidR="00BA6677" w:rsidRPr="00DE681B" w:rsidRDefault="00BA6677" w:rsidP="00DE681B">
      <w:pPr>
        <w:pStyle w:val="ListNumber"/>
        <w:keepNext/>
        <w:numPr>
          <w:ilvl w:val="0"/>
          <w:numId w:val="0"/>
        </w:numPr>
        <w:ind w:left="1094"/>
        <w:rPr>
          <w:b/>
          <w:bCs/>
        </w:rPr>
      </w:pPr>
      <w:r w:rsidRPr="00DE681B">
        <w:rPr>
          <w:b/>
          <w:bCs/>
        </w:rPr>
        <w:t xml:space="preserve">Recommendation </w:t>
      </w:r>
      <w:r w:rsidR="00AA04DF">
        <w:rPr>
          <w:b/>
          <w:bCs/>
        </w:rPr>
        <w:t>4</w:t>
      </w:r>
    </w:p>
    <w:p w14:paraId="29E6B17F" w14:textId="6F332B5B" w:rsidR="00BA6677" w:rsidRDefault="00BA6677" w:rsidP="00DE681B">
      <w:pPr>
        <w:pStyle w:val="ListNumber"/>
        <w:numPr>
          <w:ilvl w:val="0"/>
          <w:numId w:val="0"/>
        </w:numPr>
        <w:ind w:left="1094"/>
      </w:pPr>
      <w:r>
        <w:t>The Commission recommends that clause 41</w:t>
      </w:r>
      <w:r w:rsidR="00DE681B">
        <w:t xml:space="preserve">, dealing with discriminatory statements of belief, </w:t>
      </w:r>
      <w:r w:rsidR="008D379A">
        <w:t>be</w:t>
      </w:r>
      <w:r w:rsidR="00DE681B">
        <w:t xml:space="preserve"> removed from the Bill.</w:t>
      </w:r>
    </w:p>
    <w:p w14:paraId="6C341FF8" w14:textId="3C14A76E" w:rsidR="009A6342" w:rsidRDefault="009A6342" w:rsidP="009A6342">
      <w:pPr>
        <w:pStyle w:val="Heading2"/>
      </w:pPr>
      <w:bookmarkStart w:id="26" w:name="_Toc20471753"/>
      <w:r>
        <w:lastRenderedPageBreak/>
        <w:t>Increased cost and complexity in State matters</w:t>
      </w:r>
      <w:bookmarkEnd w:id="26"/>
      <w:r>
        <w:t xml:space="preserve"> </w:t>
      </w:r>
    </w:p>
    <w:p w14:paraId="7F67F8EE" w14:textId="191332FA" w:rsidR="009A6342" w:rsidRDefault="004B6091" w:rsidP="004B6091">
      <w:pPr>
        <w:pStyle w:val="ListNumber"/>
      </w:pPr>
      <w:r>
        <w:t xml:space="preserve">There is a further reason why the </w:t>
      </w:r>
      <w:r w:rsidR="00245DE0">
        <w:t xml:space="preserve">broad </w:t>
      </w:r>
      <w:r w:rsidR="00946922">
        <w:t xml:space="preserve">overriding </w:t>
      </w:r>
      <w:r w:rsidR="00245DE0">
        <w:t xml:space="preserve">of </w:t>
      </w:r>
      <w:r w:rsidR="00413ECE">
        <w:t>Australian discrimination law</w:t>
      </w:r>
      <w:r w:rsidR="00946922">
        <w:t>s</w:t>
      </w:r>
      <w:r w:rsidR="00413ECE">
        <w:t xml:space="preserve"> for </w:t>
      </w:r>
      <w:r>
        <w:t xml:space="preserve">discriminatory statements of belief </w:t>
      </w:r>
      <w:r w:rsidR="00C156ED">
        <w:t>is problematic.</w:t>
      </w:r>
      <w:r w:rsidR="00560943">
        <w:t xml:space="preserve">  It is likely to lead to increased cost and complexity where this Commonwealth </w:t>
      </w:r>
      <w:r w:rsidR="00785041">
        <w:t xml:space="preserve">provision is sought to be relied on in </w:t>
      </w:r>
      <w:r w:rsidR="00FD224B">
        <w:t xml:space="preserve">matters brought in </w:t>
      </w:r>
      <w:r w:rsidR="00785041">
        <w:t>State and Territory</w:t>
      </w:r>
      <w:r w:rsidR="00245DE0">
        <w:t xml:space="preserve"> tribunals</w:t>
      </w:r>
      <w:r w:rsidR="00785041">
        <w:t>.</w:t>
      </w:r>
    </w:p>
    <w:p w14:paraId="0B94822A" w14:textId="10977079" w:rsidR="00560943" w:rsidRDefault="0034301E" w:rsidP="004B6091">
      <w:pPr>
        <w:pStyle w:val="ListNumber"/>
      </w:pPr>
      <w:r>
        <w:t xml:space="preserve">Most </w:t>
      </w:r>
      <w:r w:rsidR="00DD6F35">
        <w:t xml:space="preserve">first instance discrimination proceedings are brought in State and Territory </w:t>
      </w:r>
      <w:r w:rsidR="00245DE0">
        <w:t>t</w:t>
      </w:r>
      <w:r w:rsidR="00DD6F35">
        <w:t>ribunals</w:t>
      </w:r>
      <w:r w:rsidR="00946922">
        <w:t>,</w:t>
      </w:r>
      <w:r w:rsidR="00DD6F35">
        <w:t xml:space="preserve"> such as the Victorian Civil and Administrative Tribunal, the </w:t>
      </w:r>
      <w:r w:rsidR="0014626D">
        <w:t>NSW</w:t>
      </w:r>
      <w:r w:rsidR="00DD6F35">
        <w:t xml:space="preserve"> </w:t>
      </w:r>
      <w:r w:rsidR="00DC77D0">
        <w:t>Civil and Administrative Tribunal and the Queensland Civil and Administrative Tribunal.</w:t>
      </w:r>
      <w:r w:rsidR="00C82ABC">
        <w:t xml:space="preserve">  </w:t>
      </w:r>
      <w:r w:rsidR="00884EB4">
        <w:t>Many complainants prefer to use these tribunals</w:t>
      </w:r>
      <w:r w:rsidR="00FB5651">
        <w:t xml:space="preserve">, as opposed to federal courts, </w:t>
      </w:r>
      <w:r w:rsidR="00884EB4">
        <w:t xml:space="preserve">because </w:t>
      </w:r>
      <w:r w:rsidR="000512CD">
        <w:t xml:space="preserve">each side is responsible for their own legal costs.  </w:t>
      </w:r>
      <w:r w:rsidR="00460614">
        <w:t xml:space="preserve">An unsuccessful party is not </w:t>
      </w:r>
      <w:r w:rsidR="00FD224B">
        <w:t xml:space="preserve">liable to pay the </w:t>
      </w:r>
      <w:r w:rsidR="00460614">
        <w:t xml:space="preserve">legal </w:t>
      </w:r>
      <w:r w:rsidR="00FD224B">
        <w:t>costs of the other side.</w:t>
      </w:r>
    </w:p>
    <w:p w14:paraId="0FDA0711" w14:textId="16F42A00" w:rsidR="00FD224B" w:rsidRDefault="00460614" w:rsidP="004B6091">
      <w:pPr>
        <w:pStyle w:val="ListNumber"/>
      </w:pPr>
      <w:r>
        <w:t xml:space="preserve">However, </w:t>
      </w:r>
      <w:r w:rsidR="00B12603">
        <w:t>these State and Territory tribunals are not Ch</w:t>
      </w:r>
      <w:r w:rsidR="0035338A">
        <w:t>apter</w:t>
      </w:r>
      <w:r w:rsidR="00B12603">
        <w:t xml:space="preserve"> III Courts</w:t>
      </w:r>
      <w:r w:rsidR="0035338A">
        <w:t>, within the meaning of the Australian Constitution,</w:t>
      </w:r>
      <w:r w:rsidR="00B12603">
        <w:t xml:space="preserve"> and are not vested with Commonwealth jurisdiction.  </w:t>
      </w:r>
      <w:r w:rsidR="007A446F">
        <w:t>If an employee brings a discrimination claim under State law</w:t>
      </w:r>
      <w:r w:rsidR="001B42F0">
        <w:t xml:space="preserve"> in one of these tribunals</w:t>
      </w:r>
      <w:r w:rsidR="007A446F">
        <w:t xml:space="preserve">, and </w:t>
      </w:r>
      <w:r w:rsidR="00250E86">
        <w:t xml:space="preserve">the employer relies on </w:t>
      </w:r>
      <w:r w:rsidR="00D00131">
        <w:t xml:space="preserve">a Commonwealth defence in </w:t>
      </w:r>
      <w:r w:rsidR="00250E86">
        <w:t>clause 41 to defeat the claim</w:t>
      </w:r>
      <w:r w:rsidR="00D23BD1">
        <w:t>,</w:t>
      </w:r>
      <w:r w:rsidR="00D00131">
        <w:t xml:space="preserve"> on the basis that the conduct was a statement of belief</w:t>
      </w:r>
      <w:r w:rsidR="00250E86">
        <w:t xml:space="preserve">, </w:t>
      </w:r>
      <w:r w:rsidR="006C4AEC">
        <w:t xml:space="preserve">the likely result is that the case would need to be transferred to a federal court or a State </w:t>
      </w:r>
      <w:r w:rsidR="00B76A1A">
        <w:t>court vested with Commonwealth jurisdiction.</w:t>
      </w:r>
    </w:p>
    <w:p w14:paraId="697647CB" w14:textId="44C9CED7" w:rsidR="0034301E" w:rsidRDefault="00147039" w:rsidP="004B6091">
      <w:pPr>
        <w:pStyle w:val="ListNumber"/>
      </w:pPr>
      <w:r>
        <w:t xml:space="preserve">This would involve not only </w:t>
      </w:r>
      <w:r w:rsidR="00BB47B4">
        <w:t xml:space="preserve">the </w:t>
      </w:r>
      <w:r>
        <w:t>additional time</w:t>
      </w:r>
      <w:r w:rsidR="00BB47B4">
        <w:t xml:space="preserve"> and</w:t>
      </w:r>
      <w:r>
        <w:t xml:space="preserve"> cost of multiple </w:t>
      </w:r>
      <w:proofErr w:type="gramStart"/>
      <w:r>
        <w:t xml:space="preserve">proceedings, </w:t>
      </w:r>
      <w:r w:rsidR="00BB47B4">
        <w:t>but</w:t>
      </w:r>
      <w:proofErr w:type="gramEnd"/>
      <w:r w:rsidR="00BB47B4">
        <w:t xml:space="preserve"> would also expose the complainant to paying the costs of the respondent in the </w:t>
      </w:r>
      <w:r w:rsidR="00B251FF">
        <w:t xml:space="preserve">court proceedings if they are unsuccessful.  This would </w:t>
      </w:r>
      <w:r w:rsidR="005022B6">
        <w:t xml:space="preserve">deprive a complainant of one of the </w:t>
      </w:r>
      <w:r w:rsidR="004B6E3E">
        <w:t xml:space="preserve">advantages of pursuing a State claim and would have the tendency to reduce access to justice. </w:t>
      </w:r>
    </w:p>
    <w:p w14:paraId="2C148606" w14:textId="1D1059BA" w:rsidR="00DE681B" w:rsidRDefault="007904CE" w:rsidP="007904CE">
      <w:pPr>
        <w:pStyle w:val="Heading1"/>
      </w:pPr>
      <w:bookmarkStart w:id="27" w:name="_Toc20471754"/>
      <w:r>
        <w:t>Indirect discrimination</w:t>
      </w:r>
      <w:bookmarkEnd w:id="27"/>
    </w:p>
    <w:p w14:paraId="174EF4A3" w14:textId="706F515B" w:rsidR="007904CE" w:rsidRDefault="00544DFB" w:rsidP="00E81FA1">
      <w:pPr>
        <w:pStyle w:val="ListNumber"/>
      </w:pPr>
      <w:r>
        <w:t xml:space="preserve">The Bill sets out prohibitions </w:t>
      </w:r>
      <w:r w:rsidR="00B7629D">
        <w:t>against direct discrimination in clause 7 and indi</w:t>
      </w:r>
      <w:r w:rsidR="009C1079">
        <w:t>rect discrimination in clause 8.  The structure of clause</w:t>
      </w:r>
      <w:r w:rsidR="00924CC7">
        <w:t>s</w:t>
      </w:r>
      <w:r w:rsidR="009C1079">
        <w:t xml:space="preserve"> 7 and 8(1)</w:t>
      </w:r>
      <w:r w:rsidR="00454B8B">
        <w:t>,</w:t>
      </w:r>
      <w:r w:rsidR="009C1079">
        <w:t xml:space="preserve"> (2) </w:t>
      </w:r>
      <w:r w:rsidR="00454B8B">
        <w:t>and (</w:t>
      </w:r>
      <w:r w:rsidR="0075376F">
        <w:t>7)</w:t>
      </w:r>
      <w:r w:rsidR="00DA734C">
        <w:t xml:space="preserve"> </w:t>
      </w:r>
      <w:r w:rsidR="00924CC7">
        <w:t xml:space="preserve">are </w:t>
      </w:r>
      <w:r w:rsidR="00454B8B">
        <w:t>consistent with other Commonwealth discrimination law</w:t>
      </w:r>
      <w:r w:rsidR="00604731">
        <w:t>s</w:t>
      </w:r>
      <w:r w:rsidR="00454B8B">
        <w:t xml:space="preserve"> and </w:t>
      </w:r>
      <w:r w:rsidR="00924CC7">
        <w:t>are</w:t>
      </w:r>
      <w:r w:rsidR="00454B8B">
        <w:t xml:space="preserve"> uncontroversial. </w:t>
      </w:r>
      <w:r w:rsidR="0082090A">
        <w:t xml:space="preserve"> Similarly, Part 3 of the Bill</w:t>
      </w:r>
      <w:r w:rsidR="008C12B2">
        <w:t>,</w:t>
      </w:r>
      <w:r w:rsidR="0082090A">
        <w:t xml:space="preserve"> dealing with </w:t>
      </w:r>
      <w:r w:rsidR="001E1D5C">
        <w:t>the areas of public life in which discrimination on the ground of religious belief or activity would be prohibited</w:t>
      </w:r>
      <w:r w:rsidR="008C12B2">
        <w:t>,</w:t>
      </w:r>
      <w:r w:rsidR="001E1D5C">
        <w:t xml:space="preserve"> are uncontroversial.</w:t>
      </w:r>
    </w:p>
    <w:p w14:paraId="699BD34D" w14:textId="775CC852" w:rsidR="002B5057" w:rsidRDefault="008C12B2" w:rsidP="00E81FA1">
      <w:pPr>
        <w:pStyle w:val="ListNumber"/>
      </w:pPr>
      <w:r>
        <w:lastRenderedPageBreak/>
        <w:t>T</w:t>
      </w:r>
      <w:r w:rsidR="005713AE">
        <w:t xml:space="preserve">he Commission considers </w:t>
      </w:r>
      <w:r>
        <w:t xml:space="preserve">some of the standard parts of the Bill </w:t>
      </w:r>
      <w:r w:rsidR="005713AE">
        <w:t>to be best practice</w:t>
      </w:r>
      <w:r w:rsidR="008F2996">
        <w:t>, such as the broader definition of ‘employment’</w:t>
      </w:r>
      <w:r w:rsidR="00946922">
        <w:t>,</w:t>
      </w:r>
      <w:r w:rsidR="008F2996">
        <w:t xml:space="preserve"> discussed in section </w:t>
      </w:r>
      <w:r w:rsidR="008F2996">
        <w:fldChar w:fldCharType="begin"/>
      </w:r>
      <w:r w:rsidR="008F2996">
        <w:instrText xml:space="preserve"> REF _Ref19871045 \r \h </w:instrText>
      </w:r>
      <w:r w:rsidR="008F2996">
        <w:fldChar w:fldCharType="separate"/>
      </w:r>
      <w:r w:rsidR="00C96B7D">
        <w:t>5.1</w:t>
      </w:r>
      <w:r w:rsidR="008F2996">
        <w:fldChar w:fldCharType="end"/>
      </w:r>
      <w:r w:rsidR="008F2996">
        <w:t xml:space="preserve"> above</w:t>
      </w:r>
      <w:r w:rsidR="005713AE">
        <w:t xml:space="preserve">.  </w:t>
      </w:r>
    </w:p>
    <w:p w14:paraId="1AF71704" w14:textId="684B4694" w:rsidR="00924CC7" w:rsidRDefault="00924CC7" w:rsidP="00E81FA1">
      <w:pPr>
        <w:pStyle w:val="ListNumber"/>
      </w:pPr>
      <w:r>
        <w:t xml:space="preserve">However, </w:t>
      </w:r>
      <w:r w:rsidR="00154F06">
        <w:t xml:space="preserve">when it comes to the test for indirect discrimination, </w:t>
      </w:r>
      <w:r>
        <w:t xml:space="preserve">the Bill introduces </w:t>
      </w:r>
      <w:r w:rsidR="0096683E">
        <w:t xml:space="preserve">provisions that are </w:t>
      </w:r>
      <w:r w:rsidR="0092751C">
        <w:t xml:space="preserve">unusual </w:t>
      </w:r>
      <w:r w:rsidR="0096683E">
        <w:t xml:space="preserve">and unnecessary.  </w:t>
      </w:r>
      <w:r w:rsidR="003C43D1">
        <w:t xml:space="preserve">In particular, </w:t>
      </w:r>
      <w:r>
        <w:t xml:space="preserve">two </w:t>
      </w:r>
      <w:r w:rsidR="007E7033">
        <w:t xml:space="preserve">sets of </w:t>
      </w:r>
      <w:r>
        <w:t>deeming provisions in claus</w:t>
      </w:r>
      <w:r w:rsidR="0077219E">
        <w:t>e</w:t>
      </w:r>
      <w:r w:rsidR="001471B8">
        <w:t>s</w:t>
      </w:r>
      <w:r w:rsidR="0077219E">
        <w:t xml:space="preserve"> 8(3</w:t>
      </w:r>
      <w:r w:rsidR="001471B8">
        <w:t>)</w:t>
      </w:r>
      <w:proofErr w:type="gramStart"/>
      <w:r w:rsidR="001471B8">
        <w:t>–(</w:t>
      </w:r>
      <w:proofErr w:type="gramEnd"/>
      <w:r w:rsidR="0077219E">
        <w:t>4) and clause</w:t>
      </w:r>
      <w:r w:rsidR="001471B8">
        <w:t>s</w:t>
      </w:r>
      <w:r w:rsidR="0077219E">
        <w:t xml:space="preserve"> 8(5</w:t>
      </w:r>
      <w:r w:rsidR="001471B8">
        <w:t>)–(</w:t>
      </w:r>
      <w:r w:rsidR="0077219E">
        <w:t xml:space="preserve">6) </w:t>
      </w:r>
      <w:r w:rsidR="0011619A">
        <w:t xml:space="preserve">narrow the test of whether conduct that might amount to indirect discrimination is reasonable in all of the circumstances.  </w:t>
      </w:r>
      <w:r w:rsidR="00467324">
        <w:t xml:space="preserve">When those deeming provisions operate, not </w:t>
      </w:r>
      <w:proofErr w:type="gramStart"/>
      <w:r w:rsidR="00467324">
        <w:t>all of</w:t>
      </w:r>
      <w:proofErr w:type="gramEnd"/>
      <w:r w:rsidR="00467324">
        <w:t xml:space="preserve"> the relevant circumstances will be taken into account. </w:t>
      </w:r>
    </w:p>
    <w:p w14:paraId="15B327C4" w14:textId="629F0D7D" w:rsidR="00467324" w:rsidRDefault="001C6F31" w:rsidP="00E81FA1">
      <w:pPr>
        <w:pStyle w:val="ListNumber"/>
      </w:pPr>
      <w:r>
        <w:t>These deeming provisions are considered in more detail in the following sections.</w:t>
      </w:r>
    </w:p>
    <w:p w14:paraId="0AD56B66" w14:textId="6BED5948" w:rsidR="001C6F31" w:rsidRDefault="00696418" w:rsidP="00696418">
      <w:pPr>
        <w:pStyle w:val="Heading2"/>
      </w:pPr>
      <w:bookmarkStart w:id="28" w:name="_Toc20471755"/>
      <w:r>
        <w:t>Employer conduct rules and statements of belief</w:t>
      </w:r>
      <w:bookmarkEnd w:id="28"/>
    </w:p>
    <w:p w14:paraId="0B87213C" w14:textId="6219DF86" w:rsidR="00696418" w:rsidRDefault="0067245F" w:rsidP="00E81FA1">
      <w:pPr>
        <w:pStyle w:val="ListNumber"/>
      </w:pPr>
      <w:r>
        <w:t>The first set of deeming provision</w:t>
      </w:r>
      <w:r w:rsidR="001963B0">
        <w:t>s</w:t>
      </w:r>
      <w:r w:rsidR="0051566C">
        <w:t>, in clause</w:t>
      </w:r>
      <w:r w:rsidR="009315B5">
        <w:t>s</w:t>
      </w:r>
      <w:r w:rsidR="0051566C">
        <w:t xml:space="preserve"> 8(3</w:t>
      </w:r>
      <w:r w:rsidR="009315B5">
        <w:t>)</w:t>
      </w:r>
      <w:proofErr w:type="gramStart"/>
      <w:r w:rsidR="009315B5">
        <w:t>–(</w:t>
      </w:r>
      <w:proofErr w:type="gramEnd"/>
      <w:r w:rsidR="0051566C">
        <w:t xml:space="preserve">4) of the Bill, </w:t>
      </w:r>
      <w:r w:rsidR="001963B0">
        <w:t xml:space="preserve">relates to codes of conduct </w:t>
      </w:r>
      <w:r w:rsidR="005D7581">
        <w:t xml:space="preserve">that </w:t>
      </w:r>
      <w:r w:rsidR="00CD056E">
        <w:t xml:space="preserve">certain </w:t>
      </w:r>
      <w:r w:rsidR="005D7581">
        <w:t>employers require their employees to adhere to.</w:t>
      </w:r>
      <w:r w:rsidR="006E3194">
        <w:t xml:space="preserve">  </w:t>
      </w:r>
      <w:r w:rsidR="00E548AF">
        <w:t xml:space="preserve">The provisions are </w:t>
      </w:r>
      <w:r w:rsidR="006E3194">
        <w:t xml:space="preserve">limited to </w:t>
      </w:r>
      <w:r w:rsidR="00396A68">
        <w:t xml:space="preserve">private sector </w:t>
      </w:r>
      <w:r w:rsidR="006E3194">
        <w:t xml:space="preserve">employers with </w:t>
      </w:r>
      <w:r w:rsidR="00520F4C">
        <w:t xml:space="preserve">revenue </w:t>
      </w:r>
      <w:r w:rsidR="00396A68">
        <w:t xml:space="preserve">of more than </w:t>
      </w:r>
      <w:r w:rsidR="00520F4C">
        <w:t>$50 million in either of the last two financial years.</w:t>
      </w:r>
      <w:r w:rsidR="00CD056E">
        <w:rPr>
          <w:rStyle w:val="EndnoteReference"/>
        </w:rPr>
        <w:endnoteReference w:id="33"/>
      </w:r>
      <w:r w:rsidR="00520F4C">
        <w:t xml:space="preserve">  </w:t>
      </w:r>
      <w:r w:rsidR="00E548AF">
        <w:t>The</w:t>
      </w:r>
      <w:r w:rsidR="00325129">
        <w:t xml:space="preserve">y only apply to codes of conduct that regulate what employees of these companies </w:t>
      </w:r>
      <w:r w:rsidR="008607B2">
        <w:t xml:space="preserve">can say </w:t>
      </w:r>
      <w:r w:rsidR="00307E24">
        <w:t>while they are not at work.</w:t>
      </w:r>
    </w:p>
    <w:p w14:paraId="51379DA7" w14:textId="5BCED489" w:rsidR="00307E24" w:rsidRDefault="00307E24" w:rsidP="00E81FA1">
      <w:pPr>
        <w:pStyle w:val="ListNumber"/>
      </w:pPr>
      <w:r>
        <w:t xml:space="preserve">If the code of conduct restricts or prevents </w:t>
      </w:r>
      <w:r w:rsidR="007D093B">
        <w:t xml:space="preserve">an employee of such a company from making a ‘statement of belief’ when they are not at work </w:t>
      </w:r>
      <w:r w:rsidR="00F40B90">
        <w:t>(including a discriminatory statement of belief covered by clause 41)</w:t>
      </w:r>
      <w:r w:rsidR="00CE4EF3">
        <w:t>,</w:t>
      </w:r>
      <w:r w:rsidR="00F40B90">
        <w:t xml:space="preserve"> </w:t>
      </w:r>
      <w:r w:rsidR="00D33FA1">
        <w:t>th</w:t>
      </w:r>
      <w:r w:rsidR="004921EB">
        <w:t xml:space="preserve">e code </w:t>
      </w:r>
      <w:r w:rsidR="007D093B">
        <w:t>will be deemed to be unreasonable</w:t>
      </w:r>
      <w:r w:rsidR="006C5EFA">
        <w:t xml:space="preserve">, regardless of the reasons the employer may have had for </w:t>
      </w:r>
      <w:r w:rsidR="004921EB">
        <w:t>implementing it</w:t>
      </w:r>
      <w:r w:rsidR="006C5EFA">
        <w:t>, unless the employer can prove</w:t>
      </w:r>
      <w:r w:rsidR="00BD3029">
        <w:rPr>
          <w:rStyle w:val="EndnoteReference"/>
        </w:rPr>
        <w:endnoteReference w:id="34"/>
      </w:r>
      <w:r w:rsidR="006C5EFA">
        <w:t xml:space="preserve"> that </w:t>
      </w:r>
      <w:r w:rsidR="00AA7457">
        <w:t>the code is necessary to avoid ‘unjustifiable financial hardship’.</w:t>
      </w:r>
    </w:p>
    <w:p w14:paraId="5DADE68E" w14:textId="28BC7FE9" w:rsidR="00AA7457" w:rsidRDefault="00A82E45" w:rsidP="00E81FA1">
      <w:pPr>
        <w:pStyle w:val="ListNumber"/>
      </w:pPr>
      <w:r>
        <w:t xml:space="preserve">The implicit assumption behind this provision </w:t>
      </w:r>
      <w:r w:rsidR="00CE4EF3">
        <w:t>seem</w:t>
      </w:r>
      <w:r>
        <w:t>s</w:t>
      </w:r>
      <w:r w:rsidR="00CE4EF3">
        <w:t xml:space="preserve"> to be</w:t>
      </w:r>
      <w:r>
        <w:t xml:space="preserve"> that the only legitimate reason that a</w:t>
      </w:r>
      <w:r w:rsidR="00916D46">
        <w:t xml:space="preserve"> large</w:t>
      </w:r>
      <w:r>
        <w:t xml:space="preserve"> employer </w:t>
      </w:r>
      <w:r w:rsidR="00BD1A0F">
        <w:t>c</w:t>
      </w:r>
      <w:r>
        <w:t xml:space="preserve">ould have to seek to regulate the </w:t>
      </w:r>
      <w:r w:rsidR="00665624">
        <w:t xml:space="preserve">behaviour of </w:t>
      </w:r>
      <w:r w:rsidR="00BA3101">
        <w:t>its</w:t>
      </w:r>
      <w:r w:rsidR="00665624">
        <w:t xml:space="preserve"> employee</w:t>
      </w:r>
      <w:r w:rsidR="00BA3101">
        <w:t>s</w:t>
      </w:r>
      <w:r w:rsidR="00665624">
        <w:t xml:space="preserve"> while they are not at work is a financial one.</w:t>
      </w:r>
      <w:r w:rsidR="005B6BDB">
        <w:t xml:space="preserve">  Unless ‘unjustifiable financial hardship’ can be demonstrated, no other circumstances can be </w:t>
      </w:r>
      <w:proofErr w:type="gramStart"/>
      <w:r w:rsidR="005B6BDB">
        <w:t>taken into account</w:t>
      </w:r>
      <w:proofErr w:type="gramEnd"/>
      <w:r w:rsidR="00A2278A">
        <w:t xml:space="preserve"> in assessing whether the employer’s conduct was reasonable</w:t>
      </w:r>
      <w:r w:rsidR="005B6BDB">
        <w:t xml:space="preserve">.  For example, </w:t>
      </w:r>
      <w:r w:rsidR="00036F45">
        <w:t xml:space="preserve">it would not be open to an </w:t>
      </w:r>
      <w:r w:rsidR="00A2278A">
        <w:t xml:space="preserve">employer </w:t>
      </w:r>
      <w:r w:rsidR="00F87CAA">
        <w:t xml:space="preserve">to claim that it considered that a code of conduct was necessary to promote the values or ethos of </w:t>
      </w:r>
      <w:r w:rsidR="00C21A58">
        <w:t>the company</w:t>
      </w:r>
      <w:r w:rsidR="00916D46">
        <w:t xml:space="preserve"> or</w:t>
      </w:r>
      <w:r w:rsidR="00C21A58">
        <w:t xml:space="preserve"> to prevent discrimination</w:t>
      </w:r>
      <w:r w:rsidR="00916D46">
        <w:t>.</w:t>
      </w:r>
      <w:r w:rsidR="00C21A58">
        <w:t xml:space="preserve"> </w:t>
      </w:r>
    </w:p>
    <w:p w14:paraId="1D69E13D" w14:textId="3128B30C" w:rsidR="00155668" w:rsidRDefault="006A50D3" w:rsidP="006A50D3">
      <w:pPr>
        <w:pStyle w:val="ListNumber"/>
      </w:pPr>
      <w:r>
        <w:lastRenderedPageBreak/>
        <w:t xml:space="preserve">The Bill does not define ‘unjustifiable financial hardship’ or provide any means of assessing its magnitude.  </w:t>
      </w:r>
      <w:r w:rsidR="007F3C6E">
        <w:t xml:space="preserve">This </w:t>
      </w:r>
      <w:r w:rsidR="009315B5">
        <w:t>phrase</w:t>
      </w:r>
      <w:r w:rsidR="007F3C6E">
        <w:t xml:space="preserve"> does not have a foundation in international law dealing with religious discrimination, nor is the Commission aware of a jurisdiction </w:t>
      </w:r>
      <w:proofErr w:type="gramStart"/>
      <w:r w:rsidR="007F3C6E">
        <w:t>similar to</w:t>
      </w:r>
      <w:proofErr w:type="gramEnd"/>
      <w:r w:rsidR="007F3C6E">
        <w:t xml:space="preserve"> Australia </w:t>
      </w:r>
      <w:r w:rsidR="009315B5">
        <w:t>where the</w:t>
      </w:r>
      <w:r w:rsidR="007F3C6E">
        <w:t xml:space="preserve"> law on religious discrimination applies a </w:t>
      </w:r>
      <w:r w:rsidR="009315B5">
        <w:t>phrase</w:t>
      </w:r>
      <w:r w:rsidR="007F3C6E">
        <w:t xml:space="preserve"> such as this.  </w:t>
      </w:r>
      <w:r>
        <w:t xml:space="preserve">It is </w:t>
      </w:r>
      <w:r w:rsidR="007F3C6E">
        <w:t>also un</w:t>
      </w:r>
      <w:r>
        <w:t xml:space="preserve">clear what relationship </w:t>
      </w:r>
      <w:r w:rsidR="007F3C6E">
        <w:t xml:space="preserve">‘unjustifiable financial hardship’ </w:t>
      </w:r>
      <w:r>
        <w:t xml:space="preserve">has to the concept of ‘unjustifiable hardship’ in the DDA.  In the DDA, </w:t>
      </w:r>
      <w:r w:rsidR="001420BF">
        <w:t xml:space="preserve">a person can be found to have discriminated against </w:t>
      </w:r>
      <w:r w:rsidR="00B4699F">
        <w:t xml:space="preserve">a </w:t>
      </w:r>
      <w:r w:rsidR="00E6160C">
        <w:t xml:space="preserve">second </w:t>
      </w:r>
      <w:r w:rsidR="001420BF">
        <w:t xml:space="preserve">person </w:t>
      </w:r>
      <w:r w:rsidR="00B4699F">
        <w:t xml:space="preserve">with a disability </w:t>
      </w:r>
      <w:r w:rsidR="001420BF">
        <w:t xml:space="preserve">if </w:t>
      </w:r>
      <w:r w:rsidR="00A86809">
        <w:t xml:space="preserve">the </w:t>
      </w:r>
      <w:r w:rsidR="00E6160C">
        <w:t xml:space="preserve">first </w:t>
      </w:r>
      <w:r w:rsidR="00A86809">
        <w:t xml:space="preserve">person fails to make reasonable adjustments for </w:t>
      </w:r>
      <w:r w:rsidR="00E6160C">
        <w:t xml:space="preserve">the </w:t>
      </w:r>
      <w:r w:rsidR="00A86809">
        <w:t>second person</w:t>
      </w:r>
      <w:r w:rsidR="00B4699F">
        <w:t xml:space="preserve"> </w:t>
      </w:r>
      <w:r w:rsidR="009604BF">
        <w:t xml:space="preserve">and this has the effect that the second person is treated </w:t>
      </w:r>
      <w:r w:rsidR="00727DCA">
        <w:t>less favourably than a person without a disability would have been treated in the same circumstances</w:t>
      </w:r>
      <w:r w:rsidR="00A86809">
        <w:t>.</w:t>
      </w:r>
      <w:r w:rsidR="00B14907">
        <w:rPr>
          <w:rStyle w:val="EndnoteReference"/>
        </w:rPr>
        <w:endnoteReference w:id="35"/>
      </w:r>
      <w:r w:rsidR="00A86809">
        <w:t xml:space="preserve">  An adjustment will be reasonable, unless it would cause </w:t>
      </w:r>
      <w:r w:rsidR="009315B5">
        <w:t>‘</w:t>
      </w:r>
      <w:r w:rsidR="00A86809">
        <w:t>unjustifiable hardship</w:t>
      </w:r>
      <w:r w:rsidR="009315B5">
        <w:t>’</w:t>
      </w:r>
      <w:r w:rsidR="00A86809">
        <w:t xml:space="preserve"> </w:t>
      </w:r>
      <w:r w:rsidR="006D2D37">
        <w:t>to the first person.</w:t>
      </w:r>
      <w:r w:rsidR="00643C39">
        <w:rPr>
          <w:rStyle w:val="EndnoteReference"/>
        </w:rPr>
        <w:endnoteReference w:id="36"/>
      </w:r>
      <w:r w:rsidR="006D2D37">
        <w:t xml:space="preserve">  </w:t>
      </w:r>
      <w:r w:rsidR="00381210">
        <w:t xml:space="preserve">Sections 21B and 29A of the DDA also provide a defence of unjustifiable hardship in particular circumstances.  </w:t>
      </w:r>
      <w:r w:rsidR="000B408D">
        <w:t xml:space="preserve">A list of factors relevant to assessing unjustifiable hardship is set out in s 11 of the DDA.  </w:t>
      </w:r>
    </w:p>
    <w:p w14:paraId="3D386058" w14:textId="7FEF34B7" w:rsidR="006A50D3" w:rsidRDefault="00B33106" w:rsidP="006A50D3">
      <w:pPr>
        <w:pStyle w:val="ListNumber"/>
      </w:pPr>
      <w:r>
        <w:t xml:space="preserve">The concept of ‘unjustifiable hardship’ in the DDA recognises </w:t>
      </w:r>
      <w:r w:rsidR="00F21E93">
        <w:t xml:space="preserve">that it is often necessary to </w:t>
      </w:r>
      <w:proofErr w:type="gramStart"/>
      <w:r w:rsidR="00F21E93">
        <w:t xml:space="preserve">make </w:t>
      </w:r>
      <w:r w:rsidR="00ED16A9">
        <w:t>adjustments</w:t>
      </w:r>
      <w:proofErr w:type="gramEnd"/>
      <w:r w:rsidR="00ED16A9">
        <w:t xml:space="preserve"> </w:t>
      </w:r>
      <w:r w:rsidR="00F21E93">
        <w:t xml:space="preserve">so that people with disability can </w:t>
      </w:r>
      <w:r w:rsidR="00F6230C">
        <w:t xml:space="preserve">participate in public life to the same extent as people without disability.  It also recognises that </w:t>
      </w:r>
      <w:r w:rsidR="009936BE">
        <w:t xml:space="preserve">some adjustments can </w:t>
      </w:r>
      <w:r w:rsidR="00ED16A9">
        <w:t xml:space="preserve">impose </w:t>
      </w:r>
      <w:r w:rsidR="006031BF">
        <w:t xml:space="preserve">significant costs </w:t>
      </w:r>
      <w:r w:rsidR="007655D4">
        <w:t>on the person making the adjustments</w:t>
      </w:r>
      <w:r w:rsidR="009936BE">
        <w:t xml:space="preserve"> and that it is necessary for </w:t>
      </w:r>
      <w:r w:rsidR="00155668">
        <w:t xml:space="preserve">a process of assessment to be undertaken </w:t>
      </w:r>
      <w:r w:rsidR="00DC58A9">
        <w:t xml:space="preserve">to determine whether </w:t>
      </w:r>
      <w:r w:rsidR="005F2481">
        <w:t xml:space="preserve">that burden is reasonable in all the circumstances.  The assessment process </w:t>
      </w:r>
      <w:r w:rsidR="007C3973">
        <w:t xml:space="preserve">seeks to balance factors </w:t>
      </w:r>
      <w:r w:rsidR="000A168B">
        <w:t>including</w:t>
      </w:r>
      <w:r w:rsidR="007C3973">
        <w:t xml:space="preserve">: </w:t>
      </w:r>
    </w:p>
    <w:p w14:paraId="111C55E0" w14:textId="5E333657" w:rsidR="007C3973" w:rsidRDefault="00922C47" w:rsidP="00B227E5">
      <w:pPr>
        <w:pStyle w:val="ListNumber"/>
        <w:numPr>
          <w:ilvl w:val="0"/>
          <w:numId w:val="43"/>
        </w:numPr>
      </w:pPr>
      <w:r>
        <w:t>t</w:t>
      </w:r>
      <w:r w:rsidR="00B227E5">
        <w:t xml:space="preserve">he nature of </w:t>
      </w:r>
      <w:r>
        <w:t xml:space="preserve">the benefit or detriment likely to </w:t>
      </w:r>
      <w:r w:rsidR="00515332">
        <w:t xml:space="preserve">result to any person from making the adjustments </w:t>
      </w:r>
    </w:p>
    <w:p w14:paraId="705D6CF8" w14:textId="4BF58ABC" w:rsidR="00922C47" w:rsidRDefault="00922C47" w:rsidP="00B227E5">
      <w:pPr>
        <w:pStyle w:val="ListNumber"/>
        <w:numPr>
          <w:ilvl w:val="0"/>
          <w:numId w:val="43"/>
        </w:numPr>
      </w:pPr>
      <w:r>
        <w:t xml:space="preserve">the effect </w:t>
      </w:r>
      <w:r w:rsidR="008D0984">
        <w:t>of the disability o</w:t>
      </w:r>
      <w:r w:rsidR="003D75A8">
        <w:t>n</w:t>
      </w:r>
      <w:r w:rsidR="008D0984">
        <w:t xml:space="preserve"> </w:t>
      </w:r>
      <w:r w:rsidR="003D75A8">
        <w:t xml:space="preserve">the </w:t>
      </w:r>
      <w:r w:rsidR="008D0984">
        <w:t>person</w:t>
      </w:r>
      <w:r w:rsidR="001C3920">
        <w:t xml:space="preserve"> with the disability</w:t>
      </w:r>
    </w:p>
    <w:p w14:paraId="2B5F929D" w14:textId="31BD90F9" w:rsidR="008D0984" w:rsidRDefault="008D0984" w:rsidP="00B227E5">
      <w:pPr>
        <w:pStyle w:val="ListNumber"/>
        <w:numPr>
          <w:ilvl w:val="0"/>
          <w:numId w:val="43"/>
        </w:numPr>
      </w:pPr>
      <w:r>
        <w:t>the financial circumstances</w:t>
      </w:r>
      <w:r w:rsidR="000A168B">
        <w:t xml:space="preserve"> of the person making the adjustments, and the estimated cost of those adjustments.</w:t>
      </w:r>
    </w:p>
    <w:p w14:paraId="11DF43CA" w14:textId="3C569533" w:rsidR="006A50D3" w:rsidRDefault="007C3973" w:rsidP="00E81FA1">
      <w:pPr>
        <w:pStyle w:val="ListNumber"/>
      </w:pPr>
      <w:r>
        <w:t>The concept of ‘unjustifiable financial hardship’ in the Bill does not have the same characteristics or logic</w:t>
      </w:r>
      <w:r w:rsidR="00511C6F">
        <w:t xml:space="preserve"> as ‘unjustifiable hardship’ in the DDA</w:t>
      </w:r>
      <w:r>
        <w:t xml:space="preserve">.  </w:t>
      </w:r>
      <w:r w:rsidR="001F2C39">
        <w:t xml:space="preserve">It is not part of a holistic evaluation of relevant circumstances.  Instead, it creates a hurdle that must be cleared prior to </w:t>
      </w:r>
      <w:r w:rsidR="002D700D">
        <w:t xml:space="preserve">any other </w:t>
      </w:r>
      <w:r w:rsidR="001F2C39">
        <w:t xml:space="preserve">relevant circumstances being </w:t>
      </w:r>
      <w:proofErr w:type="gramStart"/>
      <w:r w:rsidR="001F2C39">
        <w:t>taken into account</w:t>
      </w:r>
      <w:proofErr w:type="gramEnd"/>
      <w:r w:rsidR="001F2C39">
        <w:t xml:space="preserve">. </w:t>
      </w:r>
    </w:p>
    <w:p w14:paraId="12872B27" w14:textId="42CAF009" w:rsidR="00672729" w:rsidRDefault="00C72D27" w:rsidP="00E81FA1">
      <w:pPr>
        <w:pStyle w:val="ListNumber"/>
      </w:pPr>
      <w:r>
        <w:t>I</w:t>
      </w:r>
      <w:r w:rsidR="00681950">
        <w:t xml:space="preserve">t appears that </w:t>
      </w:r>
      <w:r w:rsidR="001E61DA">
        <w:t xml:space="preserve">the </w:t>
      </w:r>
      <w:r w:rsidR="001918C7">
        <w:t xml:space="preserve">inclusion of the </w:t>
      </w:r>
      <w:r w:rsidR="001E61DA">
        <w:t xml:space="preserve">deeming provision in </w:t>
      </w:r>
      <w:r w:rsidR="00CA3D79">
        <w:t>clause</w:t>
      </w:r>
      <w:r w:rsidR="00A92399">
        <w:t>s</w:t>
      </w:r>
      <w:r w:rsidR="00CA3D79">
        <w:t xml:space="preserve"> </w:t>
      </w:r>
      <w:r w:rsidR="006D2D37">
        <w:t>8(3</w:t>
      </w:r>
      <w:r w:rsidR="00A92399">
        <w:t>)</w:t>
      </w:r>
      <w:proofErr w:type="gramStart"/>
      <w:r w:rsidR="00A92399">
        <w:t>–(</w:t>
      </w:r>
      <w:proofErr w:type="gramEnd"/>
      <w:r w:rsidR="006D2D37">
        <w:t xml:space="preserve">4) </w:t>
      </w:r>
      <w:r w:rsidR="001918C7">
        <w:t xml:space="preserve">was prompted, in whole or in part, by </w:t>
      </w:r>
      <w:r w:rsidR="009D172F">
        <w:t xml:space="preserve">the decision </w:t>
      </w:r>
      <w:r w:rsidR="001918C7">
        <w:t xml:space="preserve">of </w:t>
      </w:r>
      <w:r w:rsidR="009D172F">
        <w:t xml:space="preserve">Rugby Australia </w:t>
      </w:r>
      <w:r w:rsidR="006539F1">
        <w:t xml:space="preserve">and NSW Rugby Union </w:t>
      </w:r>
      <w:r w:rsidR="009D172F">
        <w:t xml:space="preserve">to </w:t>
      </w:r>
      <w:r w:rsidR="006539F1">
        <w:t xml:space="preserve">terminate the contract of </w:t>
      </w:r>
      <w:r w:rsidR="00DD65A2">
        <w:t xml:space="preserve">Mr Israel </w:t>
      </w:r>
      <w:proofErr w:type="spellStart"/>
      <w:r w:rsidR="00DD65A2">
        <w:lastRenderedPageBreak/>
        <w:t>Folau</w:t>
      </w:r>
      <w:proofErr w:type="spellEnd"/>
      <w:r w:rsidR="00DD65A2">
        <w:t xml:space="preserve">.  </w:t>
      </w:r>
      <w:r w:rsidR="001918C7">
        <w:t>The Bill does not purport to apply retrospectively, and there has been no suggestion that these provisions would have any effect on that dispute.</w:t>
      </w:r>
      <w:r w:rsidR="009A6AFB">
        <w:t xml:space="preserve"> </w:t>
      </w:r>
      <w:r w:rsidR="001918C7">
        <w:t xml:space="preserve"> </w:t>
      </w:r>
      <w:r w:rsidR="00433B2C">
        <w:t xml:space="preserve">The Commission does not make any comment on how that dispute should be resolved.  </w:t>
      </w:r>
      <w:r w:rsidR="001918C7">
        <w:t xml:space="preserve">Nevertheless, </w:t>
      </w:r>
      <w:r w:rsidR="009C3F29">
        <w:t xml:space="preserve">some </w:t>
      </w:r>
      <w:r w:rsidR="007D64CB">
        <w:t xml:space="preserve">information regarding that </w:t>
      </w:r>
      <w:r w:rsidR="009C3F29">
        <w:t xml:space="preserve">dispute </w:t>
      </w:r>
      <w:r w:rsidR="007D64CB">
        <w:t xml:space="preserve">is </w:t>
      </w:r>
      <w:r w:rsidR="009C3F29">
        <w:t>relevant in understanding the rationale for these provisions of the Bill.</w:t>
      </w:r>
      <w:r w:rsidR="001918C7">
        <w:t xml:space="preserve"> </w:t>
      </w:r>
      <w:r w:rsidR="009C3F29">
        <w:t xml:space="preserve"> </w:t>
      </w:r>
      <w:r w:rsidR="00105395">
        <w:t>On 7 May 2019, a</w:t>
      </w:r>
      <w:r w:rsidR="00D616E3">
        <w:t xml:space="preserve">n independent panel determined that Mr </w:t>
      </w:r>
      <w:proofErr w:type="spellStart"/>
      <w:r w:rsidR="00D616E3">
        <w:t>Folau</w:t>
      </w:r>
      <w:proofErr w:type="spellEnd"/>
      <w:r w:rsidR="00D616E3">
        <w:t xml:space="preserve"> had breached </w:t>
      </w:r>
      <w:r w:rsidR="006E30AC">
        <w:t>the Professional Players’</w:t>
      </w:r>
      <w:r w:rsidR="00D526B6">
        <w:t xml:space="preserve"> </w:t>
      </w:r>
      <w:r w:rsidR="00D07FA1">
        <w:t xml:space="preserve">Code of Conduct </w:t>
      </w:r>
      <w:r w:rsidR="00105395">
        <w:t>in relation to social media posts on 10 April 2019.</w:t>
      </w:r>
      <w:r w:rsidR="00105395">
        <w:rPr>
          <w:rStyle w:val="EndnoteReference"/>
        </w:rPr>
        <w:endnoteReference w:id="37"/>
      </w:r>
      <w:r w:rsidR="00EB0698">
        <w:t xml:space="preserve"> </w:t>
      </w:r>
      <w:r w:rsidR="002B2658">
        <w:t xml:space="preserve"> </w:t>
      </w:r>
      <w:r w:rsidR="00FF7C01">
        <w:t>I</w:t>
      </w:r>
      <w:r w:rsidR="00B51023">
        <w:t>n a</w:t>
      </w:r>
      <w:r w:rsidR="00BE7FE0">
        <w:t xml:space="preserve"> post on 10 April 2019</w:t>
      </w:r>
      <w:r>
        <w:t>,</w:t>
      </w:r>
      <w:r w:rsidR="00BE7FE0">
        <w:t xml:space="preserve"> </w:t>
      </w:r>
      <w:r w:rsidR="00B51023">
        <w:t xml:space="preserve">Mr </w:t>
      </w:r>
      <w:proofErr w:type="spellStart"/>
      <w:r w:rsidR="00B51023">
        <w:t>Folau</w:t>
      </w:r>
      <w:proofErr w:type="spellEnd"/>
      <w:r w:rsidR="00B51023">
        <w:t xml:space="preserve"> </w:t>
      </w:r>
      <w:r w:rsidR="00BE7FE0">
        <w:t xml:space="preserve">included an image with the following text: ‘WARNING </w:t>
      </w:r>
      <w:r w:rsidR="00741769">
        <w:t>Drunks Homosexuals Adulterers Liars Fornicators Thieves Atheists Idolat</w:t>
      </w:r>
      <w:r w:rsidR="00480028">
        <w:t>ers HELL AWAITS YOU</w:t>
      </w:r>
      <w:r w:rsidR="004515EA">
        <w:t>,</w:t>
      </w:r>
      <w:r w:rsidR="00480028">
        <w:t xml:space="preserve"> REPENT! ONLY JESUS SAVES’.</w:t>
      </w:r>
      <w:r w:rsidR="004515EA">
        <w:t xml:space="preserve">  </w:t>
      </w:r>
      <w:r w:rsidR="00F83968">
        <w:t>In the text accompanying the image, t</w:t>
      </w:r>
      <w:r w:rsidR="00287B8B">
        <w:t xml:space="preserve">he post </w:t>
      </w:r>
      <w:r w:rsidR="00FA2B9E">
        <w:t xml:space="preserve">quoted a </w:t>
      </w:r>
      <w:r w:rsidR="00776FB8">
        <w:t xml:space="preserve">passage from </w:t>
      </w:r>
      <w:r w:rsidR="00CC55B1">
        <w:t>Galatians 5:19</w:t>
      </w:r>
      <w:r w:rsidR="00F40BED">
        <w:t>–</w:t>
      </w:r>
      <w:r w:rsidR="00CC55B1">
        <w:t xml:space="preserve">21 in </w:t>
      </w:r>
      <w:r w:rsidR="00776FB8">
        <w:t>the King James Version of the Bible</w:t>
      </w:r>
      <w:r w:rsidR="00FA2B9E">
        <w:t xml:space="preserve"> and included the additional text</w:t>
      </w:r>
      <w:r w:rsidR="00F40BED">
        <w:t>,</w:t>
      </w:r>
      <w:r w:rsidR="00FA2B9E">
        <w:t xml:space="preserve"> </w:t>
      </w:r>
      <w:r w:rsidR="003712C4">
        <w:t>‘Those that are living in Sin will end up in Hell unless you repent.  Jesus Christ loves you and is giving you time to turn away from your sin and come to him’</w:t>
      </w:r>
      <w:r w:rsidR="00CC55B1">
        <w:t>.</w:t>
      </w:r>
      <w:r w:rsidR="004463D7">
        <w:rPr>
          <w:rStyle w:val="EndnoteReference"/>
        </w:rPr>
        <w:endnoteReference w:id="38"/>
      </w:r>
      <w:r w:rsidR="00776FB8">
        <w:t xml:space="preserve"> </w:t>
      </w:r>
    </w:p>
    <w:p w14:paraId="035BB8D9" w14:textId="13705858" w:rsidR="00916D46" w:rsidRDefault="004515EA" w:rsidP="00E81FA1">
      <w:pPr>
        <w:pStyle w:val="ListNumber"/>
      </w:pPr>
      <w:r>
        <w:t xml:space="preserve">The Explanatory Notes to the Bill </w:t>
      </w:r>
      <w:r w:rsidR="00883C88">
        <w:t>provide that a ‘statement of belief’</w:t>
      </w:r>
      <w:r w:rsidR="00EC6C77">
        <w:t xml:space="preserve"> </w:t>
      </w:r>
      <w:r w:rsidR="00F33018">
        <w:t xml:space="preserve">may </w:t>
      </w:r>
      <w:r w:rsidR="00643D46">
        <w:t>include ‘a statement made in good faith by a Christian of their religious belief that unrepentant sinners will go to hell’.</w:t>
      </w:r>
      <w:r w:rsidR="00F33018">
        <w:rPr>
          <w:rStyle w:val="EndnoteReference"/>
        </w:rPr>
        <w:endnoteReference w:id="39"/>
      </w:r>
    </w:p>
    <w:p w14:paraId="2677B23B" w14:textId="77777777" w:rsidR="00DC7AB6" w:rsidRDefault="00DC7AB6" w:rsidP="00E81FA1">
      <w:pPr>
        <w:pStyle w:val="ListNumber"/>
      </w:pPr>
      <w:r>
        <w:t xml:space="preserve">The Attorney-General’s Department has identified </w:t>
      </w:r>
      <w:proofErr w:type="gramStart"/>
      <w:r>
        <w:t>a number of</w:t>
      </w:r>
      <w:proofErr w:type="gramEnd"/>
      <w:r>
        <w:t xml:space="preserve"> causes of legal complexity in legislation.  One of these is: ‘an aversion to principles-based legislation, leading to a tendency to have rules that accommodate very small variations in </w:t>
      </w:r>
      <w:proofErr w:type="gramStart"/>
      <w:r>
        <w:t>circumstances’</w:t>
      </w:r>
      <w:proofErr w:type="gramEnd"/>
      <w:r>
        <w:t>.</w:t>
      </w:r>
      <w:r>
        <w:rPr>
          <w:rStyle w:val="EndnoteReference"/>
        </w:rPr>
        <w:endnoteReference w:id="40"/>
      </w:r>
      <w:r>
        <w:t xml:space="preserve">  There are good policy reasons to avoid trying to legislate for individual cases.  Such a practice limits the application of general principle and can produce arbitrary outcomes.  </w:t>
      </w:r>
    </w:p>
    <w:p w14:paraId="199F2650" w14:textId="5B8C8371" w:rsidR="00CD08C9" w:rsidRDefault="00606A30" w:rsidP="00E81FA1">
      <w:pPr>
        <w:pStyle w:val="ListNumber"/>
      </w:pPr>
      <w:r>
        <w:t>Here, i</w:t>
      </w:r>
      <w:r w:rsidR="00F91FA0">
        <w:t xml:space="preserve">t is not clear why </w:t>
      </w:r>
      <w:r w:rsidR="005812C2">
        <w:t xml:space="preserve">the Bill seeks to restrict the factors that can be </w:t>
      </w:r>
      <w:proofErr w:type="gramStart"/>
      <w:r w:rsidR="005812C2">
        <w:t>taken into account</w:t>
      </w:r>
      <w:proofErr w:type="gramEnd"/>
      <w:r w:rsidR="005812C2">
        <w:t xml:space="preserve"> when assessing whether codes of conduct are reasonable.  </w:t>
      </w:r>
      <w:proofErr w:type="gramStart"/>
      <w:r w:rsidR="005B5EEE">
        <w:t>In particular, it</w:t>
      </w:r>
      <w:proofErr w:type="gramEnd"/>
      <w:r w:rsidR="005B5EEE">
        <w:t xml:space="preserve"> is not clear why the predominant factor to be weighed up </w:t>
      </w:r>
      <w:r w:rsidR="00E45A49">
        <w:t xml:space="preserve">is a financial one. </w:t>
      </w:r>
    </w:p>
    <w:p w14:paraId="189417E4" w14:textId="150DEE23" w:rsidR="0039795F" w:rsidRDefault="00CD08C9" w:rsidP="00E81FA1">
      <w:pPr>
        <w:pStyle w:val="ListNumber"/>
      </w:pPr>
      <w:r>
        <w:t>Article 18</w:t>
      </w:r>
      <w:r w:rsidR="000360AA">
        <w:t>(3)</w:t>
      </w:r>
      <w:r>
        <w:t xml:space="preserve"> of the ICCPR provides that the freedom to manifest </w:t>
      </w:r>
      <w:r w:rsidR="000360AA">
        <w:t>one’s religion or beliefs may be subject only to such limitations as are prescribed by law and are necessary to protect public safety, order, health or morals or the fundamental rights and freedoms of others.</w:t>
      </w:r>
      <w:r w:rsidR="003C4096">
        <w:t xml:space="preserve">  However, in the case of the deeming provision in clause</w:t>
      </w:r>
      <w:r w:rsidR="00F40BED">
        <w:t>s</w:t>
      </w:r>
      <w:r w:rsidR="003C4096">
        <w:t xml:space="preserve"> 8(3</w:t>
      </w:r>
      <w:r w:rsidR="00F40BED">
        <w:t>)</w:t>
      </w:r>
      <w:proofErr w:type="gramStart"/>
      <w:r w:rsidR="00F40BED">
        <w:t>–(</w:t>
      </w:r>
      <w:proofErr w:type="gramEnd"/>
      <w:r w:rsidR="003C4096">
        <w:t>4), the impact of the manifestation o</w:t>
      </w:r>
      <w:r w:rsidR="00B15834">
        <w:t>f religion on the rights and freedoms of others may not be taken into account, unless ‘unjustifiable financial hardship’ can first be demonstrated.</w:t>
      </w:r>
    </w:p>
    <w:p w14:paraId="27319CBD" w14:textId="4A253344" w:rsidR="00B15834" w:rsidRDefault="001F5EE9" w:rsidP="00E81FA1">
      <w:pPr>
        <w:pStyle w:val="ListNumber"/>
      </w:pPr>
      <w:r>
        <w:lastRenderedPageBreak/>
        <w:t xml:space="preserve">Again, this is inconsistent with the acceptance by the Government that </w:t>
      </w:r>
      <w:r w:rsidR="00045283">
        <w:t>discrimination law should reflect the equal status in international law of all human rights.</w:t>
      </w:r>
    </w:p>
    <w:p w14:paraId="4159B8D1" w14:textId="3B4B0BF5" w:rsidR="00081B98" w:rsidRDefault="00BA53A1" w:rsidP="00C033F3">
      <w:pPr>
        <w:pStyle w:val="ListNumber"/>
      </w:pPr>
      <w:r>
        <w:t>No satisfactory explana</w:t>
      </w:r>
      <w:r w:rsidR="00507DA6">
        <w:t>tion has been put forward for treating private sector business</w:t>
      </w:r>
      <w:r w:rsidR="00EC3B89">
        <w:t>es</w:t>
      </w:r>
      <w:r w:rsidR="00507DA6">
        <w:t xml:space="preserve"> with a</w:t>
      </w:r>
      <w:r w:rsidR="002C6906">
        <w:t>n annual</w:t>
      </w:r>
      <w:r w:rsidR="00507DA6">
        <w:t xml:space="preserve"> revenue of more than $50</w:t>
      </w:r>
      <w:r w:rsidR="002C6906">
        <w:t xml:space="preserve"> </w:t>
      </w:r>
      <w:r w:rsidR="00507DA6">
        <w:t>m</w:t>
      </w:r>
      <w:r w:rsidR="002C6906">
        <w:t>illion</w:t>
      </w:r>
      <w:r w:rsidR="00507DA6">
        <w:t xml:space="preserve"> differently </w:t>
      </w:r>
      <w:r w:rsidR="00F40BED">
        <w:t xml:space="preserve">from </w:t>
      </w:r>
      <w:r w:rsidR="00507DA6">
        <w:t>other employers</w:t>
      </w:r>
      <w:r w:rsidR="0047175B">
        <w:t xml:space="preserve">, or </w:t>
      </w:r>
      <w:r w:rsidR="00293476">
        <w:t xml:space="preserve">for </w:t>
      </w:r>
      <w:r w:rsidR="0047175B">
        <w:t xml:space="preserve">reducing their ability to make decisions about the conduct of their business that are reasonable in </w:t>
      </w:r>
      <w:proofErr w:type="gramStart"/>
      <w:r w:rsidR="0047175B">
        <w:t>all of</w:t>
      </w:r>
      <w:proofErr w:type="gramEnd"/>
      <w:r w:rsidR="0047175B">
        <w:t xml:space="preserve"> the circumstances</w:t>
      </w:r>
      <w:r w:rsidR="00D97361">
        <w:t xml:space="preserve">.  </w:t>
      </w:r>
    </w:p>
    <w:p w14:paraId="2ABF75ED" w14:textId="3DCADF8C" w:rsidR="00C033F3" w:rsidRPr="00293476" w:rsidRDefault="0047175B" w:rsidP="00293476">
      <w:pPr>
        <w:pStyle w:val="ListNumber"/>
        <w:keepNext/>
        <w:numPr>
          <w:ilvl w:val="0"/>
          <w:numId w:val="0"/>
        </w:numPr>
        <w:ind w:left="1094"/>
        <w:rPr>
          <w:b/>
          <w:bCs/>
        </w:rPr>
      </w:pPr>
      <w:r w:rsidRPr="00293476">
        <w:rPr>
          <w:b/>
          <w:bCs/>
        </w:rPr>
        <w:t xml:space="preserve">Recommendation </w:t>
      </w:r>
      <w:r w:rsidR="00AA04DF">
        <w:rPr>
          <w:b/>
          <w:bCs/>
        </w:rPr>
        <w:t>5</w:t>
      </w:r>
    </w:p>
    <w:p w14:paraId="52343157" w14:textId="2AEEC1F9" w:rsidR="00045283" w:rsidRDefault="00293476" w:rsidP="003F3357">
      <w:pPr>
        <w:pStyle w:val="ListNumber"/>
        <w:numPr>
          <w:ilvl w:val="0"/>
          <w:numId w:val="0"/>
        </w:numPr>
        <w:ind w:left="1094"/>
      </w:pPr>
      <w:r>
        <w:t>The Commission recommends that clause</w:t>
      </w:r>
      <w:r w:rsidR="00F40BED">
        <w:t>s</w:t>
      </w:r>
      <w:r>
        <w:t xml:space="preserve"> 8(</w:t>
      </w:r>
      <w:r w:rsidR="0082182C">
        <w:t>3</w:t>
      </w:r>
      <w:r w:rsidR="00F40BED">
        <w:t>)</w:t>
      </w:r>
      <w:proofErr w:type="gramStart"/>
      <w:r w:rsidR="00F40BED">
        <w:t>–(</w:t>
      </w:r>
      <w:proofErr w:type="gramEnd"/>
      <w:r w:rsidR="0082182C">
        <w:t>4)</w:t>
      </w:r>
      <w:r>
        <w:t xml:space="preserve">, dealing with </w:t>
      </w:r>
      <w:r w:rsidR="0082182C">
        <w:t xml:space="preserve">the separate treatment of employer conduct rules by </w:t>
      </w:r>
      <w:r w:rsidR="005D59CB">
        <w:t>private sector businesses with an</w:t>
      </w:r>
      <w:r w:rsidR="003F3357">
        <w:t>nual</w:t>
      </w:r>
      <w:r w:rsidR="005D59CB">
        <w:t xml:space="preserve"> </w:t>
      </w:r>
      <w:r w:rsidR="003F3357">
        <w:t>revenue of more than $50 million</w:t>
      </w:r>
      <w:r>
        <w:t xml:space="preserve">, </w:t>
      </w:r>
      <w:r w:rsidR="009A6AFB">
        <w:t>be</w:t>
      </w:r>
      <w:r>
        <w:t xml:space="preserve"> removed from the Bill.</w:t>
      </w:r>
    </w:p>
    <w:p w14:paraId="56535B61" w14:textId="7D2DDEFC" w:rsidR="003F3357" w:rsidRDefault="00546136" w:rsidP="00546136">
      <w:pPr>
        <w:pStyle w:val="Heading2"/>
      </w:pPr>
      <w:bookmarkStart w:id="29" w:name="_Toc20471756"/>
      <w:r>
        <w:t>Conscientious objections by health practitioners</w:t>
      </w:r>
      <w:bookmarkEnd w:id="29"/>
    </w:p>
    <w:p w14:paraId="63D062DB" w14:textId="0643E8B4" w:rsidR="00546136" w:rsidRDefault="0090759B" w:rsidP="00E81FA1">
      <w:pPr>
        <w:pStyle w:val="ListNumber"/>
      </w:pPr>
      <w:r>
        <w:t>The second set of deeming provisions</w:t>
      </w:r>
      <w:r w:rsidR="009621E2">
        <w:t xml:space="preserve">, in </w:t>
      </w:r>
      <w:r w:rsidR="009621E2" w:rsidRPr="009621E2">
        <w:t>clause</w:t>
      </w:r>
      <w:r w:rsidR="00F40BED">
        <w:t>s</w:t>
      </w:r>
      <w:r w:rsidR="009621E2" w:rsidRPr="009621E2">
        <w:t xml:space="preserve"> 8(5</w:t>
      </w:r>
      <w:r w:rsidR="00F40BED" w:rsidRPr="009621E2">
        <w:t>)</w:t>
      </w:r>
      <w:proofErr w:type="gramStart"/>
      <w:r w:rsidR="00F40BED">
        <w:t>–</w:t>
      </w:r>
      <w:r w:rsidR="00F40BED" w:rsidRPr="009621E2">
        <w:t>(</w:t>
      </w:r>
      <w:proofErr w:type="gramEnd"/>
      <w:r w:rsidR="009621E2" w:rsidRPr="009621E2">
        <w:t xml:space="preserve">6) </w:t>
      </w:r>
      <w:r w:rsidR="009621E2">
        <w:t>of the Bill,</w:t>
      </w:r>
      <w:r>
        <w:t xml:space="preserve"> relates to </w:t>
      </w:r>
      <w:r w:rsidR="00B23615">
        <w:t>conscientious objections by health practitioners.</w:t>
      </w:r>
    </w:p>
    <w:p w14:paraId="2504694F" w14:textId="7AF5CB2B" w:rsidR="005B235F" w:rsidRDefault="00EA7B04" w:rsidP="00E81FA1">
      <w:pPr>
        <w:pStyle w:val="ListNumber"/>
      </w:pPr>
      <w:r>
        <w:t xml:space="preserve">The provisions relate to rules that restrict or prevent a health practitioner </w:t>
      </w:r>
      <w:r w:rsidR="003E1079">
        <w:t xml:space="preserve">from conscientiously objecting to providing a health service </w:t>
      </w:r>
      <w:r w:rsidR="002D4433">
        <w:t xml:space="preserve">on religious grounds. </w:t>
      </w:r>
      <w:r w:rsidR="00590B26">
        <w:t xml:space="preserve"> The provisions operate to deem </w:t>
      </w:r>
      <w:r w:rsidR="0004789D">
        <w:t xml:space="preserve">such rules to </w:t>
      </w:r>
      <w:r w:rsidR="00530531">
        <w:t>be unreasonable</w:t>
      </w:r>
      <w:r w:rsidR="0004789D">
        <w:t xml:space="preserve"> in certain circumstances</w:t>
      </w:r>
      <w:r w:rsidR="00530531">
        <w:t xml:space="preserve">. </w:t>
      </w:r>
      <w:r w:rsidR="007D68E7">
        <w:t xml:space="preserve"> </w:t>
      </w:r>
    </w:p>
    <w:p w14:paraId="11FA9CBB" w14:textId="30B5FC3C" w:rsidR="002D4433" w:rsidRDefault="002D4433" w:rsidP="00E81FA1">
      <w:pPr>
        <w:pStyle w:val="ListNumber"/>
      </w:pPr>
      <w:r>
        <w:t>The definition of a ‘health service’</w:t>
      </w:r>
      <w:r w:rsidR="009A6AFB">
        <w:t>,</w:t>
      </w:r>
      <w:r>
        <w:t xml:space="preserve"> that a </w:t>
      </w:r>
      <w:r w:rsidR="00D625C7">
        <w:t xml:space="preserve">health practitioner may object to </w:t>
      </w:r>
      <w:r w:rsidR="004A6E3D">
        <w:t xml:space="preserve">providing </w:t>
      </w:r>
      <w:r w:rsidR="001F7A53">
        <w:t>on religious grounds</w:t>
      </w:r>
      <w:r w:rsidR="009A6AFB">
        <w:t>,</w:t>
      </w:r>
      <w:r w:rsidR="001F7A53">
        <w:t xml:space="preserve"> </w:t>
      </w:r>
      <w:r w:rsidR="00D625C7">
        <w:t>is broad.  It involves a service provided in the practice of any of the following health professions:</w:t>
      </w:r>
    </w:p>
    <w:p w14:paraId="4E363AAB" w14:textId="60474D25" w:rsidR="00D625C7" w:rsidRDefault="001E1654" w:rsidP="001E1654">
      <w:pPr>
        <w:pStyle w:val="ListNumber"/>
        <w:numPr>
          <w:ilvl w:val="0"/>
          <w:numId w:val="43"/>
        </w:numPr>
      </w:pPr>
      <w:r>
        <w:t>Aboriginal and Torres Strait Islander health practice</w:t>
      </w:r>
    </w:p>
    <w:p w14:paraId="2A6775F6" w14:textId="17B098A3" w:rsidR="001E1654" w:rsidRDefault="001E1654" w:rsidP="001E1654">
      <w:pPr>
        <w:pStyle w:val="ListNumber"/>
        <w:numPr>
          <w:ilvl w:val="0"/>
          <w:numId w:val="43"/>
        </w:numPr>
      </w:pPr>
      <w:r>
        <w:t xml:space="preserve">dental (not including the professions of </w:t>
      </w:r>
      <w:r w:rsidR="004A6E3D">
        <w:t xml:space="preserve">dental therapist, dental hygienist, </w:t>
      </w:r>
      <w:r w:rsidR="003D5C2F">
        <w:t>dental prosthetist or oral health therapist)</w:t>
      </w:r>
    </w:p>
    <w:p w14:paraId="23D24A0C" w14:textId="201E2E1E" w:rsidR="003D5C2F" w:rsidRDefault="00BC0989" w:rsidP="001E1654">
      <w:pPr>
        <w:pStyle w:val="ListNumber"/>
        <w:numPr>
          <w:ilvl w:val="0"/>
          <w:numId w:val="43"/>
        </w:numPr>
      </w:pPr>
      <w:r>
        <w:t>medical</w:t>
      </w:r>
    </w:p>
    <w:p w14:paraId="40DC0632" w14:textId="5425A5B4" w:rsidR="00BC0989" w:rsidRDefault="00BC0989" w:rsidP="001E1654">
      <w:pPr>
        <w:pStyle w:val="ListNumber"/>
        <w:numPr>
          <w:ilvl w:val="0"/>
          <w:numId w:val="43"/>
        </w:numPr>
      </w:pPr>
      <w:r>
        <w:t>medical radiation practice</w:t>
      </w:r>
    </w:p>
    <w:p w14:paraId="08991E9C" w14:textId="369DD6AA" w:rsidR="003D5C2F" w:rsidRDefault="00BC0989" w:rsidP="001E1654">
      <w:pPr>
        <w:pStyle w:val="ListNumber"/>
        <w:numPr>
          <w:ilvl w:val="0"/>
          <w:numId w:val="43"/>
        </w:numPr>
      </w:pPr>
      <w:r>
        <w:t>midwifery</w:t>
      </w:r>
    </w:p>
    <w:p w14:paraId="604117BD" w14:textId="50C28938" w:rsidR="00BC0989" w:rsidRDefault="00BC0989" w:rsidP="001E1654">
      <w:pPr>
        <w:pStyle w:val="ListNumber"/>
        <w:numPr>
          <w:ilvl w:val="0"/>
          <w:numId w:val="43"/>
        </w:numPr>
      </w:pPr>
      <w:r>
        <w:t>nursing</w:t>
      </w:r>
    </w:p>
    <w:p w14:paraId="5217031B" w14:textId="0614AFFE" w:rsidR="00BC0989" w:rsidRDefault="00BC0989" w:rsidP="001E1654">
      <w:pPr>
        <w:pStyle w:val="ListNumber"/>
        <w:numPr>
          <w:ilvl w:val="0"/>
          <w:numId w:val="43"/>
        </w:numPr>
      </w:pPr>
      <w:r>
        <w:t>occupational therapy</w:t>
      </w:r>
    </w:p>
    <w:p w14:paraId="62B06908" w14:textId="49D2AF2E" w:rsidR="00BC0989" w:rsidRDefault="00BC0989" w:rsidP="001E1654">
      <w:pPr>
        <w:pStyle w:val="ListNumber"/>
        <w:numPr>
          <w:ilvl w:val="0"/>
          <w:numId w:val="43"/>
        </w:numPr>
      </w:pPr>
      <w:r>
        <w:t>optometry</w:t>
      </w:r>
    </w:p>
    <w:p w14:paraId="32974616" w14:textId="2444ECB2" w:rsidR="00BC0989" w:rsidRDefault="00BC0989" w:rsidP="001E1654">
      <w:pPr>
        <w:pStyle w:val="ListNumber"/>
        <w:numPr>
          <w:ilvl w:val="0"/>
          <w:numId w:val="43"/>
        </w:numPr>
      </w:pPr>
      <w:r>
        <w:t>pharmacy</w:t>
      </w:r>
    </w:p>
    <w:p w14:paraId="033922E3" w14:textId="5EB8285D" w:rsidR="00BC0989" w:rsidRDefault="00BC0989" w:rsidP="001E1654">
      <w:pPr>
        <w:pStyle w:val="ListNumber"/>
        <w:numPr>
          <w:ilvl w:val="0"/>
          <w:numId w:val="43"/>
        </w:numPr>
      </w:pPr>
      <w:r>
        <w:lastRenderedPageBreak/>
        <w:t>physiotherapy</w:t>
      </w:r>
    </w:p>
    <w:p w14:paraId="59F170CB" w14:textId="1D4EF23F" w:rsidR="00BC0989" w:rsidRDefault="00BC0989" w:rsidP="001E1654">
      <w:pPr>
        <w:pStyle w:val="ListNumber"/>
        <w:numPr>
          <w:ilvl w:val="0"/>
          <w:numId w:val="43"/>
        </w:numPr>
      </w:pPr>
      <w:r>
        <w:t>podiatry</w:t>
      </w:r>
    </w:p>
    <w:p w14:paraId="78B0187A" w14:textId="19E31B04" w:rsidR="007313D2" w:rsidRDefault="007313D2" w:rsidP="001E1654">
      <w:pPr>
        <w:pStyle w:val="ListNumber"/>
        <w:numPr>
          <w:ilvl w:val="0"/>
          <w:numId w:val="43"/>
        </w:numPr>
      </w:pPr>
      <w:r>
        <w:t>psychology.</w:t>
      </w:r>
      <w:r>
        <w:rPr>
          <w:rStyle w:val="EndnoteReference"/>
        </w:rPr>
        <w:endnoteReference w:id="41"/>
      </w:r>
    </w:p>
    <w:p w14:paraId="222FC651" w14:textId="6982E161" w:rsidR="00CC427E" w:rsidRDefault="00F40E92" w:rsidP="00E81FA1">
      <w:pPr>
        <w:pStyle w:val="ListNumber"/>
      </w:pPr>
      <w:r>
        <w:t xml:space="preserve">The relevance of </w:t>
      </w:r>
      <w:proofErr w:type="gramStart"/>
      <w:r>
        <w:t>all of</w:t>
      </w:r>
      <w:proofErr w:type="gramEnd"/>
      <w:r>
        <w:t xml:space="preserve"> these categories is not immediately clear.  </w:t>
      </w:r>
      <w:r w:rsidR="00073A9B">
        <w:t xml:space="preserve">For example, </w:t>
      </w:r>
      <w:r w:rsidR="008D6B29">
        <w:t xml:space="preserve">there has been no </w:t>
      </w:r>
      <w:r w:rsidR="000D4AFE">
        <w:t xml:space="preserve">attempt to explain the circumstances in which a </w:t>
      </w:r>
      <w:r w:rsidR="00832AEB">
        <w:t xml:space="preserve">doctor </w:t>
      </w:r>
      <w:r w:rsidR="000D4AFE">
        <w:t xml:space="preserve">may want to conscientiously object to providing a </w:t>
      </w:r>
      <w:r w:rsidR="00073A9B">
        <w:t>service in an Aboriginal and Torres Strait Islander health practice</w:t>
      </w:r>
      <w:r w:rsidR="003C2F9E">
        <w:t>, or</w:t>
      </w:r>
      <w:r w:rsidR="00832AEB">
        <w:t xml:space="preserve"> </w:t>
      </w:r>
      <w:r w:rsidR="006F48E3">
        <w:t xml:space="preserve">in </w:t>
      </w:r>
      <w:r w:rsidR="00E809A6">
        <w:t>relation to dentist</w:t>
      </w:r>
      <w:r w:rsidR="009E581F">
        <w:t>r</w:t>
      </w:r>
      <w:r w:rsidR="00E809A6">
        <w:t>y, optometry or podiatry</w:t>
      </w:r>
      <w:r w:rsidR="00073A9B">
        <w:t xml:space="preserve">. </w:t>
      </w:r>
    </w:p>
    <w:p w14:paraId="04901EB6" w14:textId="24942535" w:rsidR="006F146F" w:rsidRDefault="007B022E" w:rsidP="00E81FA1">
      <w:pPr>
        <w:pStyle w:val="ListNumber"/>
      </w:pPr>
      <w:r>
        <w:t xml:space="preserve">The Explanatory Notes provide more </w:t>
      </w:r>
      <w:r w:rsidR="009A6AFB">
        <w:t xml:space="preserve">specific </w:t>
      </w:r>
      <w:r w:rsidR="00C655CE">
        <w:t xml:space="preserve">examples of where health practitioners may </w:t>
      </w:r>
      <w:r w:rsidR="0065267D">
        <w:t xml:space="preserve">want to </w:t>
      </w:r>
      <w:r w:rsidR="00C655CE">
        <w:t xml:space="preserve">object to providing </w:t>
      </w:r>
      <w:r w:rsidR="00A93EF0">
        <w:t>a health service</w:t>
      </w:r>
      <w:r w:rsidR="00A15CB0">
        <w:t>.  This includes circumstances where ‘doctors, nurses and other health professionals</w:t>
      </w:r>
      <w:r w:rsidR="00977E58">
        <w:t>’</w:t>
      </w:r>
      <w:r w:rsidR="00A15CB0">
        <w:t xml:space="preserve"> are </w:t>
      </w:r>
      <w:r w:rsidR="00977E58">
        <w:t xml:space="preserve">required to ‘undertake procedures, or provide </w:t>
      </w:r>
      <w:r w:rsidR="000A6342">
        <w:t>information, prescriptions, or referrals, related to services such as abortion, euthanasia, contraception or sterilisation’.</w:t>
      </w:r>
      <w:r w:rsidR="00287B1F">
        <w:rPr>
          <w:rStyle w:val="EndnoteReference"/>
        </w:rPr>
        <w:endnoteReference w:id="42"/>
      </w:r>
    </w:p>
    <w:p w14:paraId="1F17D312" w14:textId="62641B1F" w:rsidR="009621E2" w:rsidRDefault="005B235F" w:rsidP="00E81FA1">
      <w:pPr>
        <w:pStyle w:val="ListNumber"/>
      </w:pPr>
      <w:r>
        <w:t xml:space="preserve">The </w:t>
      </w:r>
      <w:r w:rsidR="00FE1778">
        <w:t xml:space="preserve">deeming </w:t>
      </w:r>
      <w:r>
        <w:t xml:space="preserve">provisions </w:t>
      </w:r>
      <w:r w:rsidR="006609E8">
        <w:t>in clauses 8(5</w:t>
      </w:r>
      <w:r w:rsidR="00B53DE3">
        <w:t>)</w:t>
      </w:r>
      <w:proofErr w:type="gramStart"/>
      <w:r w:rsidR="00B53DE3">
        <w:t>–(</w:t>
      </w:r>
      <w:proofErr w:type="gramEnd"/>
      <w:r w:rsidR="006609E8">
        <w:t xml:space="preserve">6) </w:t>
      </w:r>
      <w:r>
        <w:t xml:space="preserve">operate </w:t>
      </w:r>
      <w:r w:rsidR="00FE1778">
        <w:t>differently</w:t>
      </w:r>
      <w:r w:rsidR="00B53DE3">
        <w:t>,</w:t>
      </w:r>
      <w:r w:rsidR="00FE1778">
        <w:t xml:space="preserve"> depending on whether </w:t>
      </w:r>
      <w:r w:rsidR="003A2464">
        <w:t xml:space="preserve">relevant State or Territory law allows </w:t>
      </w:r>
      <w:r w:rsidR="0000600D">
        <w:t xml:space="preserve">health practitioners to conscientiously object to providing </w:t>
      </w:r>
      <w:r w:rsidR="00504CF6">
        <w:t>a health service.</w:t>
      </w:r>
    </w:p>
    <w:p w14:paraId="4359ECE5" w14:textId="0A38B1E4" w:rsidR="0025245F" w:rsidRPr="00836341" w:rsidRDefault="00836341" w:rsidP="00836341">
      <w:pPr>
        <w:pStyle w:val="Heading3"/>
        <w:rPr>
          <w:i/>
          <w:iCs/>
        </w:rPr>
      </w:pPr>
      <w:bookmarkStart w:id="30" w:name="_Toc20471757"/>
      <w:r w:rsidRPr="00836341">
        <w:rPr>
          <w:i/>
          <w:iCs/>
        </w:rPr>
        <w:t>Where State and Territory laws provide for conscientious objection</w:t>
      </w:r>
      <w:bookmarkEnd w:id="30"/>
    </w:p>
    <w:p w14:paraId="30519E8A" w14:textId="1EC8891E" w:rsidR="00FC1B45" w:rsidRDefault="00504CF6" w:rsidP="00E81FA1">
      <w:pPr>
        <w:pStyle w:val="ListNumber"/>
      </w:pPr>
      <w:r>
        <w:t xml:space="preserve">Where a State or Territory law allows </w:t>
      </w:r>
      <w:r w:rsidR="00C209C9">
        <w:t xml:space="preserve">conscientious objection, clause 8(5) provides that a </w:t>
      </w:r>
      <w:r w:rsidR="00E66A35">
        <w:t xml:space="preserve">rule that </w:t>
      </w:r>
      <w:r w:rsidR="00FC1B45">
        <w:t xml:space="preserve">restricts or prevents conscientious objection and is inconsistent with </w:t>
      </w:r>
      <w:r w:rsidR="003E53ED">
        <w:t xml:space="preserve">the </w:t>
      </w:r>
      <w:r w:rsidR="00FC1B45">
        <w:t>State or Territory law is unreasonable.</w:t>
      </w:r>
      <w:r w:rsidR="00AA5589">
        <w:t xml:space="preserve"> </w:t>
      </w:r>
    </w:p>
    <w:p w14:paraId="56D5A2FA" w14:textId="02B1BCC6" w:rsidR="0025245F" w:rsidRDefault="0025245F" w:rsidP="0025245F">
      <w:pPr>
        <w:pStyle w:val="ListNumber"/>
      </w:pPr>
      <w:r>
        <w:t>An example given in the E</w:t>
      </w:r>
      <w:r w:rsidR="004C6187">
        <w:t>xplanatory Notes i</w:t>
      </w:r>
      <w:r>
        <w:t xml:space="preserve">s section 7 of the </w:t>
      </w:r>
      <w:r w:rsidRPr="004C6187">
        <w:rPr>
          <w:i/>
          <w:iCs/>
        </w:rPr>
        <w:t>Voluntary Assisted Dying Act 2017</w:t>
      </w:r>
      <w:r>
        <w:t xml:space="preserve"> (Vic) which provides:  </w:t>
      </w:r>
    </w:p>
    <w:p w14:paraId="5CDA3B4B" w14:textId="7844FBC5" w:rsidR="0025245F" w:rsidRDefault="0025245F" w:rsidP="00BF41CA">
      <w:pPr>
        <w:pStyle w:val="Quote"/>
      </w:pPr>
      <w:r>
        <w:t xml:space="preserve">A registered health practitioner who has a conscientious objection to voluntary assisted dying has the right to refuse to do any of the following- </w:t>
      </w:r>
    </w:p>
    <w:p w14:paraId="3B218A5B" w14:textId="685B4E4A" w:rsidR="0025245F" w:rsidRDefault="0025245F" w:rsidP="00BF41CA">
      <w:pPr>
        <w:pStyle w:val="Quote"/>
      </w:pPr>
      <w:r>
        <w:t xml:space="preserve">(a) </w:t>
      </w:r>
      <w:r w:rsidR="00BF41CA">
        <w:tab/>
      </w:r>
      <w:r>
        <w:t xml:space="preserve">to provide information about voluntary assisted dying; </w:t>
      </w:r>
    </w:p>
    <w:p w14:paraId="10C5A44C" w14:textId="11D75B1B" w:rsidR="0025245F" w:rsidRDefault="0025245F" w:rsidP="00BF41CA">
      <w:pPr>
        <w:pStyle w:val="Quote"/>
      </w:pPr>
      <w:r>
        <w:t xml:space="preserve">(b) </w:t>
      </w:r>
      <w:r w:rsidR="00BF41CA">
        <w:tab/>
      </w:r>
      <w:r>
        <w:t xml:space="preserve">to participate in the request and assessment process; </w:t>
      </w:r>
    </w:p>
    <w:p w14:paraId="093CA5EB" w14:textId="0DCED5B5" w:rsidR="0025245F" w:rsidRDefault="0025245F" w:rsidP="00BF41CA">
      <w:pPr>
        <w:pStyle w:val="Quote"/>
      </w:pPr>
      <w:r>
        <w:t xml:space="preserve">(c) </w:t>
      </w:r>
      <w:r w:rsidR="00BF41CA">
        <w:tab/>
      </w:r>
      <w:r>
        <w:t xml:space="preserve">to apply for a voluntary assisted dying permit; </w:t>
      </w:r>
    </w:p>
    <w:p w14:paraId="76B5E596" w14:textId="52E92B63" w:rsidR="0025245F" w:rsidRDefault="0025245F" w:rsidP="00BF41CA">
      <w:pPr>
        <w:pStyle w:val="Quote"/>
        <w:ind w:left="2160" w:hanging="720"/>
      </w:pPr>
      <w:r>
        <w:t xml:space="preserve">(d) </w:t>
      </w:r>
      <w:r w:rsidR="00BF41CA">
        <w:tab/>
      </w:r>
      <w:r>
        <w:t xml:space="preserve">to supply, prescribe or administer a voluntary assisted dying substance; </w:t>
      </w:r>
    </w:p>
    <w:p w14:paraId="3B3594B1" w14:textId="56325C5D" w:rsidR="0025245F" w:rsidRDefault="0025245F" w:rsidP="00BF41CA">
      <w:pPr>
        <w:pStyle w:val="Quote"/>
        <w:ind w:left="2160" w:hanging="720"/>
      </w:pPr>
      <w:r>
        <w:t xml:space="preserve">(e) </w:t>
      </w:r>
      <w:r w:rsidR="00BF41CA">
        <w:tab/>
      </w:r>
      <w:r>
        <w:t xml:space="preserve">to be present at the time of administration of a voluntary assisted dying substance; </w:t>
      </w:r>
    </w:p>
    <w:p w14:paraId="1196250B" w14:textId="650E4F19" w:rsidR="0025245F" w:rsidRDefault="0025245F" w:rsidP="00BF41CA">
      <w:pPr>
        <w:pStyle w:val="Quote"/>
      </w:pPr>
      <w:r>
        <w:lastRenderedPageBreak/>
        <w:t xml:space="preserve">(f) </w:t>
      </w:r>
      <w:r w:rsidR="00BF41CA">
        <w:tab/>
      </w:r>
      <w:r>
        <w:t xml:space="preserve">to dispense a prescription for a voluntary assisted dying substance. </w:t>
      </w:r>
    </w:p>
    <w:p w14:paraId="4817C933" w14:textId="2C14CB60" w:rsidR="0025245F" w:rsidRDefault="0025245F" w:rsidP="0025245F">
      <w:pPr>
        <w:pStyle w:val="ListNumber"/>
      </w:pPr>
      <w:r>
        <w:t xml:space="preserve">A rule which restricted the operation of a provision of this kind would be held to be unreasonable and amount to </w:t>
      </w:r>
      <w:r w:rsidR="00A05F18">
        <w:t xml:space="preserve">indirect </w:t>
      </w:r>
      <w:r>
        <w:t xml:space="preserve">religious discrimination. </w:t>
      </w:r>
    </w:p>
    <w:p w14:paraId="538E77D4" w14:textId="722043C0" w:rsidR="0025245F" w:rsidRDefault="0025245F" w:rsidP="0025245F">
      <w:pPr>
        <w:pStyle w:val="ListNumber"/>
      </w:pPr>
      <w:r>
        <w:t xml:space="preserve">The </w:t>
      </w:r>
      <w:r w:rsidR="007B5B5F">
        <w:t xml:space="preserve">Explanatory Notes </w:t>
      </w:r>
      <w:r>
        <w:t xml:space="preserve">say that clause 8(5) will not affect the imposition of </w:t>
      </w:r>
      <w:r w:rsidR="009A6AFB">
        <w:t xml:space="preserve">a </w:t>
      </w:r>
      <w:r>
        <w:t xml:space="preserve">State </w:t>
      </w:r>
      <w:r w:rsidR="009A6AFB">
        <w:t xml:space="preserve">or </w:t>
      </w:r>
      <w:r>
        <w:t xml:space="preserve">Territory rule </w:t>
      </w:r>
      <w:r w:rsidR="009A6AFB">
        <w:t xml:space="preserve">that </w:t>
      </w:r>
      <w:r w:rsidRPr="004B6A89">
        <w:rPr>
          <w:i/>
          <w:iCs/>
        </w:rPr>
        <w:t>limited</w:t>
      </w:r>
      <w:r>
        <w:t xml:space="preserve"> the ability of a health practitioner to conscientiously object to providing a particular service where the rule was consistent with State or Territory law.</w:t>
      </w:r>
      <w:r w:rsidR="00B56EFB">
        <w:rPr>
          <w:rStyle w:val="EndnoteReference"/>
        </w:rPr>
        <w:endnoteReference w:id="43"/>
      </w:r>
      <w:r>
        <w:t xml:space="preserve">  It gives the example of a rule that is consistent with ss</w:t>
      </w:r>
      <w:r w:rsidR="004B6A89">
        <w:t> </w:t>
      </w:r>
      <w:r>
        <w:t xml:space="preserve">8(3) or (4) of the </w:t>
      </w:r>
      <w:r w:rsidRPr="004B6A89">
        <w:rPr>
          <w:i/>
          <w:iCs/>
        </w:rPr>
        <w:t>Abortion Law Reform Act 2008</w:t>
      </w:r>
      <w:r>
        <w:t xml:space="preserve"> (Vic) which provide:  </w:t>
      </w:r>
    </w:p>
    <w:p w14:paraId="1B97D2BD" w14:textId="68129A26" w:rsidR="0025245F" w:rsidRDefault="0025245F" w:rsidP="004B6A89">
      <w:pPr>
        <w:pStyle w:val="Quote"/>
        <w:ind w:left="2160" w:hanging="720"/>
      </w:pPr>
      <w:r>
        <w:t xml:space="preserve">(3) </w:t>
      </w:r>
      <w:r w:rsidR="004B6A89">
        <w:tab/>
      </w:r>
      <w:r>
        <w:t xml:space="preserve">Despite any conscientious objection to abortion, a registered medical practitioner is under a duty to perform an abortion in an emergency where the abortion is necessary to preserve the life of the pregnant woman. </w:t>
      </w:r>
    </w:p>
    <w:p w14:paraId="2A7C6485" w14:textId="2CB08656" w:rsidR="0025245F" w:rsidRDefault="0025245F" w:rsidP="004B6A89">
      <w:pPr>
        <w:pStyle w:val="Quote"/>
        <w:ind w:left="2160" w:hanging="720"/>
      </w:pPr>
      <w:r>
        <w:t xml:space="preserve">(4) </w:t>
      </w:r>
      <w:r w:rsidR="004B6A89">
        <w:tab/>
      </w:r>
      <w:r>
        <w:t xml:space="preserve">Despite any conscientious objection to abortion, a registered nurse is under a duty to assist a registered medical practitioner in performing an abortion in an emergency where the abortion is necessary to preserve the life of the pregnant woman. </w:t>
      </w:r>
    </w:p>
    <w:p w14:paraId="0128FD37" w14:textId="5AD400A1" w:rsidR="0025245F" w:rsidRDefault="007B5B5F" w:rsidP="0025245F">
      <w:pPr>
        <w:pStyle w:val="ListNumber"/>
      </w:pPr>
      <w:r>
        <w:t xml:space="preserve">In this respect, the Bill relies on State and Territory law to achieve the balance between conscientious objection and the necessity for treatment.  </w:t>
      </w:r>
      <w:r w:rsidR="0025245F">
        <w:t xml:space="preserve">The </w:t>
      </w:r>
      <w:r w:rsidR="00A73E90">
        <w:t xml:space="preserve">Explanatory Notes </w:t>
      </w:r>
      <w:r w:rsidR="0025245F">
        <w:t xml:space="preserve">say that clause 8(5) of the Bill </w:t>
      </w:r>
      <w:r w:rsidR="00A73E90">
        <w:t>‘</w:t>
      </w:r>
      <w:r w:rsidR="0025245F">
        <w:t xml:space="preserve">recognises that statutory conscientious objection provisions are primarily a matter for the states and </w:t>
      </w:r>
      <w:proofErr w:type="gramStart"/>
      <w:r w:rsidR="0025245F">
        <w:t>territories</w:t>
      </w:r>
      <w:r w:rsidR="00A73E90">
        <w:t>’</w:t>
      </w:r>
      <w:proofErr w:type="gramEnd"/>
      <w:r w:rsidR="0025245F">
        <w:t xml:space="preserve">. </w:t>
      </w:r>
    </w:p>
    <w:p w14:paraId="365A2BFD" w14:textId="75D63103" w:rsidR="00526480" w:rsidRDefault="00526480" w:rsidP="0025245F">
      <w:pPr>
        <w:pStyle w:val="ListNumber"/>
      </w:pPr>
      <w:r>
        <w:t xml:space="preserve">Where clause 8(5) operates, the relevant rule would be both contrary to State or Territory law </w:t>
      </w:r>
      <w:proofErr w:type="gramStart"/>
      <w:r>
        <w:t>and also</w:t>
      </w:r>
      <w:proofErr w:type="gramEnd"/>
      <w:r>
        <w:t xml:space="preserve"> indirect discrimination under the </w:t>
      </w:r>
      <w:r w:rsidR="004A0000">
        <w:t>Bill</w:t>
      </w:r>
      <w:r>
        <w:t xml:space="preserve">.  </w:t>
      </w:r>
      <w:r w:rsidR="00B253BE">
        <w:t>It is therefore not clear why clause 8(5) is necessary</w:t>
      </w:r>
      <w:r w:rsidR="00B53DE3">
        <w:t>,</w:t>
      </w:r>
      <w:r w:rsidR="00B253BE">
        <w:t xml:space="preserve"> given that those seeking </w:t>
      </w:r>
      <w:r w:rsidR="0075430D">
        <w:t xml:space="preserve">to challenge the rule could do so </w:t>
      </w:r>
      <w:r w:rsidR="00856F78">
        <w:t xml:space="preserve">directly </w:t>
      </w:r>
      <w:r w:rsidR="0075430D">
        <w:t>on the basis that it is a breach of State or Territory law</w:t>
      </w:r>
      <w:r w:rsidR="00856F78">
        <w:t xml:space="preserve">, without the need to </w:t>
      </w:r>
      <w:r w:rsidR="00187BCA">
        <w:t xml:space="preserve">go through the conciliation process involved in making a complaint to the Commission alleging that there has been indirect </w:t>
      </w:r>
      <w:r w:rsidR="00213260">
        <w:t>religious discrimination</w:t>
      </w:r>
      <w:r w:rsidR="0075430D">
        <w:t>.</w:t>
      </w:r>
    </w:p>
    <w:p w14:paraId="56D12C5F" w14:textId="6E590F7C" w:rsidR="000A194B" w:rsidRPr="00836341" w:rsidRDefault="000A194B" w:rsidP="000A194B">
      <w:pPr>
        <w:pStyle w:val="Heading3"/>
        <w:rPr>
          <w:i/>
          <w:iCs/>
        </w:rPr>
      </w:pPr>
      <w:bookmarkStart w:id="31" w:name="_Toc20471758"/>
      <w:r w:rsidRPr="00836341">
        <w:rPr>
          <w:i/>
          <w:iCs/>
        </w:rPr>
        <w:t xml:space="preserve">Where State and Territory laws </w:t>
      </w:r>
      <w:r>
        <w:rPr>
          <w:i/>
          <w:iCs/>
        </w:rPr>
        <w:t xml:space="preserve">do not </w:t>
      </w:r>
      <w:r w:rsidRPr="00836341">
        <w:rPr>
          <w:i/>
          <w:iCs/>
        </w:rPr>
        <w:t>provide for conscientious objection</w:t>
      </w:r>
      <w:bookmarkEnd w:id="31"/>
    </w:p>
    <w:p w14:paraId="6804C519" w14:textId="351486DE" w:rsidR="00712858" w:rsidRDefault="000340E2" w:rsidP="0025245F">
      <w:pPr>
        <w:pStyle w:val="ListNumber"/>
      </w:pPr>
      <w:r>
        <w:t>In general terms, c</w:t>
      </w:r>
      <w:r w:rsidR="008567E1">
        <w:t xml:space="preserve">lause 8(6) operates </w:t>
      </w:r>
      <w:r w:rsidR="00314782">
        <w:t>w</w:t>
      </w:r>
      <w:r w:rsidR="00712858">
        <w:t>here a State or Territory law does not allow</w:t>
      </w:r>
      <w:r w:rsidR="0023487A">
        <w:t xml:space="preserve"> a health practitioner to conscientiously object to providing a health service</w:t>
      </w:r>
      <w:r w:rsidR="00B66363">
        <w:t xml:space="preserve"> on religious grounds</w:t>
      </w:r>
      <w:r w:rsidR="00712858">
        <w:t>.</w:t>
      </w:r>
    </w:p>
    <w:p w14:paraId="1ED6CEAD" w14:textId="53F2FB35" w:rsidR="006A08BE" w:rsidRDefault="00233F76" w:rsidP="0025245F">
      <w:pPr>
        <w:pStyle w:val="ListNumber"/>
      </w:pPr>
      <w:r>
        <w:t>However, t</w:t>
      </w:r>
      <w:r w:rsidR="006A08BE">
        <w:t xml:space="preserve">he </w:t>
      </w:r>
      <w:proofErr w:type="gramStart"/>
      <w:r w:rsidR="00314782">
        <w:t xml:space="preserve">particular </w:t>
      </w:r>
      <w:r w:rsidR="006A08BE">
        <w:t>circumstances</w:t>
      </w:r>
      <w:proofErr w:type="gramEnd"/>
      <w:r w:rsidR="006A08BE">
        <w:t xml:space="preserve"> in which clause 8(6) operates are not clear.  It is expressed to operate ‘if subsection (5) does not </w:t>
      </w:r>
      <w:r w:rsidR="006A08BE">
        <w:lastRenderedPageBreak/>
        <w:t xml:space="preserve">apply’.  This could potentially be where State and Territory law is silent about conscientious objection, or where State and Territory law </w:t>
      </w:r>
      <w:r w:rsidR="00F616B3">
        <w:t xml:space="preserve">prohibits </w:t>
      </w:r>
      <w:r w:rsidR="00F700A4">
        <w:t>conscientious objection</w:t>
      </w:r>
      <w:r w:rsidR="0054666E">
        <w:t xml:space="preserve"> (for example, in relation to </w:t>
      </w:r>
      <w:r w:rsidR="00A46D14">
        <w:t xml:space="preserve">objections to </w:t>
      </w:r>
      <w:r w:rsidR="0054666E">
        <w:t>vaccination)</w:t>
      </w:r>
      <w:r w:rsidR="00F700A4">
        <w:t>.</w:t>
      </w:r>
      <w:r w:rsidR="0030725E">
        <w:t xml:space="preserve">  </w:t>
      </w:r>
      <w:r w:rsidR="008C01CB">
        <w:t xml:space="preserve">If the provision operates in the latter </w:t>
      </w:r>
      <w:r w:rsidR="0030725E">
        <w:t xml:space="preserve">case, </w:t>
      </w:r>
      <w:r w:rsidR="00836A28">
        <w:t xml:space="preserve">it appears that </w:t>
      </w:r>
      <w:r w:rsidR="008C01CB">
        <w:t xml:space="preserve">it </w:t>
      </w:r>
      <w:r w:rsidR="0030725E">
        <w:t>would override State and Territory law.</w:t>
      </w:r>
    </w:p>
    <w:p w14:paraId="1C86D19E" w14:textId="1674DBA7" w:rsidR="0025245F" w:rsidRDefault="00233F76" w:rsidP="00E81FA1">
      <w:pPr>
        <w:pStyle w:val="ListNumber"/>
      </w:pPr>
      <w:r>
        <w:t>Where clause 8(6) operates</w:t>
      </w:r>
      <w:r w:rsidR="00765B45">
        <w:t xml:space="preserve">, it deems </w:t>
      </w:r>
      <w:r w:rsidR="00D10D45">
        <w:t xml:space="preserve">rules that restrict conscientious objection to be unreasonable, </w:t>
      </w:r>
      <w:r w:rsidR="0025245F">
        <w:t xml:space="preserve">unless the rule is necessary to avoid an </w:t>
      </w:r>
      <w:r w:rsidR="003B00DE">
        <w:t>‘</w:t>
      </w:r>
      <w:r w:rsidR="0025245F">
        <w:t>unjustifiable adverse impact</w:t>
      </w:r>
      <w:r w:rsidR="003B00DE">
        <w:t>’</w:t>
      </w:r>
      <w:r w:rsidR="0025245F">
        <w:t xml:space="preserve"> on: </w:t>
      </w:r>
    </w:p>
    <w:p w14:paraId="7B245B6F" w14:textId="096A867F" w:rsidR="0025245F" w:rsidRDefault="0025245F" w:rsidP="003B00DE">
      <w:pPr>
        <w:pStyle w:val="ListNumber"/>
        <w:numPr>
          <w:ilvl w:val="0"/>
          <w:numId w:val="43"/>
        </w:numPr>
      </w:pPr>
      <w:r>
        <w:t>the provision of the relevant health service</w:t>
      </w:r>
      <w:r w:rsidR="003B00DE">
        <w:t>; or</w:t>
      </w:r>
    </w:p>
    <w:p w14:paraId="3CD4B024" w14:textId="7BFB3D93" w:rsidR="0025245F" w:rsidRDefault="0025245F" w:rsidP="003B00DE">
      <w:pPr>
        <w:pStyle w:val="ListNumber"/>
        <w:numPr>
          <w:ilvl w:val="0"/>
          <w:numId w:val="43"/>
        </w:numPr>
      </w:pPr>
      <w:r>
        <w:t xml:space="preserve">the health of a person who is seeking that health service. </w:t>
      </w:r>
    </w:p>
    <w:p w14:paraId="2ECB3DEE" w14:textId="5B1926FB" w:rsidR="006E5BF0" w:rsidRDefault="002E35D8" w:rsidP="0025245F">
      <w:pPr>
        <w:pStyle w:val="ListNumber"/>
      </w:pPr>
      <w:r>
        <w:t xml:space="preserve">Again, this deeming provision </w:t>
      </w:r>
      <w:r w:rsidR="00272A20">
        <w:t xml:space="preserve">operates to limit the factors that can be </w:t>
      </w:r>
      <w:proofErr w:type="gramStart"/>
      <w:r w:rsidR="00272A20">
        <w:t>taken into account</w:t>
      </w:r>
      <w:proofErr w:type="gramEnd"/>
      <w:r w:rsidR="00272A20">
        <w:t xml:space="preserve"> when assessing reasonableness. </w:t>
      </w:r>
      <w:r w:rsidR="006E5BF0">
        <w:t xml:space="preserve"> </w:t>
      </w:r>
      <w:r w:rsidR="008F3130">
        <w:t>A rule will be deemed to be unreasonable, and therefore discriminatory, unless the limited criteria in clause 8(6) apply.</w:t>
      </w:r>
    </w:p>
    <w:p w14:paraId="136DE15A" w14:textId="352326D1" w:rsidR="00112456" w:rsidRDefault="0025245F" w:rsidP="0025245F">
      <w:pPr>
        <w:pStyle w:val="ListNumber"/>
      </w:pPr>
      <w:r>
        <w:t xml:space="preserve">The Bill does not attempt to distinguish between which adverse impacts are justifiable and which are unjustifiable.  The </w:t>
      </w:r>
      <w:r w:rsidR="007728CA">
        <w:t xml:space="preserve">Explanatory Notes </w:t>
      </w:r>
      <w:r>
        <w:t xml:space="preserve">say that a result of death or serious injury </w:t>
      </w:r>
      <w:r w:rsidR="007728CA">
        <w:t>‘</w:t>
      </w:r>
      <w:r>
        <w:t xml:space="preserve">would </w:t>
      </w:r>
      <w:r w:rsidRPr="007728CA">
        <w:rPr>
          <w:u w:val="single"/>
        </w:rPr>
        <w:t>generally</w:t>
      </w:r>
      <w:r>
        <w:t xml:space="preserve"> amount to an unjustifiable adverse impact</w:t>
      </w:r>
      <w:r w:rsidR="007728CA">
        <w:t>’</w:t>
      </w:r>
      <w:r w:rsidR="002957DF">
        <w:t xml:space="preserve"> (emphasis added)</w:t>
      </w:r>
      <w:r>
        <w:t>.</w:t>
      </w:r>
      <w:r w:rsidR="008E5C83">
        <w:rPr>
          <w:rStyle w:val="EndnoteReference"/>
        </w:rPr>
        <w:endnoteReference w:id="44"/>
      </w:r>
      <w:r>
        <w:t xml:space="preserve">  </w:t>
      </w:r>
      <w:r w:rsidR="00112456">
        <w:t xml:space="preserve">The only conclusions that can be drawn from this </w:t>
      </w:r>
      <w:r w:rsidR="00AA5950">
        <w:t>are</w:t>
      </w:r>
      <w:r w:rsidR="00112456">
        <w:t xml:space="preserve"> that not all adverse impacts on patients will justify rules that limit </w:t>
      </w:r>
      <w:r w:rsidR="00F913E3">
        <w:t>conscientious objections, and sometimes even the death of a patient may be insufficient.</w:t>
      </w:r>
    </w:p>
    <w:p w14:paraId="5654A455" w14:textId="1D883FAD" w:rsidR="004C08D5" w:rsidRDefault="0025245F" w:rsidP="00E81FA1">
      <w:pPr>
        <w:pStyle w:val="ListNumber"/>
      </w:pPr>
      <w:r>
        <w:t>Th</w:t>
      </w:r>
      <w:r w:rsidR="00AA5950">
        <w:t xml:space="preserve">e Commission is concerned that this </w:t>
      </w:r>
      <w:r w:rsidR="00A1172F">
        <w:t xml:space="preserve">appears to countenance </w:t>
      </w:r>
      <w:r>
        <w:t xml:space="preserve">a wide range of possible adverse </w:t>
      </w:r>
      <w:r w:rsidR="00672481">
        <w:t xml:space="preserve">health </w:t>
      </w:r>
      <w:r>
        <w:t xml:space="preserve">impacts in the name of protecting the freedom of religion of health practitioners. </w:t>
      </w:r>
      <w:r w:rsidR="004C08D5">
        <w:t xml:space="preserve"> </w:t>
      </w:r>
    </w:p>
    <w:p w14:paraId="50D8BF0F" w14:textId="198FC799" w:rsidR="005B6515" w:rsidRDefault="005B6515" w:rsidP="005B6515">
      <w:pPr>
        <w:pStyle w:val="ListNumber"/>
      </w:pPr>
      <w:r>
        <w:t>The risk involved in this approach is that patients may lose the ability to obtain ‘information, prescriptions, or referrals’ or to have procedures related to services such as abortion, euthanasia, contraception or sterilisation where, in all the circumstances, it would be reasonable to require health practitioners to provide those services</w:t>
      </w:r>
      <w:r w:rsidR="00A01359">
        <w:t xml:space="preserve"> or to make referrals to another health practitioner</w:t>
      </w:r>
      <w:r w:rsidR="00E25E69">
        <w:t xml:space="preserve"> who is willing to do so</w:t>
      </w:r>
      <w:r>
        <w:t xml:space="preserve">.  </w:t>
      </w:r>
    </w:p>
    <w:p w14:paraId="2D8F13A7" w14:textId="01E3B54F" w:rsidR="005B6515" w:rsidRDefault="005B6515" w:rsidP="005B6515">
      <w:pPr>
        <w:pStyle w:val="ListNumber"/>
      </w:pPr>
      <w:r>
        <w:t>This is particularly the case where there is an absence of State or Territory law requiring such services</w:t>
      </w:r>
      <w:r w:rsidR="00A71E47">
        <w:t xml:space="preserve"> or referrals</w:t>
      </w:r>
      <w:r>
        <w:t xml:space="preserve"> to be provided.  For example, in Victoria, s</w:t>
      </w:r>
      <w:r>
        <w:rPr>
          <w:rFonts w:ascii="Arial" w:hAnsi="Arial" w:cs="Arial"/>
        </w:rPr>
        <w:t> </w:t>
      </w:r>
      <w:r>
        <w:t xml:space="preserve">8(1) of the </w:t>
      </w:r>
      <w:r w:rsidRPr="00EC1B45">
        <w:rPr>
          <w:i/>
          <w:iCs/>
        </w:rPr>
        <w:t>Abortion Law Reform Act 2008</w:t>
      </w:r>
      <w:r>
        <w:t xml:space="preserve"> (Vic) provides: </w:t>
      </w:r>
    </w:p>
    <w:p w14:paraId="261BAA77" w14:textId="5B13DD10" w:rsidR="005B6515" w:rsidRDefault="005B6515" w:rsidP="00EC1B45">
      <w:pPr>
        <w:pStyle w:val="Quote"/>
        <w:ind w:left="2160" w:hanging="720"/>
      </w:pPr>
      <w:r>
        <w:t xml:space="preserve">(1) </w:t>
      </w:r>
      <w:r w:rsidR="00EC1B45">
        <w:tab/>
      </w:r>
      <w:r>
        <w:t xml:space="preserve">If a woman requests a registered health practitioner to advise on a proposed abortion, or to perform, direct, authorise or supervise an </w:t>
      </w:r>
      <w:r>
        <w:lastRenderedPageBreak/>
        <w:t xml:space="preserve">abortion for that woman, and the practitioner has a conscientious objection to abortion, the practitioner must— </w:t>
      </w:r>
    </w:p>
    <w:p w14:paraId="315B31DC" w14:textId="24149996" w:rsidR="005B6515" w:rsidRDefault="005B6515" w:rsidP="00EC1B45">
      <w:pPr>
        <w:pStyle w:val="Quote"/>
        <w:ind w:left="2880" w:hanging="720"/>
      </w:pPr>
      <w:r>
        <w:t xml:space="preserve">(a) </w:t>
      </w:r>
      <w:r w:rsidR="00EC1B45">
        <w:tab/>
      </w:r>
      <w:r>
        <w:t xml:space="preserve">inform the woman that the practitioner has a conscientious objection to abortion; and  </w:t>
      </w:r>
    </w:p>
    <w:p w14:paraId="67E0EFF0" w14:textId="4554E31D" w:rsidR="005B6515" w:rsidRDefault="005B6515" w:rsidP="00EC1B45">
      <w:pPr>
        <w:pStyle w:val="Quote"/>
        <w:ind w:left="2880" w:hanging="720"/>
      </w:pPr>
      <w:r>
        <w:t xml:space="preserve">(b) </w:t>
      </w:r>
      <w:r w:rsidR="00EC1B45">
        <w:tab/>
      </w:r>
      <w:r>
        <w:t xml:space="preserve">refer the woman to another registered health practitioner in the same regulated health profession who the practitioner knows does not have a conscientious objection to abortion. </w:t>
      </w:r>
    </w:p>
    <w:p w14:paraId="2C658C23" w14:textId="5C550D9A" w:rsidR="005B6515" w:rsidRDefault="005B6515" w:rsidP="005B6515">
      <w:pPr>
        <w:pStyle w:val="ListNumber"/>
      </w:pPr>
      <w:r>
        <w:t xml:space="preserve">In other States, the imposition of similar rules in professional codes of conduct or departmental policy directives which are not specifically provided for in statute would be at risk of being deemed to amount to religious discrimination, without </w:t>
      </w:r>
      <w:proofErr w:type="gramStart"/>
      <w:r>
        <w:t>all of</w:t>
      </w:r>
      <w:proofErr w:type="gramEnd"/>
      <w:r>
        <w:t xml:space="preserve"> the relevant circumstances being taken into account.  This may occur because a </w:t>
      </w:r>
      <w:r w:rsidR="00DB60D8">
        <w:t>c</w:t>
      </w:r>
      <w:r>
        <w:t xml:space="preserve">ourt finds that the person imposing the rule was not able to establish that the rule had an ‘unjustifiable adverse impact’ on either: </w:t>
      </w:r>
    </w:p>
    <w:p w14:paraId="6802A144" w14:textId="77777777" w:rsidR="005B6515" w:rsidRDefault="005B6515" w:rsidP="008F3130">
      <w:pPr>
        <w:pStyle w:val="ListNumber"/>
        <w:numPr>
          <w:ilvl w:val="0"/>
          <w:numId w:val="44"/>
        </w:numPr>
      </w:pPr>
      <w:r>
        <w:t xml:space="preserve">the ability of the person imposing the rule to provide the health service, or  </w:t>
      </w:r>
    </w:p>
    <w:p w14:paraId="19BE3C17" w14:textId="77777777" w:rsidR="005B6515" w:rsidRDefault="005B6515" w:rsidP="008F3130">
      <w:pPr>
        <w:pStyle w:val="ListNumber"/>
        <w:numPr>
          <w:ilvl w:val="0"/>
          <w:numId w:val="44"/>
        </w:numPr>
      </w:pPr>
      <w:r>
        <w:t xml:space="preserve">the health of the woman requesting the advice or the service. </w:t>
      </w:r>
    </w:p>
    <w:p w14:paraId="0712B53A" w14:textId="25D6FE5C" w:rsidR="004D6078" w:rsidRDefault="00805708" w:rsidP="005B6515">
      <w:pPr>
        <w:pStyle w:val="ListNumber"/>
      </w:pPr>
      <w:r>
        <w:t xml:space="preserve">For example, </w:t>
      </w:r>
      <w:r w:rsidR="007C040C">
        <w:t xml:space="preserve">the Reproductive Health Care Reform Bill 2019 (NSW) </w:t>
      </w:r>
      <w:r w:rsidR="00997A13">
        <w:t>is currently being debated</w:t>
      </w:r>
      <w:r w:rsidR="00AA5950">
        <w:t xml:space="preserve"> in the NSW Parliament</w:t>
      </w:r>
      <w:r w:rsidR="007C040C">
        <w:t xml:space="preserve">.  </w:t>
      </w:r>
      <w:r w:rsidR="00463F46">
        <w:t>Th</w:t>
      </w:r>
      <w:r w:rsidR="00AA5950">
        <w:t>at</w:t>
      </w:r>
      <w:r w:rsidR="00463F46">
        <w:t xml:space="preserve"> </w:t>
      </w:r>
      <w:r w:rsidR="00802D58">
        <w:t xml:space="preserve">Bill </w:t>
      </w:r>
      <w:r w:rsidR="00105638">
        <w:t xml:space="preserve">would repeal offences in the </w:t>
      </w:r>
      <w:r w:rsidR="00105638" w:rsidRPr="00DB60D8">
        <w:rPr>
          <w:i/>
          <w:iCs/>
        </w:rPr>
        <w:t>Crimes Act 1900</w:t>
      </w:r>
      <w:r w:rsidR="00105638">
        <w:t xml:space="preserve"> (NSW) dealing with abortion and </w:t>
      </w:r>
      <w:r w:rsidR="00B7359F">
        <w:t xml:space="preserve">enable terminations of pregnancy to be performed by medical practitioners in certain circumstances.  </w:t>
      </w:r>
      <w:r w:rsidR="00F75E07">
        <w:t>It</w:t>
      </w:r>
      <w:r w:rsidR="00D9367B">
        <w:t xml:space="preserve"> would require a registered health practitioner who has a conscientious objection </w:t>
      </w:r>
      <w:r w:rsidR="00B544CC">
        <w:t>to perform</w:t>
      </w:r>
      <w:r w:rsidR="00505B0A">
        <w:t>ing</w:t>
      </w:r>
      <w:r w:rsidR="00B544CC">
        <w:t xml:space="preserve"> a termination on a person to disclose the objection and refer the person to another practitioner who does not have a conscientious objection. </w:t>
      </w:r>
      <w:r w:rsidR="00087BB5">
        <w:t xml:space="preserve"> </w:t>
      </w:r>
    </w:p>
    <w:p w14:paraId="74C64017" w14:textId="43E8CDB0" w:rsidR="00805708" w:rsidRDefault="00F62FEC" w:rsidP="005B6515">
      <w:pPr>
        <w:pStyle w:val="ListNumber"/>
      </w:pPr>
      <w:r>
        <w:t>The Commission understands that conscientious objection</w:t>
      </w:r>
      <w:r w:rsidR="00505B0A">
        <w:t>s</w:t>
      </w:r>
      <w:r>
        <w:t xml:space="preserve"> to terminations </w:t>
      </w:r>
      <w:r w:rsidR="009C3936">
        <w:t xml:space="preserve">in </w:t>
      </w:r>
      <w:r w:rsidR="00F75E07">
        <w:t>NSW</w:t>
      </w:r>
      <w:r w:rsidR="009C3936">
        <w:t xml:space="preserve"> </w:t>
      </w:r>
      <w:r w:rsidR="00505B0A">
        <w:t>are</w:t>
      </w:r>
      <w:r>
        <w:t xml:space="preserve"> currently governed by a Policy Directive issued by NSW Health.</w:t>
      </w:r>
      <w:r>
        <w:rPr>
          <w:rStyle w:val="EndnoteReference"/>
        </w:rPr>
        <w:endnoteReference w:id="45"/>
      </w:r>
      <w:r w:rsidR="009C3936">
        <w:t xml:space="preserve">  </w:t>
      </w:r>
      <w:r w:rsidR="00087BB5">
        <w:t xml:space="preserve">If </w:t>
      </w:r>
      <w:r w:rsidR="004D6078">
        <w:t xml:space="preserve">the NSW </w:t>
      </w:r>
      <w:r w:rsidR="00087BB5">
        <w:t xml:space="preserve">Bill is passed, the provisions relating to conscientious objection (including the referral requirement) would be protected by clause 8(5) of the </w:t>
      </w:r>
      <w:r w:rsidR="00463F46">
        <w:t xml:space="preserve">Religious Discrimination </w:t>
      </w:r>
      <w:r w:rsidR="00087BB5">
        <w:t>Bi</w:t>
      </w:r>
      <w:r w:rsidR="00463F46">
        <w:t>ll</w:t>
      </w:r>
      <w:r w:rsidR="004D6078">
        <w:t xml:space="preserve">.  However, until that time any non-statutory rules </w:t>
      </w:r>
      <w:r w:rsidR="009C3936">
        <w:t xml:space="preserve">or directions </w:t>
      </w:r>
      <w:r w:rsidR="004D6078">
        <w:t xml:space="preserve">dealing with the same subject would need to </w:t>
      </w:r>
      <w:r w:rsidR="008E6FA6">
        <w:t>satisfy the hurdles in clause 8(6)</w:t>
      </w:r>
      <w:r w:rsidR="00C600AE">
        <w:t xml:space="preserve"> and would be overridden to the extent that they were inconsistent with clause 8(6) even if they were reasonable in </w:t>
      </w:r>
      <w:proofErr w:type="gramStart"/>
      <w:r w:rsidR="00C600AE">
        <w:t>all of</w:t>
      </w:r>
      <w:proofErr w:type="gramEnd"/>
      <w:r w:rsidR="00C600AE">
        <w:t xml:space="preserve"> the circumstances</w:t>
      </w:r>
      <w:r w:rsidR="008E6FA6">
        <w:t xml:space="preserve">.  </w:t>
      </w:r>
    </w:p>
    <w:p w14:paraId="7E5E93E3" w14:textId="5527B09A" w:rsidR="00805708" w:rsidRDefault="00B1358D" w:rsidP="005B6515">
      <w:pPr>
        <w:pStyle w:val="ListNumber"/>
      </w:pPr>
      <w:r>
        <w:t xml:space="preserve">The Commission considers that </w:t>
      </w:r>
      <w:r w:rsidR="00D72CF4">
        <w:t>the case for inclusion of the deeming provisions in clause</w:t>
      </w:r>
      <w:r w:rsidR="00B468C3">
        <w:t>s</w:t>
      </w:r>
      <w:r w:rsidR="00D72CF4">
        <w:t xml:space="preserve"> 8(5</w:t>
      </w:r>
      <w:r w:rsidR="00B468C3">
        <w:t>)</w:t>
      </w:r>
      <w:proofErr w:type="gramStart"/>
      <w:r w:rsidR="00B468C3">
        <w:t>–(</w:t>
      </w:r>
      <w:proofErr w:type="gramEnd"/>
      <w:r w:rsidR="00D72CF4">
        <w:t xml:space="preserve">6) has not been established.  If these clauses were removed, </w:t>
      </w:r>
      <w:r w:rsidR="007D0B4D">
        <w:t xml:space="preserve">assessments of indirect discrimination in relation to </w:t>
      </w:r>
      <w:r w:rsidR="007D0B4D">
        <w:lastRenderedPageBreak/>
        <w:t xml:space="preserve">rules dealing with conscientious objection would be carried out in </w:t>
      </w:r>
      <w:proofErr w:type="gramStart"/>
      <w:r w:rsidR="007D0B4D">
        <w:t>exactly the same</w:t>
      </w:r>
      <w:proofErr w:type="gramEnd"/>
      <w:r w:rsidR="007D0B4D">
        <w:t xml:space="preserve"> way as any other assessment of indirect discrimination.  That is, there would be an assessment of whether the </w:t>
      </w:r>
      <w:r w:rsidR="0034326F">
        <w:t xml:space="preserve">rule was likely to disadvantage people </w:t>
      </w:r>
      <w:r w:rsidR="00D90C4E">
        <w:t xml:space="preserve">on the ground of religious belief or activity and an assessment, </w:t>
      </w:r>
      <w:proofErr w:type="gramStart"/>
      <w:r w:rsidR="00D90C4E">
        <w:t>taking into account</w:t>
      </w:r>
      <w:proofErr w:type="gramEnd"/>
      <w:r w:rsidR="00D90C4E">
        <w:t xml:space="preserve"> all of the </w:t>
      </w:r>
      <w:r w:rsidR="002D5BBD">
        <w:t xml:space="preserve">relevant </w:t>
      </w:r>
      <w:r w:rsidR="00D90C4E">
        <w:t xml:space="preserve">circumstances, of whether </w:t>
      </w:r>
      <w:r w:rsidR="00A23F1C">
        <w:t>or not the restriction was reasonable.</w:t>
      </w:r>
    </w:p>
    <w:bookmarkEnd w:id="11"/>
    <w:p w14:paraId="09FC8FFC" w14:textId="6EAEF1B6" w:rsidR="004111ED" w:rsidRPr="004111ED" w:rsidRDefault="004111ED" w:rsidP="004111ED">
      <w:pPr>
        <w:pStyle w:val="ListNumber"/>
        <w:keepNext/>
        <w:numPr>
          <w:ilvl w:val="0"/>
          <w:numId w:val="0"/>
        </w:numPr>
        <w:ind w:left="1094"/>
        <w:rPr>
          <w:b/>
          <w:bCs/>
        </w:rPr>
      </w:pPr>
      <w:r w:rsidRPr="004111ED">
        <w:rPr>
          <w:b/>
          <w:bCs/>
        </w:rPr>
        <w:t xml:space="preserve">Recommendation </w:t>
      </w:r>
      <w:r w:rsidR="00AA04DF">
        <w:rPr>
          <w:b/>
          <w:bCs/>
        </w:rPr>
        <w:t>6</w:t>
      </w:r>
    </w:p>
    <w:p w14:paraId="392C6288" w14:textId="487BD74A" w:rsidR="004111ED" w:rsidRDefault="004111ED" w:rsidP="004111ED">
      <w:pPr>
        <w:pStyle w:val="ListNumber"/>
        <w:numPr>
          <w:ilvl w:val="0"/>
          <w:numId w:val="0"/>
        </w:numPr>
        <w:ind w:left="1094"/>
      </w:pPr>
      <w:r>
        <w:t>The Commission recommends that clause</w:t>
      </w:r>
      <w:r w:rsidR="00B468C3">
        <w:t>s</w:t>
      </w:r>
      <w:r>
        <w:t xml:space="preserve"> 8(</w:t>
      </w:r>
      <w:r w:rsidR="00020122">
        <w:t>5</w:t>
      </w:r>
      <w:r w:rsidR="00B468C3">
        <w:t>)</w:t>
      </w:r>
      <w:proofErr w:type="gramStart"/>
      <w:r w:rsidR="00B468C3">
        <w:t>–(</w:t>
      </w:r>
      <w:proofErr w:type="gramEnd"/>
      <w:r w:rsidR="00020122">
        <w:t>6</w:t>
      </w:r>
      <w:r>
        <w:t xml:space="preserve">), dealing with </w:t>
      </w:r>
      <w:r w:rsidR="00404A28">
        <w:t xml:space="preserve">the </w:t>
      </w:r>
      <w:r w:rsidR="00A1071D">
        <w:t xml:space="preserve">separate </w:t>
      </w:r>
      <w:r w:rsidR="00404A28">
        <w:t xml:space="preserve">treatment of rules about </w:t>
      </w:r>
      <w:r w:rsidR="00020122">
        <w:t>conscientious objections by health practitioners</w:t>
      </w:r>
      <w:r>
        <w:t xml:space="preserve">, </w:t>
      </w:r>
      <w:r w:rsidR="00F75E07">
        <w:t>be</w:t>
      </w:r>
      <w:r>
        <w:t xml:space="preserve"> removed from the Bill.</w:t>
      </w:r>
    </w:p>
    <w:p w14:paraId="60E4BA14" w14:textId="496B658C" w:rsidR="004111ED" w:rsidRDefault="0063485A" w:rsidP="0063485A">
      <w:pPr>
        <w:pStyle w:val="Heading1"/>
      </w:pPr>
      <w:bookmarkStart w:id="32" w:name="_Toc20471759"/>
      <w:r>
        <w:t>Inherent requirements</w:t>
      </w:r>
      <w:bookmarkEnd w:id="32"/>
    </w:p>
    <w:p w14:paraId="38237AFC" w14:textId="4DD51306" w:rsidR="0063485A" w:rsidRDefault="00C7573E" w:rsidP="0063485A">
      <w:pPr>
        <w:pStyle w:val="ListNumber"/>
      </w:pPr>
      <w:r>
        <w:t xml:space="preserve">As noted in section </w:t>
      </w:r>
      <w:r w:rsidR="00995206">
        <w:fldChar w:fldCharType="begin"/>
      </w:r>
      <w:r w:rsidR="00995206">
        <w:instrText xml:space="preserve"> REF _Ref19630971 \r \h </w:instrText>
      </w:r>
      <w:r w:rsidR="00995206">
        <w:fldChar w:fldCharType="separate"/>
      </w:r>
      <w:r w:rsidR="00C96B7D">
        <w:t>4.1</w:t>
      </w:r>
      <w:r w:rsidR="00995206">
        <w:fldChar w:fldCharType="end"/>
      </w:r>
      <w:r>
        <w:t xml:space="preserve"> above, a</w:t>
      </w:r>
      <w:r w:rsidR="00AC6355">
        <w:t xml:space="preserve"> person who considers that they have been discriminated against in employment on the basis of religion can currently make a complaint to the Commission </w:t>
      </w:r>
      <w:r w:rsidR="00932E87">
        <w:t xml:space="preserve">under s 32(1)(b) of the </w:t>
      </w:r>
      <w:r w:rsidR="003B6DD2" w:rsidRPr="00FC4C22">
        <w:t>AHRC Act</w:t>
      </w:r>
      <w:r w:rsidR="00932E87">
        <w:t xml:space="preserve">.  The Commission is required to </w:t>
      </w:r>
      <w:r w:rsidR="00EC6368">
        <w:t>conduct an inquiry</w:t>
      </w:r>
      <w:r w:rsidR="00DA46DF">
        <w:t xml:space="preserve"> and</w:t>
      </w:r>
      <w:r w:rsidR="0004672A">
        <w:t>, if appropriate, attempt to resolve the matter by conciliation.</w:t>
      </w:r>
      <w:r w:rsidR="00DA46DF">
        <w:rPr>
          <w:rStyle w:val="EndnoteReference"/>
        </w:rPr>
        <w:endnoteReference w:id="46"/>
      </w:r>
      <w:r w:rsidR="0004672A">
        <w:t xml:space="preserve">  If the matter cannot be conciliated, the Commission may make findings about </w:t>
      </w:r>
      <w:proofErr w:type="gramStart"/>
      <w:r w:rsidR="00B32F5B">
        <w:t>whether or not</w:t>
      </w:r>
      <w:proofErr w:type="gramEnd"/>
      <w:r w:rsidR="00B32F5B">
        <w:t xml:space="preserve"> there was </w:t>
      </w:r>
      <w:r w:rsidR="00CE4A0B">
        <w:t xml:space="preserve">discrimination.  If the Commission finds that there was discrimination, it </w:t>
      </w:r>
      <w:r w:rsidR="00B32F5B">
        <w:t>may report its findings to the Attorney-General.</w:t>
      </w:r>
      <w:r w:rsidR="00CE4A0B">
        <w:rPr>
          <w:rStyle w:val="EndnoteReference"/>
        </w:rPr>
        <w:endnoteReference w:id="47"/>
      </w:r>
      <w:r w:rsidR="00B32F5B">
        <w:t xml:space="preserve"> </w:t>
      </w:r>
    </w:p>
    <w:p w14:paraId="4048E4C7" w14:textId="24F65FE8" w:rsidR="00B51350" w:rsidRDefault="00B51350" w:rsidP="0063485A">
      <w:pPr>
        <w:pStyle w:val="ListNumber"/>
      </w:pPr>
      <w:r>
        <w:t xml:space="preserve">At present, the </w:t>
      </w:r>
      <w:r w:rsidR="00B962ED">
        <w:t xml:space="preserve">findings and recommendations of the Commission are not binding.  The Bill would provide for enforceable remedies for </w:t>
      </w:r>
      <w:r w:rsidR="00E77D95">
        <w:t xml:space="preserve">discrimination </w:t>
      </w:r>
      <w:proofErr w:type="gramStart"/>
      <w:r w:rsidR="00E77D95">
        <w:t>on the basis of</w:t>
      </w:r>
      <w:proofErr w:type="gramEnd"/>
      <w:r w:rsidR="00E77D95">
        <w:t xml:space="preserve"> religion or belief, including in </w:t>
      </w:r>
      <w:r w:rsidR="0048151A">
        <w:t xml:space="preserve">the context of </w:t>
      </w:r>
      <w:r w:rsidR="00E77D95">
        <w:t>employment.</w:t>
      </w:r>
    </w:p>
    <w:p w14:paraId="4443974B" w14:textId="57DF8678" w:rsidR="00151C2C" w:rsidRDefault="004A76D9" w:rsidP="0063485A">
      <w:pPr>
        <w:pStyle w:val="ListNumber"/>
      </w:pPr>
      <w:r>
        <w:t xml:space="preserve">The AHRC Act provides that ‘discrimination’ in employment does not include any </w:t>
      </w:r>
      <w:r w:rsidR="00AC24C8">
        <w:t xml:space="preserve">distinction, exclusion or preference </w:t>
      </w:r>
      <w:r w:rsidR="000C493D">
        <w:t xml:space="preserve">in respect of a </w:t>
      </w:r>
      <w:proofErr w:type="gramStart"/>
      <w:r w:rsidR="000C493D">
        <w:t>particular job</w:t>
      </w:r>
      <w:proofErr w:type="gramEnd"/>
      <w:r w:rsidR="000C493D">
        <w:t xml:space="preserve"> that was based on the inherent requirements of the job.</w:t>
      </w:r>
      <w:r w:rsidR="000C493D">
        <w:rPr>
          <w:rStyle w:val="EndnoteReference"/>
        </w:rPr>
        <w:endnoteReference w:id="48"/>
      </w:r>
    </w:p>
    <w:p w14:paraId="106A34FB" w14:textId="5816A9F5" w:rsidR="000C493D" w:rsidRDefault="000C493D" w:rsidP="0063485A">
      <w:pPr>
        <w:pStyle w:val="ListNumber"/>
      </w:pPr>
      <w:r>
        <w:t xml:space="preserve">The Bill replicates these provisions by prohibiting discrimination on the grounds of </w:t>
      </w:r>
      <w:r w:rsidR="008A6698">
        <w:t xml:space="preserve">religious belief or activity in relation to employment (clause 13), partnerships (clause 14), </w:t>
      </w:r>
      <w:r w:rsidR="00807837">
        <w:t>qualifying bodies (clause 15) and employment agencies (clause 16).  In clause</w:t>
      </w:r>
      <w:r w:rsidR="00B468C3">
        <w:t>s</w:t>
      </w:r>
      <w:r w:rsidR="00807837">
        <w:t xml:space="preserve"> 31</w:t>
      </w:r>
      <w:r w:rsidR="00312A10">
        <w:t>(2</w:t>
      </w:r>
      <w:r w:rsidR="00B468C3">
        <w:t>)</w:t>
      </w:r>
      <w:proofErr w:type="gramStart"/>
      <w:r w:rsidR="00B468C3">
        <w:t>–(</w:t>
      </w:r>
      <w:proofErr w:type="gramEnd"/>
      <w:r w:rsidR="00312A10">
        <w:t xml:space="preserve">5), exceptions are set out </w:t>
      </w:r>
      <w:r w:rsidR="0048102A">
        <w:t xml:space="preserve">that permit discrimination if </w:t>
      </w:r>
      <w:r w:rsidR="00512A9F">
        <w:t xml:space="preserve">the person is unable to carry out the inherent requirements of the job because of the person’s religious belief or activity. </w:t>
      </w:r>
    </w:p>
    <w:p w14:paraId="4E9E7260" w14:textId="1DB8F43D" w:rsidR="00512A9F" w:rsidRDefault="00512A9F" w:rsidP="0063485A">
      <w:pPr>
        <w:pStyle w:val="ListNumber"/>
      </w:pPr>
      <w:r>
        <w:t xml:space="preserve">The Explanatory Notes </w:t>
      </w:r>
      <w:r w:rsidR="00464BB8">
        <w:t xml:space="preserve">give the following example: ‘it would not be unlawful for a store only open on Saturdays to not hire a Jewish person </w:t>
      </w:r>
      <w:r w:rsidR="00464BB8">
        <w:lastRenderedPageBreak/>
        <w:t>because they observed the Sabbath and therefore could not work on Saturdays’.</w:t>
      </w:r>
    </w:p>
    <w:p w14:paraId="5B7E93D6" w14:textId="2C3AE0CB" w:rsidR="00464BB8" w:rsidRDefault="004F09A8" w:rsidP="0063485A">
      <w:pPr>
        <w:pStyle w:val="ListNumber"/>
      </w:pPr>
      <w:bookmarkStart w:id="33" w:name="_Ref19526366"/>
      <w:r>
        <w:t xml:space="preserve">There are a number of limits on the use of </w:t>
      </w:r>
      <w:r w:rsidR="00F46958">
        <w:t xml:space="preserve">the ‘inherent requirements’ test to refuse </w:t>
      </w:r>
      <w:r w:rsidR="008712D1">
        <w:t>employment to a person.  For example</w:t>
      </w:r>
      <w:r w:rsidR="00A50BDB">
        <w:t>,</w:t>
      </w:r>
      <w:r w:rsidR="00A2683B">
        <w:t xml:space="preserve"> case</w:t>
      </w:r>
      <w:r w:rsidR="00840F80">
        <w:t xml:space="preserve"> law provides that</w:t>
      </w:r>
      <w:r w:rsidR="008712D1">
        <w:t>:</w:t>
      </w:r>
      <w:bookmarkEnd w:id="33"/>
      <w:r w:rsidR="008712D1">
        <w:t xml:space="preserve"> </w:t>
      </w:r>
    </w:p>
    <w:p w14:paraId="40B281B6" w14:textId="04BE785F" w:rsidR="008712D1" w:rsidRDefault="008712D1" w:rsidP="008712D1">
      <w:pPr>
        <w:pStyle w:val="ListNumber"/>
        <w:numPr>
          <w:ilvl w:val="0"/>
          <w:numId w:val="45"/>
        </w:numPr>
      </w:pPr>
      <w:r>
        <w:t>a</w:t>
      </w:r>
      <w:r w:rsidRPr="008712D1">
        <w:t xml:space="preserve">n inherent requirement is something that is </w:t>
      </w:r>
      <w:r>
        <w:t>‘</w:t>
      </w:r>
      <w:r w:rsidRPr="008712D1">
        <w:t>essential</w:t>
      </w:r>
      <w:r>
        <w:t>’</w:t>
      </w:r>
      <w:r w:rsidRPr="008712D1">
        <w:t xml:space="preserve"> to the position rather than incidental, peripheral or accidental</w:t>
      </w:r>
      <w:r>
        <w:rPr>
          <w:rStyle w:val="EndnoteReference"/>
        </w:rPr>
        <w:endnoteReference w:id="49"/>
      </w:r>
    </w:p>
    <w:p w14:paraId="1A1C9387" w14:textId="73AD0057" w:rsidR="004A738C" w:rsidRDefault="00891586" w:rsidP="008712D1">
      <w:pPr>
        <w:pStyle w:val="ListNumber"/>
        <w:numPr>
          <w:ilvl w:val="0"/>
          <w:numId w:val="45"/>
        </w:numPr>
      </w:pPr>
      <w:r>
        <w:t>t</w:t>
      </w:r>
      <w:r w:rsidRPr="00891586">
        <w:t xml:space="preserve">he burden is on the employer to identify the inherent requirements of the </w:t>
      </w:r>
      <w:proofErr w:type="gramStart"/>
      <w:r w:rsidRPr="00891586">
        <w:t>particular position</w:t>
      </w:r>
      <w:proofErr w:type="gramEnd"/>
      <w:r w:rsidRPr="00891586">
        <w:t xml:space="preserve"> and consider their application to the specific employee before the inherent requirements exception may be invoked</w:t>
      </w:r>
      <w:r>
        <w:rPr>
          <w:rStyle w:val="EndnoteReference"/>
        </w:rPr>
        <w:endnoteReference w:id="50"/>
      </w:r>
    </w:p>
    <w:p w14:paraId="65BF36FA" w14:textId="17543A7F" w:rsidR="00891586" w:rsidRDefault="001F5C85" w:rsidP="008712D1">
      <w:pPr>
        <w:pStyle w:val="ListNumber"/>
        <w:numPr>
          <w:ilvl w:val="0"/>
          <w:numId w:val="45"/>
        </w:numPr>
      </w:pPr>
      <w:r>
        <w:t>t</w:t>
      </w:r>
      <w:r w:rsidRPr="001F5C85">
        <w:t xml:space="preserve">he inherent requirements should be determined by reference to the specific job that the employee is being asked to do and the surrounding context of the position, including the nature of the business and the </w:t>
      </w:r>
      <w:proofErr w:type="gramStart"/>
      <w:r w:rsidRPr="001F5C85">
        <w:t>manner in which</w:t>
      </w:r>
      <w:proofErr w:type="gramEnd"/>
      <w:r w:rsidRPr="001F5C85">
        <w:t xml:space="preserve"> the business is conducted</w:t>
      </w:r>
      <w:r w:rsidR="00342504">
        <w:rPr>
          <w:rStyle w:val="EndnoteReference"/>
        </w:rPr>
        <w:endnoteReference w:id="51"/>
      </w:r>
    </w:p>
    <w:p w14:paraId="67A674B5" w14:textId="7D4519D1" w:rsidR="001F5C85" w:rsidRDefault="00342504" w:rsidP="008712D1">
      <w:pPr>
        <w:pStyle w:val="ListNumber"/>
        <w:numPr>
          <w:ilvl w:val="0"/>
          <w:numId w:val="45"/>
        </w:numPr>
      </w:pPr>
      <w:r>
        <w:t>t</w:t>
      </w:r>
      <w:r w:rsidR="00690047" w:rsidRPr="00690047">
        <w:t>he inherent requirements exception will be interpreted strictly so as not to defeat the purpose of the anti-discrimination provisions.</w:t>
      </w:r>
      <w:r>
        <w:rPr>
          <w:rStyle w:val="EndnoteReference"/>
        </w:rPr>
        <w:endnoteReference w:id="52"/>
      </w:r>
    </w:p>
    <w:p w14:paraId="384986D3" w14:textId="4AD5E72A" w:rsidR="00744DE2" w:rsidRDefault="00075F48" w:rsidP="00075F48">
      <w:pPr>
        <w:pStyle w:val="ListNumber"/>
      </w:pPr>
      <w:r w:rsidRPr="00075F48">
        <w:t xml:space="preserve">The Bill proposes to include two additional limits on </w:t>
      </w:r>
      <w:r w:rsidR="00C36ADA">
        <w:t xml:space="preserve">the inherent requirements test. </w:t>
      </w:r>
    </w:p>
    <w:p w14:paraId="751C24BD" w14:textId="77247484" w:rsidR="00F927F3" w:rsidRDefault="00744DE2" w:rsidP="00F927F3">
      <w:pPr>
        <w:pStyle w:val="ListNumber"/>
      </w:pPr>
      <w:r>
        <w:t xml:space="preserve">First, </w:t>
      </w:r>
      <w:r w:rsidR="00F927F3">
        <w:t xml:space="preserve">clause 31(6) provides that certain ‘employer conduct rules’ cannot be inherent requirements of a job.  An ‘employer conduct rule’ is a condition, requirement or practice that: </w:t>
      </w:r>
    </w:p>
    <w:p w14:paraId="53BA6896" w14:textId="2BB23670" w:rsidR="00F927F3" w:rsidRDefault="00F927F3" w:rsidP="004B3308">
      <w:pPr>
        <w:pStyle w:val="ListNumber"/>
        <w:numPr>
          <w:ilvl w:val="0"/>
          <w:numId w:val="45"/>
        </w:numPr>
      </w:pPr>
      <w:r>
        <w:t>is imposed by an employer on employees</w:t>
      </w:r>
      <w:r w:rsidR="00037DC7">
        <w:t>;</w:t>
      </w:r>
      <w:r>
        <w:t xml:space="preserve"> and </w:t>
      </w:r>
    </w:p>
    <w:p w14:paraId="314B1B22" w14:textId="248D1910" w:rsidR="00F927F3" w:rsidRDefault="00F927F3" w:rsidP="004B3308">
      <w:pPr>
        <w:pStyle w:val="ListNumber"/>
        <w:numPr>
          <w:ilvl w:val="0"/>
          <w:numId w:val="45"/>
        </w:numPr>
      </w:pPr>
      <w:r>
        <w:t xml:space="preserve">relates to standards of dress, appearance or behaviour. </w:t>
      </w:r>
    </w:p>
    <w:p w14:paraId="295CBC9F" w14:textId="32B2BC9E" w:rsidR="00F927F3" w:rsidRDefault="00F927F3" w:rsidP="00F927F3">
      <w:pPr>
        <w:pStyle w:val="ListNumber"/>
      </w:pPr>
      <w:r>
        <w:t>Such a rule would not be an inherent requirement of the job</w:t>
      </w:r>
      <w:r w:rsidR="004B3308">
        <w:t xml:space="preserve"> </w:t>
      </w:r>
      <w:r>
        <w:t xml:space="preserve">if: </w:t>
      </w:r>
    </w:p>
    <w:p w14:paraId="65BCEE5C" w14:textId="04E06464" w:rsidR="00F927F3" w:rsidRDefault="00F927F3" w:rsidP="004B3308">
      <w:pPr>
        <w:pStyle w:val="ListNumber"/>
        <w:numPr>
          <w:ilvl w:val="0"/>
          <w:numId w:val="45"/>
        </w:numPr>
      </w:pPr>
      <w:r>
        <w:t xml:space="preserve">it would have the effect of restricting or preventing an employee from making a </w:t>
      </w:r>
      <w:r w:rsidR="00037DC7">
        <w:t>‘</w:t>
      </w:r>
      <w:r>
        <w:t>statement of belief</w:t>
      </w:r>
      <w:r w:rsidR="00037DC7">
        <w:t>’</w:t>
      </w:r>
      <w:r>
        <w:t xml:space="preserve"> outside of work hours; and </w:t>
      </w:r>
    </w:p>
    <w:p w14:paraId="1C112E05" w14:textId="5ABAF152" w:rsidR="00F927F3" w:rsidRDefault="00F927F3" w:rsidP="004B3308">
      <w:pPr>
        <w:pStyle w:val="ListNumber"/>
        <w:numPr>
          <w:ilvl w:val="0"/>
          <w:numId w:val="45"/>
        </w:numPr>
      </w:pPr>
      <w:r>
        <w:t xml:space="preserve">it is not reasonable for the purpose of clause 8. </w:t>
      </w:r>
    </w:p>
    <w:p w14:paraId="5A1F2D30" w14:textId="3A56C0F2" w:rsidR="00F927F3" w:rsidRDefault="00F927F3" w:rsidP="00F927F3">
      <w:pPr>
        <w:pStyle w:val="ListNumber"/>
      </w:pPr>
      <w:r>
        <w:t xml:space="preserve">This picks up the restricted meaning of </w:t>
      </w:r>
      <w:r w:rsidR="00A1092E">
        <w:t>‘</w:t>
      </w:r>
      <w:r>
        <w:t>reasonableness</w:t>
      </w:r>
      <w:r w:rsidR="00A1092E">
        <w:t>’</w:t>
      </w:r>
      <w:r>
        <w:t xml:space="preserve"> in relation to businesses with a</w:t>
      </w:r>
      <w:r w:rsidR="00810E22">
        <w:t>n annual</w:t>
      </w:r>
      <w:r>
        <w:t xml:space="preserve"> </w:t>
      </w:r>
      <w:r w:rsidR="00076E00">
        <w:t>revenue</w:t>
      </w:r>
      <w:r>
        <w:t xml:space="preserve"> of $50</w:t>
      </w:r>
      <w:r w:rsidR="00A86925">
        <w:t xml:space="preserve"> </w:t>
      </w:r>
      <w:r>
        <w:t>m</w:t>
      </w:r>
      <w:r w:rsidR="00A86925">
        <w:t>illion</w:t>
      </w:r>
      <w:r>
        <w:t xml:space="preserve"> or more.  In the case of those businesses, a rule that restricts </w:t>
      </w:r>
      <w:r w:rsidR="00A1092E">
        <w:t>‘</w:t>
      </w:r>
      <w:r>
        <w:t>statements of belief</w:t>
      </w:r>
      <w:r w:rsidR="00A1092E">
        <w:t>’</w:t>
      </w:r>
      <w:r>
        <w:t xml:space="preserve"> outside of work will not </w:t>
      </w:r>
      <w:proofErr w:type="gramStart"/>
      <w:r>
        <w:t>be considered to be</w:t>
      </w:r>
      <w:proofErr w:type="gramEnd"/>
      <w:r>
        <w:t xml:space="preserve"> an </w:t>
      </w:r>
      <w:r w:rsidR="00A1092E">
        <w:t>‘</w:t>
      </w:r>
      <w:r>
        <w:t>inherent requirement</w:t>
      </w:r>
      <w:r w:rsidR="00A1092E">
        <w:t>’</w:t>
      </w:r>
      <w:r>
        <w:t xml:space="preserve"> of the job, </w:t>
      </w:r>
      <w:r>
        <w:lastRenderedPageBreak/>
        <w:t xml:space="preserve">unless the rule </w:t>
      </w:r>
      <w:r w:rsidR="00A076BF">
        <w:t>wa</w:t>
      </w:r>
      <w:r>
        <w:t xml:space="preserve">s necessary to avoid </w:t>
      </w:r>
      <w:r w:rsidR="00A1092E">
        <w:t>‘</w:t>
      </w:r>
      <w:r>
        <w:t>unjustifiable financial hardship</w:t>
      </w:r>
      <w:r w:rsidR="00A1092E">
        <w:t>’</w:t>
      </w:r>
      <w:r>
        <w:t xml:space="preserve"> to the employer.  </w:t>
      </w:r>
    </w:p>
    <w:p w14:paraId="79156D31" w14:textId="6421782B" w:rsidR="00F927F3" w:rsidRDefault="00F927F3" w:rsidP="00F927F3">
      <w:pPr>
        <w:pStyle w:val="ListNumber"/>
      </w:pPr>
      <w:r>
        <w:t xml:space="preserve">Secondly, clause 31(7) provides that certain </w:t>
      </w:r>
      <w:r w:rsidR="00A1092E">
        <w:t>‘</w:t>
      </w:r>
      <w:r>
        <w:t>health practitioner conduct rules</w:t>
      </w:r>
      <w:r w:rsidR="00A1092E">
        <w:t>’</w:t>
      </w:r>
      <w:r>
        <w:t xml:space="preserve"> cannot be inherent requirements of a job. </w:t>
      </w:r>
    </w:p>
    <w:p w14:paraId="460ADA13" w14:textId="2D4D9A05" w:rsidR="00F927F3" w:rsidRDefault="00F927F3" w:rsidP="00F927F3">
      <w:pPr>
        <w:pStyle w:val="ListNumber"/>
      </w:pPr>
      <w:r>
        <w:t xml:space="preserve">A </w:t>
      </w:r>
      <w:r w:rsidR="00A1092E">
        <w:t>‘</w:t>
      </w:r>
      <w:r>
        <w:t>health practitioner conduct rule</w:t>
      </w:r>
      <w:r w:rsidR="00A1092E">
        <w:t>’</w:t>
      </w:r>
      <w:r>
        <w:t xml:space="preserve"> involves a condition, requirement or practice that would have the effect of restricting or preventing a health practitioner from conscientiously objecting to providing a health service because of their religious belief or activity. </w:t>
      </w:r>
    </w:p>
    <w:p w14:paraId="6CF0D0FC" w14:textId="1584E58F" w:rsidR="00F927F3" w:rsidRDefault="00F927F3" w:rsidP="00E81FA1">
      <w:pPr>
        <w:pStyle w:val="ListNumber"/>
      </w:pPr>
      <w:r>
        <w:t>Such a rule would not be an inherent requirement of the job</w:t>
      </w:r>
      <w:r w:rsidR="00890377">
        <w:t xml:space="preserve"> </w:t>
      </w:r>
      <w:r>
        <w:t xml:space="preserve">if it </w:t>
      </w:r>
      <w:r w:rsidR="00A076BF">
        <w:t>was</w:t>
      </w:r>
      <w:r>
        <w:t xml:space="preserve"> not reasonable for the purpose of clause 8. </w:t>
      </w:r>
      <w:r w:rsidR="00890377">
        <w:t xml:space="preserve"> </w:t>
      </w:r>
      <w:r>
        <w:t xml:space="preserve">This picks up the restricted meaning of </w:t>
      </w:r>
      <w:r w:rsidR="00591C88">
        <w:t>‘</w:t>
      </w:r>
      <w:r>
        <w:t>reasonableness</w:t>
      </w:r>
      <w:r w:rsidR="00591C88">
        <w:t>’</w:t>
      </w:r>
      <w:r>
        <w:t xml:space="preserve"> in clause 8.  It means that rules which do not have statutory backing at a State or Territory level and which require doctors, nurses and other health practitioners to undertake procedures, or provide information, prescriptions, or referrals, related to services such as abortion, euthanasia, contraception or sterilisation may be deemed not to be inherent requirements of the job.  In those cases, they could not be the basis for discrimination in employment. </w:t>
      </w:r>
    </w:p>
    <w:p w14:paraId="548873DC" w14:textId="7D4758C3" w:rsidR="00A7615D" w:rsidRDefault="00205155" w:rsidP="00075F48">
      <w:pPr>
        <w:pStyle w:val="ListNumber"/>
      </w:pPr>
      <w:r>
        <w:t>Earlier in this submission, t</w:t>
      </w:r>
      <w:r w:rsidR="00FA35E2">
        <w:t>he Commission</w:t>
      </w:r>
      <w:r w:rsidR="00141448">
        <w:t xml:space="preserve"> recommended that the restrictions on the application of the reasonableness test</w:t>
      </w:r>
      <w:r w:rsidR="00745023">
        <w:t>,</w:t>
      </w:r>
      <w:r w:rsidR="00141448">
        <w:t xml:space="preserve"> when considering indirect discrimination</w:t>
      </w:r>
      <w:r w:rsidR="00745023">
        <w:t>,</w:t>
      </w:r>
      <w:r w:rsidR="00141448">
        <w:t xml:space="preserve"> be removed from the Bill.</w:t>
      </w:r>
      <w:r w:rsidR="000C5F6D">
        <w:t xml:space="preserve">  As a result, the Commission </w:t>
      </w:r>
      <w:r w:rsidR="001E7F01">
        <w:t xml:space="preserve">also </w:t>
      </w:r>
      <w:r w:rsidR="000C5F6D">
        <w:t>recommends that clause</w:t>
      </w:r>
      <w:r w:rsidR="00745023">
        <w:t>s</w:t>
      </w:r>
      <w:r w:rsidR="000C5F6D">
        <w:t xml:space="preserve"> </w:t>
      </w:r>
      <w:r w:rsidR="006824C8">
        <w:t>31(6)</w:t>
      </w:r>
      <w:proofErr w:type="gramStart"/>
      <w:r w:rsidR="00745023">
        <w:t>–</w:t>
      </w:r>
      <w:r w:rsidR="006824C8">
        <w:t>(</w:t>
      </w:r>
      <w:proofErr w:type="gramEnd"/>
      <w:r w:rsidR="006824C8">
        <w:t xml:space="preserve">7) be removed from the Bill. </w:t>
      </w:r>
      <w:r w:rsidR="00A1024F">
        <w:t xml:space="preserve"> </w:t>
      </w:r>
      <w:r w:rsidR="00B16E68">
        <w:t>In the Commission’s view, the ordinary limitations on the inherent requirements test, as set out in [</w:t>
      </w:r>
      <w:r w:rsidR="00385452">
        <w:fldChar w:fldCharType="begin"/>
      </w:r>
      <w:r w:rsidR="00385452">
        <w:instrText xml:space="preserve"> REF _Ref19526366 \r \h </w:instrText>
      </w:r>
      <w:r w:rsidR="00385452">
        <w:fldChar w:fldCharType="separate"/>
      </w:r>
      <w:r w:rsidR="00032235">
        <w:t>144</w:t>
      </w:r>
      <w:r w:rsidR="00385452">
        <w:fldChar w:fldCharType="end"/>
      </w:r>
      <w:r w:rsidR="00B16E68">
        <w:t xml:space="preserve">] above, are </w:t>
      </w:r>
      <w:proofErr w:type="gramStart"/>
      <w:r w:rsidR="00B16E68">
        <w:t>sufficient</w:t>
      </w:r>
      <w:proofErr w:type="gramEnd"/>
      <w:r w:rsidR="00B16E68">
        <w:t>.</w:t>
      </w:r>
    </w:p>
    <w:p w14:paraId="447EDC73" w14:textId="70289CB3" w:rsidR="006824C8" w:rsidRPr="006824C8" w:rsidRDefault="006824C8" w:rsidP="006824C8">
      <w:pPr>
        <w:pStyle w:val="ListNumber"/>
        <w:keepNext/>
        <w:numPr>
          <w:ilvl w:val="0"/>
          <w:numId w:val="0"/>
        </w:numPr>
        <w:ind w:left="1094"/>
        <w:rPr>
          <w:b/>
          <w:bCs/>
        </w:rPr>
      </w:pPr>
      <w:r w:rsidRPr="006824C8">
        <w:rPr>
          <w:b/>
          <w:bCs/>
        </w:rPr>
        <w:t xml:space="preserve">Recommendation </w:t>
      </w:r>
      <w:r w:rsidR="00AA04DF">
        <w:rPr>
          <w:b/>
          <w:bCs/>
        </w:rPr>
        <w:t>7</w:t>
      </w:r>
    </w:p>
    <w:p w14:paraId="51DBFB66" w14:textId="3BDACBFD" w:rsidR="006824C8" w:rsidRDefault="006824C8" w:rsidP="006824C8">
      <w:pPr>
        <w:pStyle w:val="ListNumber"/>
        <w:numPr>
          <w:ilvl w:val="0"/>
          <w:numId w:val="0"/>
        </w:numPr>
        <w:ind w:left="1094"/>
      </w:pPr>
      <w:r>
        <w:t>The Commission recommends that clause</w:t>
      </w:r>
      <w:r w:rsidR="00745023">
        <w:t>s</w:t>
      </w:r>
      <w:r>
        <w:t xml:space="preserve"> 31(6</w:t>
      </w:r>
      <w:r w:rsidR="00745023">
        <w:t>)</w:t>
      </w:r>
      <w:proofErr w:type="gramStart"/>
      <w:r w:rsidR="00745023">
        <w:t>–(</w:t>
      </w:r>
      <w:proofErr w:type="gramEnd"/>
      <w:r>
        <w:t xml:space="preserve">7), dealing with </w:t>
      </w:r>
      <w:r w:rsidR="00385452">
        <w:t xml:space="preserve">additional </w:t>
      </w:r>
      <w:r w:rsidR="006E25B9">
        <w:t xml:space="preserve">restrictions on what amounts to an inherent requirement of a job, </w:t>
      </w:r>
      <w:r w:rsidR="007138D2">
        <w:t>be</w:t>
      </w:r>
      <w:r>
        <w:t xml:space="preserve"> removed from the Bill.</w:t>
      </w:r>
    </w:p>
    <w:p w14:paraId="11D1AE91" w14:textId="59BFB322" w:rsidR="00A7615D" w:rsidRDefault="0087598D" w:rsidP="0087598D">
      <w:pPr>
        <w:pStyle w:val="Heading1"/>
      </w:pPr>
      <w:bookmarkStart w:id="34" w:name="_Toc20471760"/>
      <w:r>
        <w:t>Temporary exemptions</w:t>
      </w:r>
      <w:bookmarkEnd w:id="34"/>
    </w:p>
    <w:p w14:paraId="37FE8F3E" w14:textId="30576797" w:rsidR="00CA7FB7" w:rsidRDefault="00CA7FB7" w:rsidP="00CA7FB7">
      <w:pPr>
        <w:pStyle w:val="Heading2"/>
      </w:pPr>
      <w:bookmarkStart w:id="35" w:name="_Toc20471761"/>
      <w:r>
        <w:t>Variation or revocation by the Attorney-General</w:t>
      </w:r>
      <w:bookmarkEnd w:id="35"/>
    </w:p>
    <w:p w14:paraId="295FF9BF" w14:textId="53D07DCE" w:rsidR="0087598D" w:rsidRDefault="00DA5F0C" w:rsidP="0087598D">
      <w:pPr>
        <w:pStyle w:val="ListNumber"/>
      </w:pPr>
      <w:r>
        <w:t>The Bill makes provision for the Commission to grant temporary exemptions</w:t>
      </w:r>
      <w:r w:rsidR="00FF4EDA">
        <w:t xml:space="preserve"> </w:t>
      </w:r>
      <w:r w:rsidR="00DB1E0E">
        <w:t xml:space="preserve">from the operation of the </w:t>
      </w:r>
      <w:r w:rsidR="001D5C01">
        <w:t xml:space="preserve">prohibitions against discrimination </w:t>
      </w:r>
      <w:proofErr w:type="gramStart"/>
      <w:r w:rsidR="001D5C01">
        <w:t>on the basis of</w:t>
      </w:r>
      <w:proofErr w:type="gramEnd"/>
      <w:r w:rsidR="001D5C01">
        <w:t xml:space="preserve"> religious belief or activity</w:t>
      </w:r>
      <w:r w:rsidR="000825EF">
        <w:t xml:space="preserve">.  </w:t>
      </w:r>
      <w:r w:rsidR="00F034CC">
        <w:t xml:space="preserve">A temporary </w:t>
      </w:r>
      <w:r w:rsidR="00F034CC">
        <w:lastRenderedPageBreak/>
        <w:t xml:space="preserve">exemption may be granted for a period of up to </w:t>
      </w:r>
      <w:r w:rsidR="007138D2">
        <w:t>five</w:t>
      </w:r>
      <w:r w:rsidR="00F034CC">
        <w:t xml:space="preserve"> years and may be granted subject to </w:t>
      </w:r>
      <w:proofErr w:type="gramStart"/>
      <w:r w:rsidR="00F034CC">
        <w:t>particular terms</w:t>
      </w:r>
      <w:proofErr w:type="gramEnd"/>
      <w:r w:rsidR="00F034CC">
        <w:t xml:space="preserve"> and conditions.</w:t>
      </w:r>
      <w:r w:rsidR="00B95EF0">
        <w:t xml:space="preserve">  </w:t>
      </w:r>
    </w:p>
    <w:p w14:paraId="48F92B31" w14:textId="4470D014" w:rsidR="00F034CC" w:rsidRDefault="00F034CC" w:rsidP="0087598D">
      <w:pPr>
        <w:pStyle w:val="ListNumber"/>
      </w:pPr>
      <w:r>
        <w:t xml:space="preserve">Each of the </w:t>
      </w:r>
      <w:r w:rsidR="005E71AD">
        <w:t xml:space="preserve">SDA, DDA and ADA </w:t>
      </w:r>
      <w:r w:rsidR="007151CF">
        <w:t>make</w:t>
      </w:r>
      <w:r w:rsidR="007138D2">
        <w:t>s</w:t>
      </w:r>
      <w:r w:rsidR="007151CF">
        <w:t xml:space="preserve"> provision for temporary exemptions to be granted by the Commission.</w:t>
      </w:r>
      <w:r w:rsidR="00D47AF2">
        <w:rPr>
          <w:rStyle w:val="EndnoteReference"/>
        </w:rPr>
        <w:endnoteReference w:id="53"/>
      </w:r>
      <w:r w:rsidR="007151CF">
        <w:t xml:space="preserve">  </w:t>
      </w:r>
      <w:r w:rsidR="00B776DB">
        <w:t xml:space="preserve">Temporary exemptions may be granted to allow a person time to </w:t>
      </w:r>
      <w:r w:rsidR="007E4116">
        <w:t>make changes in order to comply with anti-discrimination law</w:t>
      </w:r>
      <w:r w:rsidR="00745023">
        <w:t>s</w:t>
      </w:r>
      <w:r w:rsidR="007E4116">
        <w:t xml:space="preserve">.  The Commission has published guidelines on how it exercises its </w:t>
      </w:r>
      <w:r w:rsidR="005E71AD">
        <w:t>power to grant temporary exemptions.</w:t>
      </w:r>
      <w:r w:rsidR="003C310D">
        <w:rPr>
          <w:rStyle w:val="EndnoteReference"/>
        </w:rPr>
        <w:endnoteReference w:id="54"/>
      </w:r>
      <w:r w:rsidR="00B95EF0">
        <w:t xml:space="preserve">  </w:t>
      </w:r>
      <w:r w:rsidR="00D653BD">
        <w:t>A d</w:t>
      </w:r>
      <w:r w:rsidR="00B95EF0">
        <w:t xml:space="preserve">ecision by the Commission to grant a temporary exemption </w:t>
      </w:r>
      <w:r w:rsidR="00D653BD">
        <w:t xml:space="preserve">is </w:t>
      </w:r>
      <w:r w:rsidR="00B95EF0">
        <w:t>reviewable in the Administrative Appeals Tribunal.</w:t>
      </w:r>
    </w:p>
    <w:p w14:paraId="6EDB0E20" w14:textId="36EB58C5" w:rsidR="00000D7F" w:rsidRDefault="00E7429B" w:rsidP="0087598D">
      <w:pPr>
        <w:pStyle w:val="ListNumber"/>
      </w:pPr>
      <w:r>
        <w:t>The Bill differs from other Commonwealth discrimination law</w:t>
      </w:r>
      <w:r w:rsidR="00745023">
        <w:t>s</w:t>
      </w:r>
      <w:r>
        <w:t xml:space="preserve"> in that it gives the Attorney-General the power to </w:t>
      </w:r>
      <w:r w:rsidR="00B05E8A">
        <w:t>vary or revoke an exemption granted by the Commission.</w:t>
      </w:r>
      <w:r w:rsidR="00B05E8A">
        <w:rPr>
          <w:rStyle w:val="EndnoteReference"/>
        </w:rPr>
        <w:endnoteReference w:id="55"/>
      </w:r>
      <w:r w:rsidR="00B05E8A">
        <w:t xml:space="preserve">  There is no equivalent provision to this effect in the SDA, DDA or ADA. </w:t>
      </w:r>
    </w:p>
    <w:p w14:paraId="3837FF5E" w14:textId="586F34BA" w:rsidR="00B95EF0" w:rsidRDefault="00E07539" w:rsidP="0087598D">
      <w:pPr>
        <w:pStyle w:val="ListNumber"/>
      </w:pPr>
      <w:r>
        <w:t xml:space="preserve">The Explanatory Notes do not provide any explanation for why the Attorney-General is given the power to </w:t>
      </w:r>
      <w:r w:rsidR="005F0A08">
        <w:t xml:space="preserve">vary or </w:t>
      </w:r>
      <w:r>
        <w:t>revoke</w:t>
      </w:r>
      <w:r w:rsidR="005F0A08">
        <w:t xml:space="preserve"> temporary exemptions in relation to religious discrimination</w:t>
      </w:r>
      <w:r w:rsidR="00F33A29">
        <w:t>, in circumstances</w:t>
      </w:r>
      <w:r w:rsidR="005F0A08">
        <w:t xml:space="preserve"> where the Attorney has no equivalent power in relation to any other kind of temporary exemption.</w:t>
      </w:r>
    </w:p>
    <w:p w14:paraId="75CD6C1A" w14:textId="007719F6" w:rsidR="005F0A08" w:rsidRDefault="005F0A08" w:rsidP="0087598D">
      <w:pPr>
        <w:pStyle w:val="ListNumber"/>
      </w:pPr>
      <w:r>
        <w:t xml:space="preserve">In the absence of </w:t>
      </w:r>
      <w:r w:rsidR="009A073A">
        <w:t xml:space="preserve">any explanation for this change, the Commission considers that it is more appropriate to leave the initial decision on varying or revoking temporary exemptions with the body that has conducted the inquiry into whether the exemption should be granted, and </w:t>
      </w:r>
      <w:r w:rsidR="005D1373">
        <w:t xml:space="preserve">to </w:t>
      </w:r>
      <w:r w:rsidR="009A073A">
        <w:t>leav</w:t>
      </w:r>
      <w:r w:rsidR="005D1373">
        <w:t>e</w:t>
      </w:r>
      <w:r w:rsidR="009A073A">
        <w:t xml:space="preserve"> any </w:t>
      </w:r>
      <w:r w:rsidR="00840037">
        <w:t>merits</w:t>
      </w:r>
      <w:r w:rsidR="009A073A">
        <w:t xml:space="preserve"> review of those decisions to </w:t>
      </w:r>
      <w:r w:rsidR="00877CDE">
        <w:t>an independent Tribunal with expertise in reviewing administrative decisions.</w:t>
      </w:r>
    </w:p>
    <w:p w14:paraId="144067F9" w14:textId="742BA8D6" w:rsidR="00CA7FB7" w:rsidRPr="00772BC5" w:rsidRDefault="00C166B2" w:rsidP="00772BC5">
      <w:pPr>
        <w:pStyle w:val="ListNumber"/>
        <w:keepNext/>
        <w:numPr>
          <w:ilvl w:val="0"/>
          <w:numId w:val="0"/>
        </w:numPr>
        <w:ind w:left="1094"/>
        <w:rPr>
          <w:b/>
          <w:bCs/>
        </w:rPr>
      </w:pPr>
      <w:r w:rsidRPr="00772BC5">
        <w:rPr>
          <w:b/>
          <w:bCs/>
        </w:rPr>
        <w:t xml:space="preserve">Recommendation </w:t>
      </w:r>
      <w:r w:rsidR="00AA04DF">
        <w:rPr>
          <w:b/>
          <w:bCs/>
        </w:rPr>
        <w:t>8</w:t>
      </w:r>
    </w:p>
    <w:p w14:paraId="53C82671" w14:textId="0ACB58BA" w:rsidR="00772BC5" w:rsidRDefault="00772BC5" w:rsidP="00772BC5">
      <w:pPr>
        <w:pStyle w:val="ListNumber"/>
        <w:numPr>
          <w:ilvl w:val="0"/>
          <w:numId w:val="0"/>
        </w:numPr>
        <w:ind w:left="1094"/>
      </w:pPr>
      <w:r>
        <w:t>The Commission recommends that clause 3</w:t>
      </w:r>
      <w:r w:rsidR="00C000F7">
        <w:t>9</w:t>
      </w:r>
      <w:r w:rsidR="00884CA7">
        <w:t xml:space="preserve">(1) of the Bill be amended to remove </w:t>
      </w:r>
      <w:r w:rsidR="004B2950">
        <w:t xml:space="preserve">the </w:t>
      </w:r>
      <w:r w:rsidR="009A4EE3">
        <w:t xml:space="preserve">provision granting the </w:t>
      </w:r>
      <w:r w:rsidR="004B2950">
        <w:t xml:space="preserve">Attorney-General </w:t>
      </w:r>
      <w:r w:rsidR="009A4EE3">
        <w:t xml:space="preserve">the </w:t>
      </w:r>
      <w:r w:rsidR="002F2B3A">
        <w:t xml:space="preserve">ability </w:t>
      </w:r>
      <w:r w:rsidR="004B2950">
        <w:t xml:space="preserve">to vary or revoke temporary exemptions granted by the Commission. </w:t>
      </w:r>
    </w:p>
    <w:p w14:paraId="7C8D4CCC" w14:textId="2BA6A20C" w:rsidR="00772BC5" w:rsidRDefault="00A01F21" w:rsidP="00482CFA">
      <w:pPr>
        <w:pStyle w:val="Heading1"/>
      </w:pPr>
      <w:bookmarkStart w:id="36" w:name="_Toc20471762"/>
      <w:r>
        <w:t xml:space="preserve">General </w:t>
      </w:r>
      <w:r w:rsidR="00144CE9">
        <w:t>exceptions</w:t>
      </w:r>
      <w:bookmarkEnd w:id="36"/>
    </w:p>
    <w:p w14:paraId="4E3C68B9" w14:textId="206CDDCE" w:rsidR="00A01F21" w:rsidRDefault="00482CFA" w:rsidP="00482CFA">
      <w:pPr>
        <w:pStyle w:val="Heading2"/>
      </w:pPr>
      <w:bookmarkStart w:id="37" w:name="_Toc20471763"/>
      <w:r>
        <w:t>Counselling or promoting a serious offence</w:t>
      </w:r>
      <w:bookmarkEnd w:id="37"/>
    </w:p>
    <w:p w14:paraId="2B4F25D0" w14:textId="5B504002" w:rsidR="00482CFA" w:rsidRDefault="00CE7519" w:rsidP="0087598D">
      <w:pPr>
        <w:pStyle w:val="ListNumber"/>
      </w:pPr>
      <w:r>
        <w:t xml:space="preserve">There is a general </w:t>
      </w:r>
      <w:r w:rsidR="00144CE9">
        <w:t>exception</w:t>
      </w:r>
      <w:r w:rsidR="00AF790A">
        <w:t xml:space="preserve"> in clause 27 of the Bill </w:t>
      </w:r>
      <w:r w:rsidR="00B35092">
        <w:t xml:space="preserve">that </w:t>
      </w:r>
      <w:r w:rsidR="00834BA9">
        <w:t xml:space="preserve">permits discrimination against a person if they have expressed a religious belief that </w:t>
      </w:r>
      <w:r w:rsidR="00FF0346">
        <w:t>amounts to counselling</w:t>
      </w:r>
      <w:r w:rsidR="009936F7">
        <w:t>, promoting, encouraging or urging the commission of a serious offence.</w:t>
      </w:r>
    </w:p>
    <w:p w14:paraId="69D552E9" w14:textId="49F91BF8" w:rsidR="009936F7" w:rsidRDefault="009936F7" w:rsidP="0087598D">
      <w:pPr>
        <w:pStyle w:val="ListNumber"/>
      </w:pPr>
      <w:r>
        <w:lastRenderedPageBreak/>
        <w:t xml:space="preserve">The Commission is </w:t>
      </w:r>
      <w:r w:rsidR="00A43FCE">
        <w:t>generally</w:t>
      </w:r>
      <w:r>
        <w:t xml:space="preserve"> supportive of this </w:t>
      </w:r>
      <w:r w:rsidR="00144CE9">
        <w:t>exception</w:t>
      </w:r>
      <w:r w:rsidR="007138D2">
        <w:t>;</w:t>
      </w:r>
      <w:r>
        <w:t xml:space="preserve"> however, it appears that the </w:t>
      </w:r>
      <w:r w:rsidR="00144CE9">
        <w:t xml:space="preserve">exception </w:t>
      </w:r>
      <w:r>
        <w:t>may operate more broadly than intended.</w:t>
      </w:r>
    </w:p>
    <w:p w14:paraId="1F3AEACF" w14:textId="34DA5D37" w:rsidR="009936F7" w:rsidRDefault="00F46353" w:rsidP="0087598D">
      <w:pPr>
        <w:pStyle w:val="ListNumber"/>
      </w:pPr>
      <w:r>
        <w:t xml:space="preserve">The </w:t>
      </w:r>
      <w:r w:rsidR="00144CE9">
        <w:t xml:space="preserve">exception </w:t>
      </w:r>
      <w:r>
        <w:t>operates if three criteria are satisfied:</w:t>
      </w:r>
    </w:p>
    <w:p w14:paraId="55103EF1" w14:textId="4A411371" w:rsidR="00F46353" w:rsidRDefault="00F46353" w:rsidP="00F46353">
      <w:pPr>
        <w:pStyle w:val="ListNumber"/>
        <w:numPr>
          <w:ilvl w:val="0"/>
          <w:numId w:val="45"/>
        </w:numPr>
      </w:pPr>
      <w:r>
        <w:t xml:space="preserve">a person has expressed a </w:t>
      </w:r>
      <w:proofErr w:type="gramStart"/>
      <w:r>
        <w:t>particular belief</w:t>
      </w:r>
      <w:proofErr w:type="gramEnd"/>
    </w:p>
    <w:p w14:paraId="66A1660F" w14:textId="74B2D2A1" w:rsidR="00F46353" w:rsidRDefault="003A606E" w:rsidP="00F46353">
      <w:pPr>
        <w:pStyle w:val="ListNumber"/>
        <w:numPr>
          <w:ilvl w:val="0"/>
          <w:numId w:val="45"/>
        </w:numPr>
      </w:pPr>
      <w:r>
        <w:t>it is reasonable to conclude that, by expressing that belief, the person is counselling, promoting, encouraging or urging the commission of a serious offence</w:t>
      </w:r>
      <w:r w:rsidR="00745023">
        <w:t xml:space="preserve">, </w:t>
      </w:r>
      <w:r w:rsidR="00862879">
        <w:t>and</w:t>
      </w:r>
    </w:p>
    <w:p w14:paraId="416FB5D5" w14:textId="056C86B0" w:rsidR="00862879" w:rsidRDefault="00862879" w:rsidP="00F46353">
      <w:pPr>
        <w:pStyle w:val="ListNumber"/>
        <w:numPr>
          <w:ilvl w:val="0"/>
          <w:numId w:val="45"/>
        </w:numPr>
      </w:pPr>
      <w:r>
        <w:t xml:space="preserve">at the time the discrimination occurs, it is reasonable to assume that the person holds the </w:t>
      </w:r>
      <w:proofErr w:type="gramStart"/>
      <w:r>
        <w:t>particular belief</w:t>
      </w:r>
      <w:proofErr w:type="gramEnd"/>
      <w:r>
        <w:t>.</w:t>
      </w:r>
    </w:p>
    <w:p w14:paraId="7E1917D5" w14:textId="0495BEA4" w:rsidR="00F46353" w:rsidRDefault="00674442" w:rsidP="0087598D">
      <w:pPr>
        <w:pStyle w:val="ListNumber"/>
      </w:pPr>
      <w:r>
        <w:t>It appears that, i</w:t>
      </w:r>
      <w:r w:rsidR="00862879">
        <w:t xml:space="preserve">f these criteria are met, </w:t>
      </w:r>
      <w:r w:rsidR="003B7C36">
        <w:t xml:space="preserve">it is not unlawful to discriminate against that person </w:t>
      </w:r>
      <w:proofErr w:type="gramStart"/>
      <w:r w:rsidR="003B7C36">
        <w:t>on the basis of</w:t>
      </w:r>
      <w:proofErr w:type="gramEnd"/>
      <w:r w:rsidR="003B7C36">
        <w:t xml:space="preserve"> any of their religious beliefs or activities.</w:t>
      </w:r>
      <w:r>
        <w:t xml:space="preserve">  That is, the </w:t>
      </w:r>
      <w:r w:rsidR="00144CE9">
        <w:t xml:space="preserve">exception </w:t>
      </w:r>
      <w:r>
        <w:t xml:space="preserve">does not merely apply to discrimination </w:t>
      </w:r>
      <w:r w:rsidR="00543591">
        <w:t xml:space="preserve">on the ground of the </w:t>
      </w:r>
      <w:r>
        <w:t>particular</w:t>
      </w:r>
      <w:r w:rsidR="00543591">
        <w:t xml:space="preserve"> expression that encouraged the commission of an </w:t>
      </w:r>
      <w:proofErr w:type="gramStart"/>
      <w:r w:rsidR="00543591">
        <w:t>offence, but</w:t>
      </w:r>
      <w:proofErr w:type="gramEnd"/>
      <w:r w:rsidR="00543591">
        <w:t xml:space="preserve"> extends to discrimination on the basis of </w:t>
      </w:r>
      <w:r w:rsidR="00A43FCE">
        <w:t>the person’s religious beliefs or activities more generally.</w:t>
      </w:r>
    </w:p>
    <w:p w14:paraId="7BF67BDC" w14:textId="7A820C9E" w:rsidR="009D1FE5" w:rsidRDefault="009D1FE5" w:rsidP="0087598D">
      <w:pPr>
        <w:pStyle w:val="ListNumber"/>
      </w:pPr>
      <w:r>
        <w:t>If this interpretation is correct, then the qualifying conditions in (a) to (c) operate to open the gate to religious discrimination against the person</w:t>
      </w:r>
      <w:r w:rsidR="0028393A">
        <w:t>, regardless of the basis for the religious discrimination.</w:t>
      </w:r>
    </w:p>
    <w:p w14:paraId="2A1BEFA4" w14:textId="794C9442" w:rsidR="00A43FCE" w:rsidRDefault="007418D3" w:rsidP="0087598D">
      <w:pPr>
        <w:pStyle w:val="ListNumber"/>
      </w:pPr>
      <w:proofErr w:type="gramStart"/>
      <w:r>
        <w:t>On the basis of</w:t>
      </w:r>
      <w:proofErr w:type="gramEnd"/>
      <w:r>
        <w:t xml:space="preserve"> the Explanatory Notes, it appears that this broad operation may have been unintended.  For example, </w:t>
      </w:r>
      <w:r w:rsidR="00082F53">
        <w:t xml:space="preserve">at </w:t>
      </w:r>
      <w:r>
        <w:t>[287]</w:t>
      </w:r>
      <w:r w:rsidR="00745023">
        <w:t>,</w:t>
      </w:r>
      <w:r>
        <w:t xml:space="preserve"> </w:t>
      </w:r>
      <w:r w:rsidR="00082F53">
        <w:t>the Notes say that the exception ‘does not apply to discrimination on the grounds of bel</w:t>
      </w:r>
      <w:r w:rsidR="004C442A">
        <w:t xml:space="preserve">iefs which are imputed to a person’.  This suggests that there should be a link between the qualifying conditions </w:t>
      </w:r>
      <w:r w:rsidR="00556F88">
        <w:t xml:space="preserve">for the operation of the section </w:t>
      </w:r>
      <w:r w:rsidR="004C442A">
        <w:t xml:space="preserve">and the </w:t>
      </w:r>
      <w:proofErr w:type="gramStart"/>
      <w:r w:rsidR="004C442A">
        <w:t xml:space="preserve">particular </w:t>
      </w:r>
      <w:r w:rsidR="00556F88">
        <w:t>discrimination</w:t>
      </w:r>
      <w:proofErr w:type="gramEnd"/>
      <w:r w:rsidR="00556F88">
        <w:t>.</w:t>
      </w:r>
    </w:p>
    <w:p w14:paraId="1413F795" w14:textId="01A6926B" w:rsidR="009D1FE5" w:rsidRDefault="009D1FE5" w:rsidP="0087598D">
      <w:pPr>
        <w:pStyle w:val="ListNumber"/>
      </w:pPr>
      <w:r>
        <w:t xml:space="preserve">The Commission recommends that further consideration </w:t>
      </w:r>
      <w:r w:rsidR="00781B31">
        <w:t xml:space="preserve">be given to the breadth of operation of this </w:t>
      </w:r>
      <w:r w:rsidR="007138D2">
        <w:t xml:space="preserve">provision </w:t>
      </w:r>
      <w:r w:rsidR="00781B31">
        <w:t>and</w:t>
      </w:r>
      <w:proofErr w:type="gramStart"/>
      <w:r w:rsidR="00781B31">
        <w:t>, in particular, whether</w:t>
      </w:r>
      <w:proofErr w:type="gramEnd"/>
      <w:r w:rsidR="00781B31">
        <w:t xml:space="preserve"> </w:t>
      </w:r>
      <w:r w:rsidR="00897104">
        <w:t xml:space="preserve">it should be limited to discrimination on the ground of the particular belief that </w:t>
      </w:r>
      <w:r w:rsidR="009C7A1F">
        <w:t>triggers the operation of the section.</w:t>
      </w:r>
    </w:p>
    <w:p w14:paraId="5E7E063A" w14:textId="6E4BCD8A" w:rsidR="009C7A1F" w:rsidRPr="009C7A1F" w:rsidRDefault="009C7A1F" w:rsidP="009C7A1F">
      <w:pPr>
        <w:pStyle w:val="ListNumber"/>
        <w:keepNext/>
        <w:numPr>
          <w:ilvl w:val="0"/>
          <w:numId w:val="0"/>
        </w:numPr>
        <w:ind w:left="1094"/>
        <w:rPr>
          <w:b/>
          <w:bCs/>
        </w:rPr>
      </w:pPr>
      <w:r w:rsidRPr="009C7A1F">
        <w:rPr>
          <w:b/>
          <w:bCs/>
        </w:rPr>
        <w:t xml:space="preserve">Recommendation </w:t>
      </w:r>
      <w:r w:rsidR="00AA04DF">
        <w:rPr>
          <w:b/>
          <w:bCs/>
        </w:rPr>
        <w:t>9</w:t>
      </w:r>
    </w:p>
    <w:p w14:paraId="6FF7643A" w14:textId="56F118FC" w:rsidR="009C7A1F" w:rsidRDefault="009C7A1F" w:rsidP="009C7A1F">
      <w:pPr>
        <w:pStyle w:val="ListNumber"/>
        <w:numPr>
          <w:ilvl w:val="0"/>
          <w:numId w:val="0"/>
        </w:numPr>
        <w:ind w:left="1094"/>
      </w:pPr>
      <w:r>
        <w:t>The Commission recommends that further consideration be given to the breadth of operation of clause 27</w:t>
      </w:r>
      <w:r w:rsidR="0051152A">
        <w:t xml:space="preserve"> of the Bill.</w:t>
      </w:r>
    </w:p>
    <w:p w14:paraId="31DAD27A" w14:textId="677555A6" w:rsidR="009C7A1F" w:rsidRDefault="000D7C29" w:rsidP="000D7C29">
      <w:pPr>
        <w:pStyle w:val="Heading2"/>
      </w:pPr>
      <w:bookmarkStart w:id="38" w:name="_Toc20471764"/>
      <w:r>
        <w:lastRenderedPageBreak/>
        <w:t>Law enforcement, national security and intelligence functions</w:t>
      </w:r>
      <w:bookmarkEnd w:id="38"/>
    </w:p>
    <w:p w14:paraId="2AA63E57" w14:textId="740BC0C8" w:rsidR="000F04C1" w:rsidRDefault="00201A99" w:rsidP="0087598D">
      <w:pPr>
        <w:pStyle w:val="ListNumber"/>
      </w:pPr>
      <w:r>
        <w:t xml:space="preserve">Clause 29(2) provides a general exception </w:t>
      </w:r>
      <w:r w:rsidR="000F04C1">
        <w:t xml:space="preserve">in relation to </w:t>
      </w:r>
      <w:r w:rsidR="00517485">
        <w:t xml:space="preserve">law enforcement, national security </w:t>
      </w:r>
      <w:r w:rsidR="0078714B">
        <w:t xml:space="preserve">or intelligence.  </w:t>
      </w:r>
      <w:r w:rsidR="000F04C1">
        <w:t xml:space="preserve">It provides that </w:t>
      </w:r>
      <w:r w:rsidR="00AE7567">
        <w:t xml:space="preserve">it is not unlawful to </w:t>
      </w:r>
      <w:r w:rsidR="00D150C6">
        <w:t>discriminat</w:t>
      </w:r>
      <w:r w:rsidR="00AE7567">
        <w:t>e</w:t>
      </w:r>
      <w:r w:rsidR="00D150C6">
        <w:t xml:space="preserve"> </w:t>
      </w:r>
      <w:proofErr w:type="gramStart"/>
      <w:r w:rsidR="00D150C6">
        <w:t>on the basis of</w:t>
      </w:r>
      <w:proofErr w:type="gramEnd"/>
      <w:r w:rsidR="00D150C6">
        <w:t xml:space="preserve"> religious belief or activity </w:t>
      </w:r>
      <w:r w:rsidR="00F526B7">
        <w:t>if:</w:t>
      </w:r>
    </w:p>
    <w:p w14:paraId="6C66EDA8" w14:textId="6D190996" w:rsidR="00F526B7" w:rsidRDefault="006A4F6B" w:rsidP="00F526B7">
      <w:pPr>
        <w:pStyle w:val="ListNumber"/>
        <w:numPr>
          <w:ilvl w:val="0"/>
          <w:numId w:val="45"/>
        </w:numPr>
      </w:pPr>
      <w:r>
        <w:t>a</w:t>
      </w:r>
      <w:r w:rsidR="00F526B7">
        <w:t xml:space="preserve"> person </w:t>
      </w:r>
      <w:r w:rsidR="00B50A03">
        <w:t>is</w:t>
      </w:r>
      <w:r w:rsidR="00F526B7">
        <w:t xml:space="preserve"> performing functions or exercising powers relating to law enforcement, national security or intelligence</w:t>
      </w:r>
      <w:r w:rsidR="00F73024">
        <w:t xml:space="preserve"> under a law or program of the Commonwealth</w:t>
      </w:r>
      <w:r w:rsidR="000E7358">
        <w:t>,</w:t>
      </w:r>
      <w:r w:rsidR="00F73024">
        <w:t xml:space="preserve"> and</w:t>
      </w:r>
    </w:p>
    <w:p w14:paraId="47C8D7B2" w14:textId="6327DDF4" w:rsidR="00F73024" w:rsidRDefault="00F73024" w:rsidP="00F526B7">
      <w:pPr>
        <w:pStyle w:val="ListNumber"/>
        <w:numPr>
          <w:ilvl w:val="0"/>
          <w:numId w:val="45"/>
        </w:numPr>
      </w:pPr>
      <w:r>
        <w:t xml:space="preserve">the conduct </w:t>
      </w:r>
      <w:r w:rsidR="00540A8E">
        <w:t xml:space="preserve">constituting the discrimination </w:t>
      </w:r>
      <w:r>
        <w:t xml:space="preserve">is reasonably necessary in performing </w:t>
      </w:r>
      <w:r w:rsidR="004532C3">
        <w:t>the function or exercising the power.</w:t>
      </w:r>
    </w:p>
    <w:p w14:paraId="5B0F4066" w14:textId="3ED04F50" w:rsidR="000D7C29" w:rsidRDefault="0078714B" w:rsidP="0087598D">
      <w:pPr>
        <w:pStyle w:val="ListNumber"/>
      </w:pPr>
      <w:r>
        <w:t xml:space="preserve">There do not appear to be any equivalent exemptions in other Commonwealth </w:t>
      </w:r>
      <w:r w:rsidR="006E6534">
        <w:t>anti-discrimination law</w:t>
      </w:r>
      <w:r w:rsidR="00801527">
        <w:t>s</w:t>
      </w:r>
      <w:r w:rsidR="006E6534">
        <w:t>.</w:t>
      </w:r>
    </w:p>
    <w:p w14:paraId="11B115E9" w14:textId="35FF42B1" w:rsidR="009A7250" w:rsidRDefault="009A7250" w:rsidP="0087598D">
      <w:pPr>
        <w:pStyle w:val="ListNumber"/>
      </w:pPr>
      <w:r>
        <w:t xml:space="preserve">The Explanatory Notes </w:t>
      </w:r>
      <w:r w:rsidR="007218E3">
        <w:t>suggest that this is a ‘catch all’ exception designed to ensure that ‘nothing in this Act will disrupt the lawful performance or exercise of functions and powers related to law enforcement, national security and intelligence’.</w:t>
      </w:r>
      <w:r w:rsidR="007218E3">
        <w:rPr>
          <w:rStyle w:val="EndnoteReference"/>
        </w:rPr>
        <w:endnoteReference w:id="56"/>
      </w:r>
      <w:r w:rsidR="00E87E3D">
        <w:t xml:space="preserve">  The Notes say that the functions and powers </w:t>
      </w:r>
      <w:r w:rsidR="000D295B">
        <w:t>the exception is aimed at include ‘policing, investigations, intelligence gathering</w:t>
      </w:r>
      <w:r w:rsidR="00905B7D">
        <w:t xml:space="preserve"> (including defence intelligence) and security vetting’.</w:t>
      </w:r>
      <w:r w:rsidR="00905B7D">
        <w:rPr>
          <w:rStyle w:val="EndnoteReference"/>
        </w:rPr>
        <w:endnoteReference w:id="57"/>
      </w:r>
      <w:r w:rsidR="008F56AD">
        <w:t xml:space="preserve">  They also say that a person’s religious beliefs may be relevant to investigations </w:t>
      </w:r>
      <w:r w:rsidR="008E14CA">
        <w:t>into offences of terrorism, forced marriage or slavery.</w:t>
      </w:r>
      <w:r w:rsidR="008E14CA">
        <w:rPr>
          <w:rStyle w:val="EndnoteReference"/>
        </w:rPr>
        <w:endnoteReference w:id="58"/>
      </w:r>
      <w:r w:rsidR="000F6D60">
        <w:t xml:space="preserve">  Presumably, it is intended that the exception will permit ‘religious profiling’ of </w:t>
      </w:r>
      <w:r w:rsidR="00F1449F">
        <w:t>suspected offenders.</w:t>
      </w:r>
    </w:p>
    <w:p w14:paraId="079ED8E1" w14:textId="6BA7BA38" w:rsidR="0078714B" w:rsidRDefault="00130A65" w:rsidP="0087598D">
      <w:pPr>
        <w:pStyle w:val="ListNumber"/>
      </w:pPr>
      <w:r>
        <w:t xml:space="preserve">However, it is not immediately clear </w:t>
      </w:r>
      <w:r w:rsidR="00A967E8">
        <w:t xml:space="preserve">how the exception relates to the kinds of discrimination that are prohibited by the Bill.  </w:t>
      </w:r>
      <w:r w:rsidR="00CD211B">
        <w:t xml:space="preserve">The Bill applies only to discrimination </w:t>
      </w:r>
      <w:proofErr w:type="gramStart"/>
      <w:r w:rsidR="00CD211B">
        <w:t>in particular areas</w:t>
      </w:r>
      <w:proofErr w:type="gramEnd"/>
      <w:r w:rsidR="00CD211B">
        <w:t xml:space="preserve"> of public life.  </w:t>
      </w:r>
      <w:r w:rsidR="00497A1B">
        <w:t xml:space="preserve">For example, </w:t>
      </w:r>
      <w:r w:rsidR="00A0138C">
        <w:t xml:space="preserve">clause 13 of </w:t>
      </w:r>
      <w:r w:rsidR="009B2543">
        <w:t xml:space="preserve">the Bill prohibits discrimination in employment and, </w:t>
      </w:r>
      <w:r w:rsidR="006F66F4">
        <w:t>on its fac</w:t>
      </w:r>
      <w:r w:rsidR="009B2543">
        <w:t xml:space="preserve">e, the exception appears to cover </w:t>
      </w:r>
      <w:r w:rsidR="00A0138C">
        <w:t xml:space="preserve">employment decisions.  </w:t>
      </w:r>
      <w:r w:rsidR="00540A8E">
        <w:t>Does this mean</w:t>
      </w:r>
      <w:r w:rsidR="00FA5CB3">
        <w:t>, for example,</w:t>
      </w:r>
      <w:r w:rsidR="00540A8E">
        <w:t xml:space="preserve"> that </w:t>
      </w:r>
      <w:r w:rsidR="00270A48">
        <w:t xml:space="preserve">it </w:t>
      </w:r>
      <w:r w:rsidR="00A96670">
        <w:t>w</w:t>
      </w:r>
      <w:r w:rsidR="00270A48">
        <w:t xml:space="preserve">ould be lawful for the Australian Federal Police to refuse to employ a person of a </w:t>
      </w:r>
      <w:proofErr w:type="gramStart"/>
      <w:r w:rsidR="00270A48">
        <w:t>particular faith</w:t>
      </w:r>
      <w:proofErr w:type="gramEnd"/>
      <w:r w:rsidR="00FF0A15">
        <w:t xml:space="preserve"> (assuming that this w</w:t>
      </w:r>
      <w:r w:rsidR="003B06DA">
        <w:t>as permissible under s 116 of the Constitution)</w:t>
      </w:r>
      <w:r w:rsidR="00270A48">
        <w:t xml:space="preserve">?  </w:t>
      </w:r>
      <w:r w:rsidR="002D674B">
        <w:t xml:space="preserve">Or is it </w:t>
      </w:r>
      <w:r w:rsidR="00140CB7">
        <w:t xml:space="preserve">suggested that the employment of </w:t>
      </w:r>
      <w:r w:rsidR="00BB5543">
        <w:t>AFP officers is not a function or power related to law enforcement?  Assuming the exception applies, h</w:t>
      </w:r>
      <w:r w:rsidR="00270A48">
        <w:t xml:space="preserve">ow would an assessment be made about whether </w:t>
      </w:r>
      <w:r w:rsidR="0066725E">
        <w:t xml:space="preserve">discrimination </w:t>
      </w:r>
      <w:r w:rsidR="00BB5543">
        <w:t xml:space="preserve">in employment </w:t>
      </w:r>
      <w:proofErr w:type="gramStart"/>
      <w:r w:rsidR="00B00898">
        <w:t>on the basis of</w:t>
      </w:r>
      <w:proofErr w:type="gramEnd"/>
      <w:r w:rsidR="00B00898">
        <w:t xml:space="preserve"> religious belief or activity </w:t>
      </w:r>
      <w:r w:rsidR="0066725E">
        <w:t>was ‘reasonably necessary’ in performing that function</w:t>
      </w:r>
      <w:r w:rsidR="00BB5543">
        <w:t xml:space="preserve"> or exercising that power</w:t>
      </w:r>
      <w:r w:rsidR="0066725E">
        <w:t>?</w:t>
      </w:r>
    </w:p>
    <w:p w14:paraId="2B870477" w14:textId="1474B0D0" w:rsidR="00F058E8" w:rsidRDefault="007629CE" w:rsidP="00F058E8">
      <w:pPr>
        <w:pStyle w:val="ListNumber"/>
      </w:pPr>
      <w:r>
        <w:t xml:space="preserve">The areas of public life </w:t>
      </w:r>
      <w:r w:rsidR="00F058E8">
        <w:t xml:space="preserve">covered by the Bill </w:t>
      </w:r>
      <w:proofErr w:type="gramStart"/>
      <w:r w:rsidR="00F058E8">
        <w:t>are:</w:t>
      </w:r>
      <w:proofErr w:type="gramEnd"/>
      <w:r w:rsidR="00F058E8">
        <w:t xml:space="preserve"> employment (in various forms)</w:t>
      </w:r>
      <w:r w:rsidR="003D1A57">
        <w:t>;</w:t>
      </w:r>
      <w:r w:rsidR="00F058E8">
        <w:t xml:space="preserve"> </w:t>
      </w:r>
      <w:r w:rsidR="003D1A57">
        <w:t xml:space="preserve">education; access to premises; provision of goods, services and </w:t>
      </w:r>
      <w:r w:rsidR="003D1A57">
        <w:lastRenderedPageBreak/>
        <w:t>facilities; accommodation</w:t>
      </w:r>
      <w:r w:rsidR="00797506">
        <w:t xml:space="preserve">; land; sport; clubs; </w:t>
      </w:r>
      <w:r w:rsidR="00BF0A08">
        <w:t>requests for information; and Commonwealth laws and programs.</w:t>
      </w:r>
    </w:p>
    <w:p w14:paraId="671A5FC7" w14:textId="77777777" w:rsidR="00FE7961" w:rsidRDefault="00BF0A08" w:rsidP="0087598D">
      <w:pPr>
        <w:pStyle w:val="ListNumber"/>
      </w:pPr>
      <w:r>
        <w:t xml:space="preserve">It is not immediately clear the </w:t>
      </w:r>
      <w:r w:rsidR="0053213B">
        <w:t xml:space="preserve">scope of </w:t>
      </w:r>
      <w:r>
        <w:t xml:space="preserve">overlap between </w:t>
      </w:r>
      <w:r w:rsidR="008744D8">
        <w:t xml:space="preserve">the kinds of conduct that take place in these </w:t>
      </w:r>
      <w:r>
        <w:t xml:space="preserve">areas of public life and </w:t>
      </w:r>
      <w:r w:rsidR="008744D8">
        <w:t xml:space="preserve">the kinds of conduct that take place in the course of </w:t>
      </w:r>
      <w:r w:rsidR="00522B08">
        <w:t>policing</w:t>
      </w:r>
      <w:r w:rsidR="002D078B">
        <w:t xml:space="preserve">, </w:t>
      </w:r>
      <w:r w:rsidR="00234FDB">
        <w:t xml:space="preserve">investigations, </w:t>
      </w:r>
      <w:r w:rsidR="002D078B">
        <w:t>intelligence gathering</w:t>
      </w:r>
      <w:r w:rsidR="00234FDB">
        <w:t xml:space="preserve"> and security vetting</w:t>
      </w:r>
      <w:r w:rsidR="00522B08">
        <w:t xml:space="preserve">.  </w:t>
      </w:r>
    </w:p>
    <w:p w14:paraId="371EA2DA" w14:textId="342CE835" w:rsidR="004F5B0E" w:rsidRDefault="00FE7961" w:rsidP="0087598D">
      <w:pPr>
        <w:pStyle w:val="ListNumber"/>
      </w:pPr>
      <w:r>
        <w:t>If it is not intended that this exception applies to all areas of public life covered by the Bill, i</w:t>
      </w:r>
      <w:r w:rsidR="00C541A1">
        <w:t xml:space="preserve">t would improve the clarity of operation of the Bill </w:t>
      </w:r>
      <w:r>
        <w:t xml:space="preserve">to identify the areas of public life where it is intended that the </w:t>
      </w:r>
      <w:r w:rsidR="004A45C2">
        <w:t>exception</w:t>
      </w:r>
      <w:r>
        <w:t xml:space="preserve"> is to apply.  Similarly, it would be useful to include in the Explanatory Notes examples of </w:t>
      </w:r>
      <w:r w:rsidR="004F5B0E">
        <w:t>discrimination that would otherwise be caught by the Bill.</w:t>
      </w:r>
    </w:p>
    <w:p w14:paraId="51A8B672" w14:textId="7491BECB" w:rsidR="004F5B0E" w:rsidRPr="004F5B0E" w:rsidRDefault="004F5B0E" w:rsidP="004F5B0E">
      <w:pPr>
        <w:pStyle w:val="ListNumber"/>
        <w:keepNext/>
        <w:numPr>
          <w:ilvl w:val="0"/>
          <w:numId w:val="0"/>
        </w:numPr>
        <w:ind w:left="1094"/>
        <w:rPr>
          <w:b/>
          <w:bCs/>
        </w:rPr>
      </w:pPr>
      <w:r w:rsidRPr="004F5B0E">
        <w:rPr>
          <w:b/>
          <w:bCs/>
        </w:rPr>
        <w:t xml:space="preserve">Recommendation </w:t>
      </w:r>
      <w:r w:rsidR="00AA04DF">
        <w:rPr>
          <w:b/>
          <w:bCs/>
        </w:rPr>
        <w:t>10</w:t>
      </w:r>
    </w:p>
    <w:p w14:paraId="5FF7A508" w14:textId="5FA18CFF" w:rsidR="004F5B0E" w:rsidRDefault="004F5B0E" w:rsidP="004F5B0E">
      <w:pPr>
        <w:pStyle w:val="ListNumber"/>
        <w:numPr>
          <w:ilvl w:val="0"/>
          <w:numId w:val="0"/>
        </w:numPr>
        <w:ind w:left="1094"/>
      </w:pPr>
      <w:r>
        <w:t>The Commission recommends that further consideration be given to the breadth of operation of clause 29(2) of the Bill.</w:t>
      </w:r>
    </w:p>
    <w:p w14:paraId="5A6E789B" w14:textId="14A89111" w:rsidR="00CD211B" w:rsidRDefault="000747CE" w:rsidP="00803847">
      <w:pPr>
        <w:pStyle w:val="Heading1"/>
      </w:pPr>
      <w:bookmarkStart w:id="39" w:name="_Toc20471765"/>
      <w:r>
        <w:t>Freedom of Religion Commissioner</w:t>
      </w:r>
      <w:bookmarkEnd w:id="39"/>
    </w:p>
    <w:p w14:paraId="0884DD79" w14:textId="2F022907" w:rsidR="00A552CD" w:rsidRDefault="00A552CD" w:rsidP="0087598D">
      <w:pPr>
        <w:pStyle w:val="ListNumber"/>
      </w:pPr>
      <w:r>
        <w:t xml:space="preserve">Part 6 of the Bill creates </w:t>
      </w:r>
      <w:r w:rsidR="000E7358">
        <w:t xml:space="preserve">the </w:t>
      </w:r>
      <w:r>
        <w:t xml:space="preserve">new office of the Freedom of Religion Commissioner and Part 7 of the Bill grants new functions to the Commission.  </w:t>
      </w:r>
      <w:r w:rsidR="003D1885">
        <w:t>In broad terms, t</w:t>
      </w:r>
      <w:r>
        <w:t xml:space="preserve">hose functions relate to the avoidance of discrimination on the grounds of </w:t>
      </w:r>
      <w:r w:rsidR="00CE76B1">
        <w:t>religious belief or activity</w:t>
      </w:r>
      <w:r>
        <w:t>.</w:t>
      </w:r>
    </w:p>
    <w:p w14:paraId="55E9C2C1" w14:textId="2CF5A4CD" w:rsidR="00A83896" w:rsidRDefault="0042576F" w:rsidP="0087598D">
      <w:pPr>
        <w:pStyle w:val="ListNumber"/>
      </w:pPr>
      <w:r>
        <w:t xml:space="preserve">The </w:t>
      </w:r>
      <w:r w:rsidR="00A41A83">
        <w:t xml:space="preserve">Explanatory Notes say that the </w:t>
      </w:r>
      <w:r>
        <w:t xml:space="preserve">Bill </w:t>
      </w:r>
      <w:r w:rsidR="00A41A83">
        <w:t>gives effect to</w:t>
      </w:r>
      <w:r w:rsidR="00A83896">
        <w:t>, among other things, recommendation 19 of the Religious Freedom Review.  Recommendation 19 was in the following form:</w:t>
      </w:r>
    </w:p>
    <w:p w14:paraId="7214B42F" w14:textId="6ED91BCE" w:rsidR="00A83896" w:rsidRDefault="005454E5" w:rsidP="005454E5">
      <w:pPr>
        <w:pStyle w:val="Quote"/>
      </w:pPr>
      <w:r>
        <w:t>The Australian Human Rights Commission should take a leading role in the protection of freedom of religion, including through enhancing engagement, understanding and dialogue</w:t>
      </w:r>
      <w:r w:rsidR="00C25196">
        <w:t>.  This should occur within the existing commissioner model and not necessarily through the creation of a new position.</w:t>
      </w:r>
    </w:p>
    <w:p w14:paraId="4A7B2B2F" w14:textId="1BCF281B" w:rsidR="008F025D" w:rsidRDefault="00DF3932" w:rsidP="0087598D">
      <w:pPr>
        <w:pStyle w:val="ListNumber"/>
      </w:pPr>
      <w:r>
        <w:t>The text of the report was more explicit, saying that ‘the Panel is of the view that the appointment of an additional commissioner is not necessary</w:t>
      </w:r>
      <w:r w:rsidR="004432B6">
        <w:t>,</w:t>
      </w:r>
      <w:r>
        <w:t>’</w:t>
      </w:r>
      <w:r w:rsidR="004432B6">
        <w:t xml:space="preserve"> including because the Human Rights Commissioner already has the capacity to perform many of the functions suggested for a Religious Freedom Commissioner.</w:t>
      </w:r>
      <w:r w:rsidR="007D4912">
        <w:rPr>
          <w:rStyle w:val="EndnoteReference"/>
        </w:rPr>
        <w:endnoteReference w:id="59"/>
      </w:r>
      <w:r w:rsidR="006912A8">
        <w:t xml:space="preserve">  The panel suggested instead that </w:t>
      </w:r>
      <w:r w:rsidR="00923DE4">
        <w:t xml:space="preserve">there </w:t>
      </w:r>
      <w:r w:rsidR="008A3FEA">
        <w:t xml:space="preserve">was </w:t>
      </w:r>
      <w:r w:rsidR="00923DE4">
        <w:t>value in ‘extending the remit of an existing commissioner to include responsibility for issues relating to religious freedom’.</w:t>
      </w:r>
      <w:r w:rsidR="005D5921">
        <w:rPr>
          <w:rStyle w:val="EndnoteReference"/>
        </w:rPr>
        <w:endnoteReference w:id="60"/>
      </w:r>
    </w:p>
    <w:p w14:paraId="0E62821F" w14:textId="727D2065" w:rsidR="00BD6B23" w:rsidRDefault="007832CD" w:rsidP="0087598D">
      <w:pPr>
        <w:pStyle w:val="ListNumber"/>
      </w:pPr>
      <w:r>
        <w:lastRenderedPageBreak/>
        <w:t xml:space="preserve">The </w:t>
      </w:r>
      <w:r w:rsidR="00277FA9">
        <w:t xml:space="preserve">Commission does not object to the creation </w:t>
      </w:r>
      <w:r w:rsidR="00C5275A">
        <w:t xml:space="preserve">of a new statutory office but notes that there is force in the </w:t>
      </w:r>
      <w:r w:rsidR="00775EEA">
        <w:t xml:space="preserve">view expressed by the </w:t>
      </w:r>
      <w:r w:rsidR="00011015">
        <w:t xml:space="preserve">Expert Panel that the functions </w:t>
      </w:r>
      <w:r w:rsidR="00804E34">
        <w:t>given to the Freedom of Religion Commissioner could be performed by another existing Commissioner</w:t>
      </w:r>
      <w:r w:rsidR="000E7358">
        <w:t xml:space="preserve"> or Commissioners</w:t>
      </w:r>
      <w:r w:rsidR="00804E34">
        <w:t>.</w:t>
      </w:r>
    </w:p>
    <w:p w14:paraId="78EA4992" w14:textId="5A1BB983" w:rsidR="00F1555A" w:rsidRDefault="00804E34" w:rsidP="0087598D">
      <w:pPr>
        <w:pStyle w:val="ListNumber"/>
      </w:pPr>
      <w:r>
        <w:t xml:space="preserve">If there is to be a new Commissioner appointed, </w:t>
      </w:r>
      <w:r w:rsidR="00F1555A">
        <w:t xml:space="preserve">this should be accompanied by </w:t>
      </w:r>
      <w:r w:rsidR="0000524A">
        <w:t xml:space="preserve">new funding for the role and necessary support staff, so that </w:t>
      </w:r>
      <w:r w:rsidR="00BA66D3">
        <w:t xml:space="preserve">the ability of the Commission to fulfil its other statutory requirements is not compromised. </w:t>
      </w:r>
    </w:p>
    <w:p w14:paraId="116746B1" w14:textId="6A45B6F0" w:rsidR="000747CE" w:rsidRDefault="0038500B" w:rsidP="0087598D">
      <w:pPr>
        <w:pStyle w:val="ListNumber"/>
      </w:pPr>
      <w:r>
        <w:t xml:space="preserve">The Commission notes that when </w:t>
      </w:r>
      <w:r w:rsidR="004F7B94">
        <w:t xml:space="preserve">there has been an increase in the </w:t>
      </w:r>
      <w:r w:rsidR="00502077">
        <w:t xml:space="preserve">total </w:t>
      </w:r>
      <w:r w:rsidR="004F7B94">
        <w:t>number of Commissioners appointed</w:t>
      </w:r>
      <w:r w:rsidR="00502077">
        <w:t xml:space="preserve">, this has not always been accompanied by </w:t>
      </w:r>
      <w:r w:rsidR="00B202CA">
        <w:t xml:space="preserve"> the provision of appropriate </w:t>
      </w:r>
      <w:r w:rsidR="00502077">
        <w:t xml:space="preserve">funding, which has </w:t>
      </w:r>
      <w:r w:rsidR="003E1583">
        <w:t xml:space="preserve">limited the resources available to the incoming Commissioner as well as placing </w:t>
      </w:r>
      <w:r w:rsidR="00502077">
        <w:t xml:space="preserve">strain on </w:t>
      </w:r>
      <w:r w:rsidR="00C65277">
        <w:t xml:space="preserve">other sections of the Commission, particularly </w:t>
      </w:r>
      <w:r w:rsidR="00E237F7">
        <w:t xml:space="preserve">those dealing with </w:t>
      </w:r>
      <w:r w:rsidR="001716E1">
        <w:t>the conciliation of complaints.</w:t>
      </w:r>
      <w:r w:rsidR="00BC2620">
        <w:t xml:space="preserve">  For example:</w:t>
      </w:r>
    </w:p>
    <w:p w14:paraId="4C8D94EF" w14:textId="4049AB4D" w:rsidR="00FA0C68" w:rsidRDefault="0093745A" w:rsidP="00043920">
      <w:pPr>
        <w:pStyle w:val="ListNumber"/>
        <w:numPr>
          <w:ilvl w:val="0"/>
          <w:numId w:val="45"/>
        </w:numPr>
      </w:pPr>
      <w:r>
        <w:t>I</w:t>
      </w:r>
      <w:r w:rsidR="00043920">
        <w:t>n the 2014</w:t>
      </w:r>
      <w:r w:rsidR="000E7358">
        <w:t>–</w:t>
      </w:r>
      <w:r w:rsidR="00043920">
        <w:t xml:space="preserve">15 Budget, there was a funding cut </w:t>
      </w:r>
      <w:r>
        <w:t xml:space="preserve">for the Commission </w:t>
      </w:r>
      <w:r w:rsidR="00043920">
        <w:t>of $1.650 million over four years</w:t>
      </w:r>
      <w:r>
        <w:t>.</w:t>
      </w:r>
      <w:r w:rsidR="00805B7F">
        <w:t xml:space="preserve"> </w:t>
      </w:r>
      <w:r>
        <w:t xml:space="preserve"> T</w:t>
      </w:r>
      <w:r w:rsidR="00805B7F">
        <w:t xml:space="preserve">he reason given for this reduction </w:t>
      </w:r>
      <w:r>
        <w:t xml:space="preserve">in funding </w:t>
      </w:r>
      <w:r w:rsidR="00805B7F">
        <w:t xml:space="preserve">was that </w:t>
      </w:r>
      <w:r w:rsidR="00043920">
        <w:t xml:space="preserve">the number of </w:t>
      </w:r>
      <w:r w:rsidR="00D9051C">
        <w:t>C</w:t>
      </w:r>
      <w:r w:rsidR="00043920">
        <w:t xml:space="preserve">ommissioners was </w:t>
      </w:r>
      <w:r w:rsidR="00805B7F">
        <w:t xml:space="preserve">being </w:t>
      </w:r>
      <w:r w:rsidR="00043920">
        <w:t>reduced from seven to six</w:t>
      </w:r>
      <w:r w:rsidR="00287784">
        <w:t xml:space="preserve"> when </w:t>
      </w:r>
      <w:r w:rsidR="002422F6">
        <w:t xml:space="preserve">the statutory term of the Disability Discrimination Commissioner </w:t>
      </w:r>
      <w:proofErr w:type="gramStart"/>
      <w:r w:rsidR="002422F6">
        <w:t>ended</w:t>
      </w:r>
      <w:proofErr w:type="gramEnd"/>
      <w:r w:rsidR="002422F6">
        <w:t xml:space="preserve"> and a new Disability Discrimination Commissioner was not appointed.</w:t>
      </w:r>
      <w:r w:rsidR="002422F6">
        <w:rPr>
          <w:rStyle w:val="EndnoteReference"/>
        </w:rPr>
        <w:endnoteReference w:id="61"/>
      </w:r>
      <w:r w:rsidR="002422F6">
        <w:t xml:space="preserve">  </w:t>
      </w:r>
    </w:p>
    <w:p w14:paraId="581C98B9" w14:textId="653D7985" w:rsidR="00FA0C68" w:rsidRDefault="00762F31" w:rsidP="00841A50">
      <w:pPr>
        <w:pStyle w:val="ListNumber"/>
        <w:numPr>
          <w:ilvl w:val="0"/>
          <w:numId w:val="45"/>
        </w:numPr>
      </w:pPr>
      <w:r>
        <w:t>T</w:t>
      </w:r>
      <w:r w:rsidR="00841A50">
        <w:t xml:space="preserve">his funding was not restored </w:t>
      </w:r>
      <w:r w:rsidR="0097365D">
        <w:t xml:space="preserve">when </w:t>
      </w:r>
      <w:r w:rsidR="008A5DA1">
        <w:t xml:space="preserve">a new Human Rights Commissioner was appointed in February 2014 </w:t>
      </w:r>
      <w:r w:rsidR="00FA0C68">
        <w:t xml:space="preserve">bringing the total number of </w:t>
      </w:r>
      <w:r w:rsidR="00314509">
        <w:t>C</w:t>
      </w:r>
      <w:r w:rsidR="00FA0C68">
        <w:t xml:space="preserve">ommissioners </w:t>
      </w:r>
      <w:r w:rsidR="00314509">
        <w:t xml:space="preserve">back </w:t>
      </w:r>
      <w:r w:rsidR="00FA0C68">
        <w:t>up to seven</w:t>
      </w:r>
      <w:r>
        <w:t>.</w:t>
      </w:r>
    </w:p>
    <w:p w14:paraId="42A0C7A2" w14:textId="570C7085" w:rsidR="00B17557" w:rsidRDefault="001770F2" w:rsidP="00631FD8">
      <w:pPr>
        <w:pStyle w:val="ListNumber"/>
        <w:numPr>
          <w:ilvl w:val="0"/>
          <w:numId w:val="45"/>
        </w:numPr>
      </w:pPr>
      <w:r>
        <w:t>I</w:t>
      </w:r>
      <w:r w:rsidR="00FA0C68">
        <w:t xml:space="preserve">n </w:t>
      </w:r>
      <w:r>
        <w:t xml:space="preserve">July </w:t>
      </w:r>
      <w:r w:rsidR="00FA0C68">
        <w:t>2016</w:t>
      </w:r>
      <w:r w:rsidR="007278E1" w:rsidRPr="007278E1" w:rsidDel="0063282A">
        <w:t xml:space="preserve"> </w:t>
      </w:r>
      <w:r w:rsidR="007278E1">
        <w:t xml:space="preserve">a new Disability Discrimination Commissioner was appointed </w:t>
      </w:r>
      <w:r w:rsidR="00FA0C68">
        <w:t xml:space="preserve">bringing the total number of </w:t>
      </w:r>
      <w:r w:rsidR="00EC26A0">
        <w:t>C</w:t>
      </w:r>
      <w:r w:rsidR="00FA0C68">
        <w:t>ommissioners up to eight</w:t>
      </w:r>
      <w:r w:rsidR="00EC26A0">
        <w:t xml:space="preserve">.  However, </w:t>
      </w:r>
      <w:r w:rsidR="00EE4F9C">
        <w:t xml:space="preserve">no </w:t>
      </w:r>
      <w:r w:rsidR="00824A81">
        <w:t xml:space="preserve">additional </w:t>
      </w:r>
      <w:r w:rsidR="00FA0C68">
        <w:t>budget</w:t>
      </w:r>
      <w:r w:rsidR="00824A81">
        <w:t xml:space="preserve"> was provided to the Commission for the costs associated with this new position</w:t>
      </w:r>
      <w:r w:rsidR="00EE4F9C">
        <w:t>.</w:t>
      </w:r>
      <w:r w:rsidR="00FA0C68">
        <w:rPr>
          <w:rStyle w:val="EndnoteReference"/>
        </w:rPr>
        <w:endnoteReference w:id="62"/>
      </w:r>
      <w:r w:rsidR="00FA0C68">
        <w:t xml:space="preserve"> </w:t>
      </w:r>
      <w:r w:rsidR="0082692D">
        <w:t xml:space="preserve"> </w:t>
      </w:r>
    </w:p>
    <w:p w14:paraId="5C1BE558" w14:textId="5E027FBA" w:rsidR="00FA0C68" w:rsidRDefault="0082692D" w:rsidP="00631FD8">
      <w:pPr>
        <w:pStyle w:val="ListNumber"/>
        <w:numPr>
          <w:ilvl w:val="0"/>
          <w:numId w:val="45"/>
        </w:numPr>
      </w:pPr>
      <w:r>
        <w:t xml:space="preserve">The impact on the Commission of </w:t>
      </w:r>
      <w:r w:rsidR="00B17557">
        <w:t xml:space="preserve">taking on significant additional expenses </w:t>
      </w:r>
      <w:r w:rsidR="00227CAE">
        <w:t xml:space="preserve">with the appointment of new Commissioners, </w:t>
      </w:r>
      <w:r w:rsidR="00B17557">
        <w:t>without additional budget</w:t>
      </w:r>
      <w:r w:rsidR="0044190B">
        <w:t xml:space="preserve"> (and in fact with a reduced budget)</w:t>
      </w:r>
      <w:r w:rsidR="00227CAE">
        <w:t>,</w:t>
      </w:r>
      <w:r w:rsidR="00B17557">
        <w:t xml:space="preserve"> </w:t>
      </w:r>
      <w:r w:rsidR="00144C44">
        <w:t xml:space="preserve">was </w:t>
      </w:r>
      <w:r w:rsidR="00602AEF">
        <w:t>a reduction in staffing levels and an increased burden on remaining staff</w:t>
      </w:r>
      <w:r w:rsidR="00CF2372">
        <w:t>.</w:t>
      </w:r>
      <w:r w:rsidR="00602AEF">
        <w:t xml:space="preserve">  </w:t>
      </w:r>
      <w:r w:rsidR="00784047">
        <w:t>For example, d</w:t>
      </w:r>
      <w:r w:rsidR="00500264">
        <w:t>espite increased operational efficiencies</w:t>
      </w:r>
      <w:r w:rsidR="00784047">
        <w:t xml:space="preserve"> within the Commission</w:t>
      </w:r>
      <w:r w:rsidR="00500264">
        <w:t xml:space="preserve">, </w:t>
      </w:r>
      <w:r w:rsidR="00144C44">
        <w:t xml:space="preserve">complaint handling staff saw an increase in caseloads which were </w:t>
      </w:r>
      <w:r w:rsidR="00784047">
        <w:t>on average 30% higher than standard caseloads.</w:t>
      </w:r>
      <w:r w:rsidR="00C70615">
        <w:rPr>
          <w:rStyle w:val="EndnoteReference"/>
        </w:rPr>
        <w:endnoteReference w:id="63"/>
      </w:r>
    </w:p>
    <w:p w14:paraId="3B84E057" w14:textId="2D689CF7" w:rsidR="00FA0C68" w:rsidRDefault="004E5586" w:rsidP="0087598D">
      <w:pPr>
        <w:pStyle w:val="ListNumber"/>
      </w:pPr>
      <w:r>
        <w:lastRenderedPageBreak/>
        <w:t xml:space="preserve">If there is to be a new Commissioner appointed to the Commission, </w:t>
      </w:r>
      <w:r w:rsidR="00B13F66">
        <w:t xml:space="preserve">this should be accompanied by </w:t>
      </w:r>
      <w:proofErr w:type="gramStart"/>
      <w:r w:rsidR="00B13F66">
        <w:t>sufficient</w:t>
      </w:r>
      <w:proofErr w:type="gramEnd"/>
      <w:r w:rsidR="00B13F66">
        <w:t xml:space="preserve"> </w:t>
      </w:r>
      <w:r w:rsidR="005912EA">
        <w:t xml:space="preserve">additional </w:t>
      </w:r>
      <w:r w:rsidR="00B13F66">
        <w:t>budget for the Commissioner</w:t>
      </w:r>
      <w:r w:rsidR="00D124DE" w:rsidRPr="00D124DE">
        <w:t xml:space="preserve"> </w:t>
      </w:r>
      <w:r w:rsidR="00D124DE">
        <w:t>and a necessary support team of staff. The Commission’s standard staffing for Commissioner support is an executive assistant; Director level manager and chief adviser; Senior Policy Officer; Policy Officer and Researcher.</w:t>
      </w:r>
    </w:p>
    <w:p w14:paraId="43D3DE9E" w14:textId="7F703D40" w:rsidR="00537BAC" w:rsidRDefault="008503B4" w:rsidP="0087598D">
      <w:pPr>
        <w:pStyle w:val="ListNumber"/>
      </w:pPr>
      <w:r>
        <w:t xml:space="preserve">More generally, </w:t>
      </w:r>
      <w:r w:rsidR="00AB348A">
        <w:t xml:space="preserve">and regardless of whether a new Commissioner is appointed, </w:t>
      </w:r>
      <w:r>
        <w:t xml:space="preserve">the </w:t>
      </w:r>
      <w:r w:rsidR="00AF3375">
        <w:t xml:space="preserve">introduction of a new Commonwealth discrimination Act </w:t>
      </w:r>
      <w:r w:rsidR="00FB5CCD">
        <w:t xml:space="preserve">could reasonably be expected to </w:t>
      </w:r>
      <w:r w:rsidR="00640466">
        <w:t xml:space="preserve">lead to an </w:t>
      </w:r>
      <w:r w:rsidR="00FB5CCD">
        <w:t xml:space="preserve">increase in discrimination </w:t>
      </w:r>
      <w:r w:rsidR="00FB1E19">
        <w:t xml:space="preserve">inquiries and </w:t>
      </w:r>
      <w:r w:rsidR="00FB5CCD">
        <w:t>complaints and a</w:t>
      </w:r>
      <w:r w:rsidR="00FB1E19">
        <w:t xml:space="preserve"> corresponding</w:t>
      </w:r>
      <w:r w:rsidR="00FB5CCD">
        <w:t xml:space="preserve"> </w:t>
      </w:r>
      <w:r w:rsidR="00640466">
        <w:t xml:space="preserve">increased </w:t>
      </w:r>
      <w:r w:rsidR="00AF3375">
        <w:t xml:space="preserve">workload </w:t>
      </w:r>
      <w:r w:rsidR="00FB5CCD">
        <w:t>for the Commission</w:t>
      </w:r>
      <w:r w:rsidR="00DA705E">
        <w:t>’</w:t>
      </w:r>
      <w:r w:rsidR="00FB5CCD">
        <w:t xml:space="preserve">s </w:t>
      </w:r>
      <w:r w:rsidR="00673B5F">
        <w:t xml:space="preserve">national information service and its </w:t>
      </w:r>
      <w:r w:rsidR="00FB5CCD">
        <w:t>investigation and conciliation service.</w:t>
      </w:r>
      <w:r w:rsidR="00DA705E">
        <w:t xml:space="preserve">  </w:t>
      </w:r>
      <w:r w:rsidR="00F477A9">
        <w:t xml:space="preserve">The last time such a significant change was made to Commonwealth discrimination law was the introduction of the ADA in 2004.  </w:t>
      </w:r>
      <w:r w:rsidR="00537BAC">
        <w:t xml:space="preserve">Additional staff to handle complaints and field inquiries relating to the new law will be required. </w:t>
      </w:r>
    </w:p>
    <w:p w14:paraId="24A60287" w14:textId="65E79D83" w:rsidR="008503B4" w:rsidRDefault="001F47F0" w:rsidP="0087598D">
      <w:pPr>
        <w:pStyle w:val="ListNumber"/>
      </w:pPr>
      <w:r>
        <w:t xml:space="preserve">There will be a need for new </w:t>
      </w:r>
      <w:r w:rsidR="000F2909">
        <w:t xml:space="preserve">guidance material to be prepared both for the public and for </w:t>
      </w:r>
      <w:r w:rsidR="00DD1B9A">
        <w:t>complaint handling staff</w:t>
      </w:r>
      <w:r w:rsidR="00D02CEC">
        <w:t xml:space="preserve"> in relation to religious discrimination</w:t>
      </w:r>
      <w:r w:rsidR="00DD1B9A">
        <w:t xml:space="preserve">.  </w:t>
      </w:r>
    </w:p>
    <w:p w14:paraId="673BDCBA" w14:textId="019298E3" w:rsidR="005912EA" w:rsidRPr="00C86034" w:rsidRDefault="005912EA" w:rsidP="00F8524A">
      <w:pPr>
        <w:pStyle w:val="ListNumber"/>
        <w:keepNext/>
        <w:numPr>
          <w:ilvl w:val="0"/>
          <w:numId w:val="0"/>
        </w:numPr>
        <w:ind w:left="1094"/>
        <w:rPr>
          <w:b/>
          <w:bCs/>
        </w:rPr>
      </w:pPr>
      <w:r w:rsidRPr="00C86034">
        <w:rPr>
          <w:b/>
          <w:bCs/>
        </w:rPr>
        <w:t>Recommendation 1</w:t>
      </w:r>
      <w:r w:rsidR="00AA04DF">
        <w:rPr>
          <w:b/>
          <w:bCs/>
        </w:rPr>
        <w:t>1</w:t>
      </w:r>
    </w:p>
    <w:p w14:paraId="471EF9B8" w14:textId="1BF79619" w:rsidR="005912EA" w:rsidRDefault="005912EA" w:rsidP="00C86034">
      <w:pPr>
        <w:pStyle w:val="ListNumber"/>
        <w:numPr>
          <w:ilvl w:val="0"/>
          <w:numId w:val="0"/>
        </w:numPr>
        <w:ind w:left="1094"/>
      </w:pPr>
      <w:r>
        <w:t xml:space="preserve">The Commission recommends that if a new Freedom of Religion Commissioner is appointed, the Commission should be provided with </w:t>
      </w:r>
      <w:proofErr w:type="gramStart"/>
      <w:r>
        <w:t>sufficient</w:t>
      </w:r>
      <w:proofErr w:type="gramEnd"/>
      <w:r>
        <w:t xml:space="preserve"> additional budget to </w:t>
      </w:r>
      <w:r w:rsidR="00C86034">
        <w:t xml:space="preserve">cover this position, </w:t>
      </w:r>
      <w:r w:rsidR="00C84CE7">
        <w:t>and appropriate staffing support and resources to undertake the role</w:t>
      </w:r>
      <w:r w:rsidR="00C86034">
        <w:t>.</w:t>
      </w:r>
      <w:r w:rsidR="00573A7F">
        <w:t xml:space="preserve">  Further</w:t>
      </w:r>
      <w:r w:rsidR="00D05FFB">
        <w:t xml:space="preserve">, </w:t>
      </w:r>
      <w:r w:rsidR="00573A7F">
        <w:t xml:space="preserve">the introduction of </w:t>
      </w:r>
      <w:r w:rsidR="00F20E7F">
        <w:t xml:space="preserve">the Religious Discrimination Act should also be accompanied by </w:t>
      </w:r>
      <w:proofErr w:type="gramStart"/>
      <w:r w:rsidR="00F20E7F">
        <w:t>sufficient</w:t>
      </w:r>
      <w:proofErr w:type="gramEnd"/>
      <w:r w:rsidR="00F20E7F">
        <w:t xml:space="preserve"> additional budget to </w:t>
      </w:r>
      <w:r w:rsidR="00B338F9">
        <w:t xml:space="preserve">provide </w:t>
      </w:r>
      <w:r w:rsidR="001E470E">
        <w:t xml:space="preserve">the necessary </w:t>
      </w:r>
      <w:r w:rsidR="00C722B3">
        <w:t xml:space="preserve">information and </w:t>
      </w:r>
      <w:r w:rsidR="00B338F9">
        <w:t>conciliation services in relation to the new grounds of discrimination.</w:t>
      </w:r>
    </w:p>
    <w:p w14:paraId="02F49846" w14:textId="69AF8C49" w:rsidR="00C86034" w:rsidRDefault="000078BF" w:rsidP="000078BF">
      <w:pPr>
        <w:pStyle w:val="Heading1"/>
      </w:pPr>
      <w:bookmarkStart w:id="40" w:name="_Toc20471766"/>
      <w:r>
        <w:t>Victimisation</w:t>
      </w:r>
      <w:bookmarkEnd w:id="40"/>
    </w:p>
    <w:p w14:paraId="063EEE54" w14:textId="5095A1FD" w:rsidR="00B01368" w:rsidRDefault="00CC0ABB" w:rsidP="0087598D">
      <w:pPr>
        <w:pStyle w:val="ListNumber"/>
      </w:pPr>
      <w:r>
        <w:t xml:space="preserve">The Bill would make it an offence </w:t>
      </w:r>
      <w:r w:rsidR="00846AA7">
        <w:t>to engage in victimisation</w:t>
      </w:r>
      <w:r w:rsidR="00E43470">
        <w:t>.</w:t>
      </w:r>
      <w:r w:rsidR="00E43470">
        <w:rPr>
          <w:rStyle w:val="EndnoteReference"/>
        </w:rPr>
        <w:endnoteReference w:id="64"/>
      </w:r>
      <w:r w:rsidR="00E43470">
        <w:t xml:space="preserve">  </w:t>
      </w:r>
      <w:r w:rsidR="00134977" w:rsidRPr="00134977">
        <w:t xml:space="preserve">Victimisation involves subjecting a person to a detriment, or threatening to do so, because the person has taken certain action related to the enforcement of </w:t>
      </w:r>
      <w:r w:rsidR="000839F3">
        <w:t xml:space="preserve">their </w:t>
      </w:r>
      <w:r w:rsidR="00134977" w:rsidRPr="00134977">
        <w:t xml:space="preserve">rights </w:t>
      </w:r>
      <w:r w:rsidR="000839F3">
        <w:t xml:space="preserve">or the rights of someone else </w:t>
      </w:r>
      <w:r w:rsidR="00134977" w:rsidRPr="00134977">
        <w:t xml:space="preserve">under Commonwealth discrimination law. </w:t>
      </w:r>
    </w:p>
    <w:p w14:paraId="499FE1F7" w14:textId="2296B531" w:rsidR="00E43470" w:rsidRDefault="00762F7D" w:rsidP="0087598D">
      <w:pPr>
        <w:pStyle w:val="ListNumber"/>
      </w:pPr>
      <w:r>
        <w:t>Similar</w:t>
      </w:r>
      <w:r w:rsidR="00F147C6">
        <w:t xml:space="preserve"> victimisation offences are found in the other Commonwealth discrimination Acts.</w:t>
      </w:r>
      <w:r w:rsidR="00E20602">
        <w:rPr>
          <w:rStyle w:val="EndnoteReference"/>
        </w:rPr>
        <w:endnoteReference w:id="65"/>
      </w:r>
    </w:p>
    <w:p w14:paraId="28B44BE8" w14:textId="6B1D1BA3" w:rsidR="00BF2C49" w:rsidRDefault="00211DD3" w:rsidP="0087598D">
      <w:pPr>
        <w:pStyle w:val="ListNumber"/>
      </w:pPr>
      <w:r>
        <w:lastRenderedPageBreak/>
        <w:t xml:space="preserve">A person may make a complaint to the Commission </w:t>
      </w:r>
      <w:r w:rsidR="002A151F">
        <w:t xml:space="preserve">alleging </w:t>
      </w:r>
      <w:r w:rsidR="00C20FFC">
        <w:t>unlawful discrimination.</w:t>
      </w:r>
      <w:r w:rsidR="00AA6C0F">
        <w:rPr>
          <w:rStyle w:val="EndnoteReference"/>
        </w:rPr>
        <w:endnoteReference w:id="66"/>
      </w:r>
      <w:r w:rsidR="00C20FFC">
        <w:t xml:space="preserve">  The definition of ‘unlawful discrimination’ includes </w:t>
      </w:r>
      <w:r w:rsidR="000426CE">
        <w:t>both:</w:t>
      </w:r>
    </w:p>
    <w:p w14:paraId="4A7A2787" w14:textId="51FD73B6" w:rsidR="000426CE" w:rsidRDefault="00AA6C0F" w:rsidP="000426CE">
      <w:pPr>
        <w:pStyle w:val="ListNumber"/>
        <w:numPr>
          <w:ilvl w:val="0"/>
          <w:numId w:val="45"/>
        </w:numPr>
      </w:pPr>
      <w:r>
        <w:t>a</w:t>
      </w:r>
      <w:r w:rsidR="000426CE">
        <w:t>cts, omissions or practices that constitute discrimination under the four Commonwealth discrimination Acts</w:t>
      </w:r>
      <w:r>
        <w:t>; and</w:t>
      </w:r>
    </w:p>
    <w:p w14:paraId="2B7A3173" w14:textId="2CED6A96" w:rsidR="00AA6C0F" w:rsidRDefault="00AA6C0F" w:rsidP="000426CE">
      <w:pPr>
        <w:pStyle w:val="ListNumber"/>
        <w:numPr>
          <w:ilvl w:val="0"/>
          <w:numId w:val="45"/>
        </w:numPr>
      </w:pPr>
      <w:r>
        <w:t>any conduct that is an offence under specified provisions of those Acts.</w:t>
      </w:r>
      <w:r w:rsidR="00A00BAA">
        <w:rPr>
          <w:rStyle w:val="EndnoteReference"/>
        </w:rPr>
        <w:endnoteReference w:id="67"/>
      </w:r>
    </w:p>
    <w:p w14:paraId="624C52C4" w14:textId="4510DFE6" w:rsidR="000839F3" w:rsidRDefault="00E5295F" w:rsidP="0087598D">
      <w:pPr>
        <w:pStyle w:val="ListNumber"/>
      </w:pPr>
      <w:r>
        <w:t xml:space="preserve">The Consequential </w:t>
      </w:r>
      <w:r w:rsidR="00A22A89">
        <w:t xml:space="preserve">Amendments Bill provides that the offences </w:t>
      </w:r>
      <w:r w:rsidR="00A10E30">
        <w:t xml:space="preserve">in Part 5 of the Bill, including </w:t>
      </w:r>
      <w:r w:rsidR="00A22A89">
        <w:t>victimisation</w:t>
      </w:r>
      <w:r w:rsidR="00A10E30">
        <w:t>, will</w:t>
      </w:r>
      <w:r w:rsidR="001E240C">
        <w:t xml:space="preserve"> also</w:t>
      </w:r>
      <w:r w:rsidR="00A10E30">
        <w:t xml:space="preserve"> fall within the definition of ‘unlawful discrimination’ in s 3(1) of the AHRC Act.</w:t>
      </w:r>
      <w:r w:rsidR="00526D2E">
        <w:rPr>
          <w:rStyle w:val="EndnoteReference"/>
        </w:rPr>
        <w:endnoteReference w:id="68"/>
      </w:r>
      <w:r w:rsidR="00A10E30">
        <w:t xml:space="preserve"> </w:t>
      </w:r>
      <w:r w:rsidR="002B63F8">
        <w:t xml:space="preserve"> As the Explanatory Notes make clear, this means that a person </w:t>
      </w:r>
      <w:r w:rsidR="00F25233">
        <w:t>can make a complaint to the Commission alleging that they have been the subject of victimisation</w:t>
      </w:r>
      <w:r w:rsidR="00A01110">
        <w:t xml:space="preserve"> and the Commission may inquire into and attempt to conciliate</w:t>
      </w:r>
      <w:r w:rsidR="006D18E8">
        <w:t xml:space="preserve"> such a complaint</w:t>
      </w:r>
      <w:r w:rsidR="00F25233">
        <w:t>.</w:t>
      </w:r>
      <w:r w:rsidR="006D18E8">
        <w:rPr>
          <w:rStyle w:val="EndnoteReference"/>
        </w:rPr>
        <w:endnoteReference w:id="69"/>
      </w:r>
      <w:r w:rsidR="00F25233">
        <w:t xml:space="preserve"> </w:t>
      </w:r>
    </w:p>
    <w:p w14:paraId="76877B48" w14:textId="5E7571A2" w:rsidR="001E240C" w:rsidRDefault="007B0FD9" w:rsidP="0087598D">
      <w:pPr>
        <w:pStyle w:val="ListNumber"/>
      </w:pPr>
      <w:r>
        <w:t xml:space="preserve">If a complaint that has been made to the Commission is </w:t>
      </w:r>
      <w:r w:rsidR="00EA4B76">
        <w:t>‘</w:t>
      </w:r>
      <w:r>
        <w:t>terminated</w:t>
      </w:r>
      <w:r w:rsidR="00EA4B76">
        <w:t>’</w:t>
      </w:r>
      <w:r>
        <w:t xml:space="preserve">, for example because the </w:t>
      </w:r>
      <w:r w:rsidR="00C60294">
        <w:t>President is satisfied that there is no reasonable prospect of the matter being sett</w:t>
      </w:r>
      <w:r w:rsidR="00EB1FDB">
        <w:t>l</w:t>
      </w:r>
      <w:r w:rsidR="00C60294">
        <w:t xml:space="preserve">ed by </w:t>
      </w:r>
      <w:r w:rsidR="00EB1FDB">
        <w:t xml:space="preserve">conciliation, the complainant may </w:t>
      </w:r>
      <w:r w:rsidR="006D6776">
        <w:t xml:space="preserve">make an application to the Federal Court or Federal Circuit Court alleging </w:t>
      </w:r>
      <w:r w:rsidR="006866F3">
        <w:t>unlawful discrimination</w:t>
      </w:r>
      <w:r w:rsidR="00B842BB">
        <w:t xml:space="preserve"> by one or more of the respondents to the terminated complaint</w:t>
      </w:r>
      <w:r w:rsidR="006866F3">
        <w:t>.</w:t>
      </w:r>
      <w:r w:rsidR="006866F3">
        <w:rPr>
          <w:rStyle w:val="EndnoteReference"/>
        </w:rPr>
        <w:endnoteReference w:id="70"/>
      </w:r>
    </w:p>
    <w:p w14:paraId="7CF2C33C" w14:textId="3C9AECDD" w:rsidR="00CD7902" w:rsidRDefault="00965F22" w:rsidP="0087598D">
      <w:pPr>
        <w:pStyle w:val="ListNumber"/>
      </w:pPr>
      <w:r>
        <w:t xml:space="preserve">An application alleging unlawful discrimination is a civil proceeding.  </w:t>
      </w:r>
      <w:r w:rsidR="00CD7902">
        <w:t xml:space="preserve">There is conflicting authority about whether </w:t>
      </w:r>
      <w:r>
        <w:t xml:space="preserve">such an application </w:t>
      </w:r>
      <w:r w:rsidR="00B842BB">
        <w:t xml:space="preserve">may include an allegation </w:t>
      </w:r>
      <w:r w:rsidR="005956E5">
        <w:t>that a respondent engaged in victimisation.</w:t>
      </w:r>
      <w:r w:rsidR="003A729A">
        <w:rPr>
          <w:rStyle w:val="EndnoteReference"/>
        </w:rPr>
        <w:endnoteReference w:id="71"/>
      </w:r>
      <w:r w:rsidR="00AB1BAE">
        <w:t xml:space="preserve">  The Commission </w:t>
      </w:r>
      <w:r w:rsidR="00810506">
        <w:t xml:space="preserve">considers that </w:t>
      </w:r>
      <w:r w:rsidR="00B74690">
        <w:t xml:space="preserve">the better view is that </w:t>
      </w:r>
      <w:r w:rsidR="00EA522D" w:rsidRPr="00EA522D">
        <w:t xml:space="preserve">a person who alleges that they have been victimised </w:t>
      </w:r>
      <w:r w:rsidR="00B74690">
        <w:t xml:space="preserve">has </w:t>
      </w:r>
      <w:r w:rsidR="00EA522D" w:rsidRPr="00EA522D">
        <w:t xml:space="preserve">the right to </w:t>
      </w:r>
      <w:r w:rsidR="00C6093D">
        <w:t xml:space="preserve">bring </w:t>
      </w:r>
      <w:r w:rsidR="006671D4">
        <w:t xml:space="preserve">a </w:t>
      </w:r>
      <w:r w:rsidR="00EA522D" w:rsidRPr="00EA522D">
        <w:t>civil action alleging victimisation once a complaint of unlawful discrimination is terminated by the Commission</w:t>
      </w:r>
      <w:r w:rsidR="00C6093D">
        <w:t xml:space="preserve">.  The Commission </w:t>
      </w:r>
      <w:r w:rsidR="00965128">
        <w:t>says that this result flows from a consideration of the statutory scheme, including its text, context and purpose.</w:t>
      </w:r>
    </w:p>
    <w:p w14:paraId="46343024" w14:textId="126BEF4B" w:rsidR="00C70C66" w:rsidRDefault="00731ADB" w:rsidP="0087598D">
      <w:pPr>
        <w:pStyle w:val="ListNumber"/>
      </w:pPr>
      <w:r>
        <w:t xml:space="preserve">In </w:t>
      </w:r>
      <w:r w:rsidR="007726F3">
        <w:t>September 2018, th</w:t>
      </w:r>
      <w:r w:rsidR="00965128">
        <w:t xml:space="preserve">e Commission </w:t>
      </w:r>
      <w:r w:rsidR="007726F3">
        <w:t xml:space="preserve">made detailed submissions on this issue to the Federal Court of Australia in a proceeding in which victimisation had been alleged.  </w:t>
      </w:r>
      <w:r w:rsidR="00C70C66">
        <w:t>Some of the key points made by the Commission were:</w:t>
      </w:r>
    </w:p>
    <w:p w14:paraId="77843AB0" w14:textId="317D889C" w:rsidR="00C70C66" w:rsidRDefault="00672660" w:rsidP="00C70C66">
      <w:pPr>
        <w:pStyle w:val="ListNumber"/>
        <w:numPr>
          <w:ilvl w:val="0"/>
          <w:numId w:val="45"/>
        </w:numPr>
      </w:pPr>
      <w:r>
        <w:t>Part IIB of the AHRC Act deals with redress for unlawful discrimination.  This include</w:t>
      </w:r>
      <w:r w:rsidR="001576CA">
        <w:t>s Div</w:t>
      </w:r>
      <w:r w:rsidR="006472D0">
        <w:t>ision</w:t>
      </w:r>
      <w:r w:rsidR="001576CA">
        <w:t xml:space="preserve"> 1, relating to conciliation of complaints of unlawful discrimination by the President and Div</w:t>
      </w:r>
      <w:r w:rsidR="006472D0">
        <w:t>ision</w:t>
      </w:r>
      <w:r w:rsidR="001576CA">
        <w:t xml:space="preserve"> 2, relating to proceedings alleging unlawful discrimination in the Federal Court and the Federal Circuit Court.</w:t>
      </w:r>
      <w:r w:rsidR="00050859">
        <w:t xml:space="preserve">  </w:t>
      </w:r>
      <w:r w:rsidR="00050859">
        <w:lastRenderedPageBreak/>
        <w:t>The structure of the Act suggests that the scope of conduct being considered at each stage is intended to be the same.</w:t>
      </w:r>
    </w:p>
    <w:p w14:paraId="083ED809" w14:textId="5234FB3B" w:rsidR="001576CA" w:rsidRDefault="00723D58" w:rsidP="00C70C66">
      <w:pPr>
        <w:pStyle w:val="ListNumber"/>
        <w:numPr>
          <w:ilvl w:val="0"/>
          <w:numId w:val="45"/>
        </w:numPr>
      </w:pPr>
      <w:r>
        <w:t xml:space="preserve">Allegations of victimisation are intimately connected with allegations of discrimination because victimisation </w:t>
      </w:r>
      <w:r w:rsidR="00F53D06">
        <w:t xml:space="preserve">typically involves </w:t>
      </w:r>
      <w:r w:rsidR="00D97008">
        <w:t xml:space="preserve">either </w:t>
      </w:r>
      <w:r w:rsidR="00F53D06">
        <w:t xml:space="preserve">retaliatory action because a person made a complaint </w:t>
      </w:r>
      <w:r w:rsidR="00AA4A87">
        <w:t xml:space="preserve">of discrimination </w:t>
      </w:r>
      <w:r w:rsidR="00F53D06">
        <w:t xml:space="preserve">to the Commission, or the causing of a detriment </w:t>
      </w:r>
      <w:r w:rsidR="00723A57">
        <w:t xml:space="preserve">to a person </w:t>
      </w:r>
      <w:r w:rsidR="00F53D06">
        <w:t xml:space="preserve">because </w:t>
      </w:r>
      <w:r w:rsidR="00723A57">
        <w:t xml:space="preserve">they </w:t>
      </w:r>
      <w:r w:rsidR="00D97008">
        <w:t>participated in conciliation processes of the Commission.</w:t>
      </w:r>
      <w:r w:rsidR="00B22292">
        <w:t xml:space="preserve">  As such, it is appropriate that</w:t>
      </w:r>
      <w:r w:rsidR="000F3500">
        <w:t>, along with the deterrence value that comes from victimisation being an offence,</w:t>
      </w:r>
      <w:r w:rsidR="00B22292">
        <w:t xml:space="preserve"> any civil action alleging discrimination </w:t>
      </w:r>
      <w:r w:rsidR="00050859">
        <w:t>be permitted to include allegations of victimisation.</w:t>
      </w:r>
    </w:p>
    <w:p w14:paraId="3605FD0B" w14:textId="18D7A42E" w:rsidR="00C67A6B" w:rsidRDefault="00C67A6B" w:rsidP="00C70C66">
      <w:pPr>
        <w:pStyle w:val="ListNumber"/>
        <w:numPr>
          <w:ilvl w:val="0"/>
          <w:numId w:val="45"/>
        </w:numPr>
      </w:pPr>
      <w:r>
        <w:t xml:space="preserve">The AHRC Act provides that the unlawful discrimination alleged in the application must be the same as (or the same in substance as) the unlawful discrimination </w:t>
      </w:r>
      <w:r w:rsidR="00CC689C">
        <w:t>that was the subject of the terminated complaint.</w:t>
      </w:r>
      <w:r w:rsidR="00CC689C">
        <w:rPr>
          <w:rStyle w:val="EndnoteReference"/>
        </w:rPr>
        <w:endnoteReference w:id="72"/>
      </w:r>
    </w:p>
    <w:p w14:paraId="1782A5C8" w14:textId="2EF81831" w:rsidR="00A5504B" w:rsidRDefault="00F60082" w:rsidP="00E81FA1">
      <w:pPr>
        <w:pStyle w:val="ListNumber"/>
        <w:numPr>
          <w:ilvl w:val="0"/>
          <w:numId w:val="45"/>
        </w:numPr>
      </w:pPr>
      <w:r>
        <w:t>The remedies that</w:t>
      </w:r>
      <w:r w:rsidR="002707EB">
        <w:t xml:space="preserve"> are available if </w:t>
      </w:r>
      <w:r w:rsidR="00A5504B">
        <w:t>the court is satisfied that there has been unlawful discrimination include a declaration that the respondent has committed unlawful discrimination</w:t>
      </w:r>
      <w:r w:rsidR="004310E9">
        <w:t xml:space="preserve"> and an order that the respondent not repeat or continue such unlawful discrimination</w:t>
      </w:r>
      <w:r w:rsidR="00A5504B">
        <w:t>.</w:t>
      </w:r>
      <w:r w:rsidR="00CC689C">
        <w:rPr>
          <w:rStyle w:val="EndnoteReference"/>
        </w:rPr>
        <w:endnoteReference w:id="73"/>
      </w:r>
      <w:r w:rsidR="00A5504B">
        <w:t xml:space="preserve"> </w:t>
      </w:r>
      <w:r w:rsidR="004310E9">
        <w:t xml:space="preserve"> Again, </w:t>
      </w:r>
      <w:r w:rsidR="00DA3D28">
        <w:t>the structure of the Act suggests that ‘unlawful discrimination’ has a consistent meaning, whether used in relation to the Commission’s conciliation processes or proceedings before a court.</w:t>
      </w:r>
    </w:p>
    <w:p w14:paraId="35229A53" w14:textId="2524722F" w:rsidR="009D3D29" w:rsidRDefault="009D3D29" w:rsidP="00E81FA1">
      <w:pPr>
        <w:pStyle w:val="ListNumber"/>
        <w:numPr>
          <w:ilvl w:val="0"/>
          <w:numId w:val="45"/>
        </w:numPr>
      </w:pPr>
      <w:r w:rsidRPr="00F05E22">
        <w:t>Allowing civil remedies for victimisation is consistent with the way in which victimisation matters under the SDA were dealt with immediately prior to the introduction of s 46PO</w:t>
      </w:r>
      <w:r w:rsidR="00FE663B">
        <w:t xml:space="preserve"> of the AHRC Act</w:t>
      </w:r>
      <w:r w:rsidRPr="00F05E22">
        <w:t>, when determinations by the Commission that victimisation had occurred could be the subject of civil enforcement proceedings in the Federal Court</w:t>
      </w:r>
      <w:r w:rsidR="00FE663B">
        <w:t>.</w:t>
      </w:r>
      <w:r w:rsidR="002021CC">
        <w:rPr>
          <w:rStyle w:val="EndnoteReference"/>
        </w:rPr>
        <w:endnoteReference w:id="74"/>
      </w:r>
    </w:p>
    <w:p w14:paraId="583A585F" w14:textId="4E3537A1" w:rsidR="00965128" w:rsidRDefault="007726F3" w:rsidP="00A5504B">
      <w:pPr>
        <w:pStyle w:val="ListNumber"/>
      </w:pPr>
      <w:r>
        <w:t xml:space="preserve">Ultimately, the hearing of </w:t>
      </w:r>
      <w:r w:rsidR="002C4C2A">
        <w:t xml:space="preserve">the </w:t>
      </w:r>
      <w:r>
        <w:t xml:space="preserve">matter </w:t>
      </w:r>
      <w:r w:rsidR="002C4C2A">
        <w:t xml:space="preserve">in which the Commission made those submissions </w:t>
      </w:r>
      <w:r>
        <w:t>was abandoned</w:t>
      </w:r>
      <w:r w:rsidR="002F6732">
        <w:t xml:space="preserve">.  </w:t>
      </w:r>
      <w:r w:rsidR="006C2DE6">
        <w:t>T</w:t>
      </w:r>
      <w:r w:rsidR="000F15A8">
        <w:t xml:space="preserve">he Commission continues to monitor cases in which victimisation </w:t>
      </w:r>
      <w:r w:rsidR="006A6E98">
        <w:t>is</w:t>
      </w:r>
      <w:r w:rsidR="006C2DE6">
        <w:t xml:space="preserve"> raised so that the same submissions can be made to the Court.  However, in the meantime, t</w:t>
      </w:r>
      <w:r w:rsidR="00DA5979">
        <w:t>he legal position on this issue remains uncertain as a result of conflicting authority of the Full Court of the Federal Court.</w:t>
      </w:r>
    </w:p>
    <w:p w14:paraId="0ADEF8F5" w14:textId="48818AA5" w:rsidR="00DA5979" w:rsidRDefault="00C70C66" w:rsidP="0087598D">
      <w:pPr>
        <w:pStyle w:val="ListNumber"/>
      </w:pPr>
      <w:r>
        <w:t xml:space="preserve">The Commission considers that </w:t>
      </w:r>
      <w:r w:rsidR="00F720CF">
        <w:t xml:space="preserve">the Consequential Amendments Bill is an appropriate vehicle to clarify </w:t>
      </w:r>
      <w:r w:rsidR="00357780">
        <w:t xml:space="preserve">the jurisdiction of the Federal Court and Federal Circuit Court to hear civil allegations of victimisation.  One </w:t>
      </w:r>
      <w:r w:rsidR="00357780">
        <w:lastRenderedPageBreak/>
        <w:t>way that this could be done would be by inserting a</w:t>
      </w:r>
      <w:r w:rsidR="000D471A">
        <w:t>nother</w:t>
      </w:r>
      <w:r w:rsidR="00357780">
        <w:t xml:space="preserve"> note </w:t>
      </w:r>
      <w:r w:rsidR="000D471A">
        <w:t xml:space="preserve">to s 46PO(1) confirming that an application made under that section </w:t>
      </w:r>
      <w:r w:rsidR="00FE29E5">
        <w:t xml:space="preserve">may include any conduct that amounts to ‘unlawful discrimination’ including </w:t>
      </w:r>
      <w:r w:rsidR="00A7187A">
        <w:t xml:space="preserve">allegations of </w:t>
      </w:r>
      <w:r w:rsidR="00FE29E5">
        <w:t xml:space="preserve">conduct that </w:t>
      </w:r>
      <w:r w:rsidR="00A7187A">
        <w:t xml:space="preserve">would be an offence under </w:t>
      </w:r>
      <w:r w:rsidR="00970DC3">
        <w:t xml:space="preserve">the provisions described in paragraphs (ca), (d), (e), </w:t>
      </w:r>
      <w:r w:rsidR="004F33E4">
        <w:t>(</w:t>
      </w:r>
      <w:proofErr w:type="spellStart"/>
      <w:r w:rsidR="004F33E4">
        <w:t>ea</w:t>
      </w:r>
      <w:proofErr w:type="spellEnd"/>
      <w:r w:rsidR="004F33E4">
        <w:t xml:space="preserve">) and </w:t>
      </w:r>
      <w:r w:rsidR="00970DC3">
        <w:t xml:space="preserve">(f) </w:t>
      </w:r>
      <w:r w:rsidR="004F33E4">
        <w:t xml:space="preserve">of the definition of ‘unlawful discrimination’.  </w:t>
      </w:r>
      <w:r w:rsidR="005464FB">
        <w:t xml:space="preserve">The Explanatory Notes could then be </w:t>
      </w:r>
      <w:r w:rsidR="006A071F">
        <w:t xml:space="preserve">updated </w:t>
      </w:r>
      <w:r w:rsidR="005464FB">
        <w:t xml:space="preserve">to </w:t>
      </w:r>
      <w:r w:rsidR="006A071F">
        <w:t xml:space="preserve">confirm the intention that a person making a complaint of victimisation to the Commission may also bring a civil action in court alleging victimisation </w:t>
      </w:r>
      <w:r w:rsidR="00E2093C">
        <w:t>if that complaint is terminated by the Commission.</w:t>
      </w:r>
    </w:p>
    <w:p w14:paraId="28F6D090" w14:textId="74E5C6D4" w:rsidR="00DC0506" w:rsidRPr="00DC0506" w:rsidRDefault="00DC0506" w:rsidP="00DC0506">
      <w:pPr>
        <w:pStyle w:val="ListNumber"/>
        <w:keepNext/>
        <w:numPr>
          <w:ilvl w:val="0"/>
          <w:numId w:val="0"/>
        </w:numPr>
        <w:ind w:left="1094"/>
        <w:rPr>
          <w:b/>
          <w:bCs/>
        </w:rPr>
      </w:pPr>
      <w:r w:rsidRPr="00DC0506">
        <w:rPr>
          <w:b/>
          <w:bCs/>
        </w:rPr>
        <w:t>Recommendation 1</w:t>
      </w:r>
      <w:r w:rsidR="00AA04DF">
        <w:rPr>
          <w:b/>
          <w:bCs/>
        </w:rPr>
        <w:t>2</w:t>
      </w:r>
    </w:p>
    <w:p w14:paraId="2E0AEF76" w14:textId="7675FE5C" w:rsidR="00DC0506" w:rsidRDefault="00DC0506" w:rsidP="00DC0506">
      <w:pPr>
        <w:pStyle w:val="ListNumber"/>
        <w:numPr>
          <w:ilvl w:val="0"/>
          <w:numId w:val="0"/>
        </w:numPr>
        <w:ind w:left="1094"/>
      </w:pPr>
      <w:r>
        <w:t>The Commission recommends that</w:t>
      </w:r>
      <w:r w:rsidR="00D34B86">
        <w:t xml:space="preserve"> the </w:t>
      </w:r>
      <w:r w:rsidR="00AC3E30" w:rsidRPr="003E3FFB">
        <w:rPr>
          <w:i/>
          <w:iCs/>
        </w:rPr>
        <w:t>Australian Human Rights Commission Act 1986</w:t>
      </w:r>
      <w:r w:rsidR="00AC3E30">
        <w:t xml:space="preserve"> (</w:t>
      </w:r>
      <w:proofErr w:type="spellStart"/>
      <w:r w:rsidR="00AC3E30">
        <w:t>Cth</w:t>
      </w:r>
      <w:proofErr w:type="spellEnd"/>
      <w:r w:rsidR="00AC3E30">
        <w:t xml:space="preserve">) </w:t>
      </w:r>
      <w:r w:rsidR="00D34B86">
        <w:t xml:space="preserve">be amended to clarify that an allegation of victimisation </w:t>
      </w:r>
      <w:r w:rsidR="006C384D">
        <w:t>included in a complaint of unlawful discrimination may for</w:t>
      </w:r>
      <w:r w:rsidR="00FA73E3">
        <w:t>m</w:t>
      </w:r>
      <w:r w:rsidR="006C384D">
        <w:t xml:space="preserve"> the basis of an application to the Federal Court or </w:t>
      </w:r>
      <w:r w:rsidR="00FA73E3">
        <w:t>Federal Circuit Court once that complaint has been terminated</w:t>
      </w:r>
      <w:r w:rsidR="00FC2FF8">
        <w:t xml:space="preserve"> by the Commission</w:t>
      </w:r>
      <w:r w:rsidR="00FA73E3">
        <w:t>.</w:t>
      </w:r>
    </w:p>
    <w:p w14:paraId="2B18F3C6" w14:textId="79162EE8" w:rsidR="00D3180D" w:rsidRDefault="00D3180D" w:rsidP="00D3180D">
      <w:pPr>
        <w:pStyle w:val="Heading1"/>
      </w:pPr>
      <w:bookmarkStart w:id="41" w:name="_Toc20471767"/>
      <w:r>
        <w:t>Freedom of Religion Bill</w:t>
      </w:r>
      <w:bookmarkEnd w:id="41"/>
    </w:p>
    <w:p w14:paraId="57FD0CB1" w14:textId="74B3A954" w:rsidR="00D3180D" w:rsidRDefault="00133339" w:rsidP="000C41F4">
      <w:pPr>
        <w:pStyle w:val="ListNumber"/>
      </w:pPr>
      <w:r>
        <w:t xml:space="preserve">The Freedom of Religion Bill </w:t>
      </w:r>
      <w:r w:rsidR="000728CB">
        <w:t>deals with</w:t>
      </w:r>
      <w:r w:rsidR="00A00C46">
        <w:t xml:space="preserve"> three of the other recommendations from the Religious Freedom Review. </w:t>
      </w:r>
    </w:p>
    <w:p w14:paraId="062C3CB5" w14:textId="33F31259" w:rsidR="000C41F4" w:rsidRDefault="000C41F4" w:rsidP="00D5418B">
      <w:pPr>
        <w:pStyle w:val="Heading2"/>
      </w:pPr>
      <w:bookmarkStart w:id="42" w:name="_Toc20471768"/>
      <w:r>
        <w:t xml:space="preserve">Objects </w:t>
      </w:r>
      <w:r w:rsidR="00D5418B">
        <w:t>clauses</w:t>
      </w:r>
      <w:bookmarkEnd w:id="42"/>
    </w:p>
    <w:p w14:paraId="4261B31B" w14:textId="6B3026EE" w:rsidR="00D5418B" w:rsidRDefault="00B63444" w:rsidP="00147BD2">
      <w:pPr>
        <w:pStyle w:val="ListNumber"/>
        <w:keepNext/>
      </w:pPr>
      <w:r>
        <w:t>Recommendation 3 of the Religious Freedom Review was that:</w:t>
      </w:r>
    </w:p>
    <w:p w14:paraId="3152701F" w14:textId="1C746FD9" w:rsidR="00B63444" w:rsidRDefault="00B63444" w:rsidP="00B63444">
      <w:pPr>
        <w:pStyle w:val="Quote"/>
      </w:pPr>
      <w:r>
        <w:t xml:space="preserve">Commonwealth, State and Territory governments should consider the use of objects, purposes or other interpretive clauses in anti-discrimination legislation to reflect the </w:t>
      </w:r>
      <w:r w:rsidR="00533E52">
        <w:t>equal status in international law of all human rights, including freedom of religion.</w:t>
      </w:r>
    </w:p>
    <w:p w14:paraId="10256BA7" w14:textId="6AB11711" w:rsidR="00045102" w:rsidRDefault="007424DF" w:rsidP="00045102">
      <w:pPr>
        <w:pStyle w:val="ListNumber"/>
      </w:pPr>
      <w:r>
        <w:t xml:space="preserve">In response to this recommendation, </w:t>
      </w:r>
      <w:r w:rsidR="00036531">
        <w:t xml:space="preserve">the Freedom of </w:t>
      </w:r>
      <w:r w:rsidR="00F26EC3">
        <w:t xml:space="preserve">Religion Bill </w:t>
      </w:r>
      <w:r w:rsidR="00FA03AA">
        <w:t xml:space="preserve">would add clauses to the RDA, SDA, DDA and ADA </w:t>
      </w:r>
      <w:r w:rsidR="00045102">
        <w:t>to confirm that:</w:t>
      </w:r>
    </w:p>
    <w:p w14:paraId="26CEDB2B" w14:textId="12D5AA77" w:rsidR="00045102" w:rsidRDefault="00045102" w:rsidP="00045102">
      <w:pPr>
        <w:pStyle w:val="Quote"/>
      </w:pPr>
      <w:r>
        <w:t>In giving effect to the objects of this Act</w:t>
      </w:r>
      <w:r w:rsidR="00C43CD0">
        <w:t>, regard is to be had to:</w:t>
      </w:r>
    </w:p>
    <w:p w14:paraId="29F962D6" w14:textId="7BFAA02E" w:rsidR="00C43CD0" w:rsidRDefault="00C43CD0" w:rsidP="00E62B98">
      <w:pPr>
        <w:pStyle w:val="Quote"/>
      </w:pPr>
      <w:r>
        <w:t xml:space="preserve">(a) </w:t>
      </w:r>
      <w:r>
        <w:tab/>
        <w:t>the indivisibility and universality of human rights; and</w:t>
      </w:r>
    </w:p>
    <w:p w14:paraId="7CE1CC70" w14:textId="23BF270D" w:rsidR="00C43CD0" w:rsidRPr="00C43CD0" w:rsidRDefault="00C43CD0" w:rsidP="00E62B98">
      <w:pPr>
        <w:pStyle w:val="Quote"/>
        <w:ind w:left="2160" w:hanging="720"/>
      </w:pPr>
      <w:r>
        <w:t>(b)</w:t>
      </w:r>
      <w:r>
        <w:tab/>
        <w:t>the principle that every person is free and equal in dignity and human rights.</w:t>
      </w:r>
    </w:p>
    <w:p w14:paraId="21A3C8D9" w14:textId="77777777" w:rsidR="00741A76" w:rsidRDefault="00E62B98" w:rsidP="000C41F4">
      <w:pPr>
        <w:pStyle w:val="ListNumber"/>
      </w:pPr>
      <w:r>
        <w:t xml:space="preserve">An equivalent clause is included in the Bill at clause </w:t>
      </w:r>
      <w:r w:rsidR="00741A76">
        <w:t xml:space="preserve">3(2).  </w:t>
      </w:r>
    </w:p>
    <w:p w14:paraId="1EEB7030" w14:textId="3344BC69" w:rsidR="00045102" w:rsidRDefault="00741A76" w:rsidP="000C41F4">
      <w:pPr>
        <w:pStyle w:val="ListNumber"/>
      </w:pPr>
      <w:r>
        <w:lastRenderedPageBreak/>
        <w:t>In the case of the RDA, the Freedom of Religion Bill would also insert a</w:t>
      </w:r>
      <w:r w:rsidR="00660CC4">
        <w:t xml:space="preserve">n </w:t>
      </w:r>
      <w:r>
        <w:t xml:space="preserve">objects clause as </w:t>
      </w:r>
      <w:proofErr w:type="spellStart"/>
      <w:r>
        <w:t>new s</w:t>
      </w:r>
      <w:proofErr w:type="spellEnd"/>
      <w:r>
        <w:t> 2A.</w:t>
      </w:r>
    </w:p>
    <w:p w14:paraId="6EFCE055" w14:textId="78ADD8DA" w:rsidR="00660CC4" w:rsidRDefault="00660CC4" w:rsidP="000C41F4">
      <w:pPr>
        <w:pStyle w:val="ListNumber"/>
      </w:pPr>
      <w:r>
        <w:t xml:space="preserve">The Commission </w:t>
      </w:r>
      <w:r w:rsidR="000559D2">
        <w:t xml:space="preserve">supports these changes.  </w:t>
      </w:r>
      <w:r w:rsidR="009B665D">
        <w:t xml:space="preserve">The changes are more than merely </w:t>
      </w:r>
      <w:r w:rsidR="009E161A">
        <w:t xml:space="preserve">preambles to the respective pieces of legislation.  They reflect the way in which </w:t>
      </w:r>
      <w:r w:rsidR="0094202A">
        <w:t xml:space="preserve">human rights law operates in practice and recognise that when there </w:t>
      </w:r>
      <w:r w:rsidR="008332B3">
        <w:t>are competing human rights claims</w:t>
      </w:r>
      <w:r w:rsidR="0094202A">
        <w:t xml:space="preserve">, </w:t>
      </w:r>
      <w:r w:rsidR="007F155C">
        <w:t xml:space="preserve">there is a need to </w:t>
      </w:r>
      <w:r w:rsidR="008332B3">
        <w:t xml:space="preserve">reconcile those claims in a way that best accommodates their </w:t>
      </w:r>
      <w:r w:rsidR="001D6B15">
        <w:t>different requirements.</w:t>
      </w:r>
    </w:p>
    <w:p w14:paraId="0EB00634" w14:textId="1D191236" w:rsidR="001413E9" w:rsidRDefault="00DB6B43" w:rsidP="000C41F4">
      <w:pPr>
        <w:pStyle w:val="ListNumber"/>
      </w:pPr>
      <w:r>
        <w:t xml:space="preserve">When the Commission made its submission to the Religious Freedom Review, it observed that any reform designed to further protect religious freedom should be done in </w:t>
      </w:r>
      <w:r w:rsidR="00B1412E">
        <w:t xml:space="preserve">such </w:t>
      </w:r>
      <w:r>
        <w:t xml:space="preserve">a way </w:t>
      </w:r>
      <w:r w:rsidR="00B1412E">
        <w:t>that promotes human rights in their universality and indivisibility.</w:t>
      </w:r>
      <w:r w:rsidR="00ED0529">
        <w:rPr>
          <w:rStyle w:val="EndnoteReference"/>
        </w:rPr>
        <w:endnoteReference w:id="75"/>
      </w:r>
      <w:r w:rsidR="00B1412E">
        <w:t xml:space="preserve">  </w:t>
      </w:r>
    </w:p>
    <w:p w14:paraId="40652CFD" w14:textId="709554C0" w:rsidR="001D6B15" w:rsidRDefault="00B1412E" w:rsidP="000C41F4">
      <w:pPr>
        <w:pStyle w:val="ListNumber"/>
      </w:pPr>
      <w:r>
        <w:t xml:space="preserve">For reasons </w:t>
      </w:r>
      <w:r w:rsidR="00CE1821">
        <w:t xml:space="preserve">discussed earlier, the Commission considers that the present Bill does not achieve this balance, particularly </w:t>
      </w:r>
      <w:r w:rsidR="001413E9">
        <w:t>in the overriding of Commonwealth, State and Territory law in clause 41 of the Bill and the deeming provisions in clause</w:t>
      </w:r>
      <w:r w:rsidR="00C656D7">
        <w:t>s</w:t>
      </w:r>
      <w:r w:rsidR="001413E9">
        <w:t xml:space="preserve"> 8(3)</w:t>
      </w:r>
      <w:r w:rsidR="00F6200E">
        <w:t>–</w:t>
      </w:r>
      <w:r w:rsidR="001413E9">
        <w:t xml:space="preserve">(6) of the Bill which limit a full consideration of relevant </w:t>
      </w:r>
      <w:r w:rsidR="00D543E6">
        <w:t>factors when assessing whether there has been indirect discrimination.  Those clauses seek to advance one right at the expense of others.</w:t>
      </w:r>
    </w:p>
    <w:p w14:paraId="7EACABC3" w14:textId="5BB14F4D" w:rsidR="00D5418B" w:rsidRDefault="00D5418B" w:rsidP="00D5418B">
      <w:pPr>
        <w:pStyle w:val="Heading2"/>
      </w:pPr>
      <w:bookmarkStart w:id="43" w:name="_Toc20471769"/>
      <w:r>
        <w:t>Amendment to Charites Act</w:t>
      </w:r>
      <w:bookmarkEnd w:id="43"/>
    </w:p>
    <w:p w14:paraId="07797A36" w14:textId="01BDE59D" w:rsidR="00BD22C3" w:rsidRDefault="00254930" w:rsidP="000C41F4">
      <w:pPr>
        <w:pStyle w:val="ListNumber"/>
      </w:pPr>
      <w:r>
        <w:t xml:space="preserve">The Religious Freedom Bill would introduce a new s 11(2) into the </w:t>
      </w:r>
      <w:r w:rsidRPr="00254930">
        <w:rPr>
          <w:i/>
          <w:iCs/>
        </w:rPr>
        <w:t>Charities Act 2013</w:t>
      </w:r>
      <w:r>
        <w:t xml:space="preserve"> (</w:t>
      </w:r>
      <w:proofErr w:type="spellStart"/>
      <w:r>
        <w:t>Cth</w:t>
      </w:r>
      <w:proofErr w:type="spellEnd"/>
      <w:r>
        <w:t xml:space="preserve">) </w:t>
      </w:r>
      <w:r w:rsidR="00D13478">
        <w:t xml:space="preserve">(Charities Act) </w:t>
      </w:r>
      <w:r>
        <w:t>in the following form:</w:t>
      </w:r>
    </w:p>
    <w:p w14:paraId="6E0C1D8E" w14:textId="4FE083C3" w:rsidR="00254930" w:rsidRDefault="00254930" w:rsidP="00254930">
      <w:pPr>
        <w:pStyle w:val="Quote"/>
      </w:pPr>
      <w:r>
        <w:t xml:space="preserve">To avoid doubt, the purpose of engaging in, or promoting, activities that support a view of marriage </w:t>
      </w:r>
      <w:r w:rsidR="00CE3B20">
        <w:t xml:space="preserve">as a union of a man and a woman to the exclusions of all others, voluntarily </w:t>
      </w:r>
      <w:proofErr w:type="gramStart"/>
      <w:r w:rsidR="00CE3B20">
        <w:t>entered into</w:t>
      </w:r>
      <w:proofErr w:type="gramEnd"/>
      <w:r w:rsidR="00CE3B20">
        <w:t xml:space="preserve"> for life, is not, of itself, a </w:t>
      </w:r>
      <w:r w:rsidR="00CE3B20" w:rsidRPr="00CE3B20">
        <w:rPr>
          <w:b/>
          <w:bCs/>
          <w:i/>
          <w:iCs w:val="0"/>
        </w:rPr>
        <w:t>disqualifying purpose</w:t>
      </w:r>
      <w:r w:rsidR="00CE3B20">
        <w:t>.</w:t>
      </w:r>
    </w:p>
    <w:p w14:paraId="7975369E" w14:textId="2D29EF84" w:rsidR="00975CC2" w:rsidRDefault="00975CC2" w:rsidP="000C41F4">
      <w:pPr>
        <w:pStyle w:val="ListNumber"/>
      </w:pPr>
      <w:r>
        <w:t xml:space="preserve">Similar amendments were proposed but not passed </w:t>
      </w:r>
      <w:r w:rsidR="006C0647">
        <w:t>during the</w:t>
      </w:r>
      <w:r w:rsidR="002D568E">
        <w:t xml:space="preserve"> parliamentary</w:t>
      </w:r>
      <w:r w:rsidR="006C0647">
        <w:t xml:space="preserve"> debate on the </w:t>
      </w:r>
      <w:r w:rsidR="006C0647" w:rsidRPr="006C0647">
        <w:t>Marriage Amendment (Definition and Religious Freedoms) Bill 2017</w:t>
      </w:r>
      <w:r w:rsidR="006C0647">
        <w:t xml:space="preserve"> (</w:t>
      </w:r>
      <w:proofErr w:type="spellStart"/>
      <w:r w:rsidR="006C0647">
        <w:t>Cth</w:t>
      </w:r>
      <w:proofErr w:type="spellEnd"/>
      <w:r w:rsidR="006C0647">
        <w:t>).</w:t>
      </w:r>
      <w:r w:rsidR="007F590C">
        <w:rPr>
          <w:rStyle w:val="EndnoteReference"/>
        </w:rPr>
        <w:endnoteReference w:id="76"/>
      </w:r>
      <w:r w:rsidR="00987DB1">
        <w:t xml:space="preserve">  At the time those amendments were proposed, </w:t>
      </w:r>
      <w:r w:rsidR="0099487D">
        <w:t>advice was tabled from the Commissioner of Taxation and the Acting Commissioner of Australian Charities and Not-for-profits Commission</w:t>
      </w:r>
      <w:r w:rsidR="00AC7DBE">
        <w:t xml:space="preserve"> </w:t>
      </w:r>
      <w:r w:rsidR="009D4B4F">
        <w:t xml:space="preserve">(ACNC) </w:t>
      </w:r>
      <w:r w:rsidR="00AC7DBE">
        <w:t>to the effect that the amendments were not necessary</w:t>
      </w:r>
      <w:r w:rsidR="00A74D03">
        <w:t xml:space="preserve"> in order to protect the status of religious charities</w:t>
      </w:r>
      <w:r w:rsidR="00AC7DBE">
        <w:t>.</w:t>
      </w:r>
      <w:r w:rsidR="00801DA2">
        <w:rPr>
          <w:rStyle w:val="EndnoteReference"/>
        </w:rPr>
        <w:endnoteReference w:id="77"/>
      </w:r>
    </w:p>
    <w:p w14:paraId="432541B0" w14:textId="5A953A6D" w:rsidR="0025421B" w:rsidRDefault="00AC7DBE" w:rsidP="0025421B">
      <w:pPr>
        <w:pStyle w:val="ListNumber"/>
      </w:pPr>
      <w:r>
        <w:t xml:space="preserve">The Religious Freedom Review considered </w:t>
      </w:r>
      <w:r w:rsidR="00640DDF">
        <w:t>submissions in relation to this issue and recommended</w:t>
      </w:r>
      <w:r w:rsidR="00EF2501">
        <w:t xml:space="preserve"> a change to the Charities Act, not </w:t>
      </w:r>
      <w:r w:rsidR="00D13478">
        <w:t xml:space="preserve">because this would have the effect of </w:t>
      </w:r>
      <w:r w:rsidR="001A1B0A">
        <w:t xml:space="preserve">changing </w:t>
      </w:r>
      <w:r w:rsidR="000C7F50">
        <w:t xml:space="preserve">existing </w:t>
      </w:r>
      <w:r w:rsidR="001A1B0A">
        <w:t xml:space="preserve">legal rights, but </w:t>
      </w:r>
      <w:r w:rsidR="001A1B0A">
        <w:lastRenderedPageBreak/>
        <w:t xml:space="preserve">rather to provide </w:t>
      </w:r>
      <w:r w:rsidR="0025421B">
        <w:t>charities</w:t>
      </w:r>
      <w:r w:rsidR="001A1B0A">
        <w:t xml:space="preserve"> with some comfort</w:t>
      </w:r>
      <w:r w:rsidR="00EA4B76">
        <w:t>,</w:t>
      </w:r>
      <w:r w:rsidR="001A1B0A">
        <w:t xml:space="preserve"> given </w:t>
      </w:r>
      <w:r w:rsidR="008A703F">
        <w:t xml:space="preserve">the </w:t>
      </w:r>
      <w:r w:rsidR="0025421B">
        <w:t xml:space="preserve">concerns that </w:t>
      </w:r>
      <w:r w:rsidR="00072160">
        <w:t>some</w:t>
      </w:r>
      <w:r w:rsidR="0025421B">
        <w:t xml:space="preserve"> had expressed</w:t>
      </w:r>
      <w:r w:rsidR="007A5A2B">
        <w:t xml:space="preserve"> in relation to what they </w:t>
      </w:r>
      <w:r w:rsidR="00116F8B">
        <w:t>suggested</w:t>
      </w:r>
      <w:r w:rsidR="007A5A2B">
        <w:t xml:space="preserve"> were comparable cases in other countries</w:t>
      </w:r>
      <w:r w:rsidR="0025421B">
        <w:t>:</w:t>
      </w:r>
    </w:p>
    <w:p w14:paraId="0755D296" w14:textId="74B86EFD" w:rsidR="0025421B" w:rsidRDefault="0025421B" w:rsidP="0025421B">
      <w:pPr>
        <w:pStyle w:val="Quote"/>
      </w:pPr>
      <w:r>
        <w:t xml:space="preserve">The Panel does not consider charities, established for a religious purpose, which continue to advocate their religious views, including a ‘traditional’ view of marriage, to be at risk of losing their charitable status under Australian law.  The Panel was reluctant to draw too many inferences from overseas experience which turned on different legislation and specific facts in those cases.  However, the Panel can see a benefit to assist certainty, and could see no </w:t>
      </w:r>
      <w:proofErr w:type="gramStart"/>
      <w:r>
        <w:t>particular harm</w:t>
      </w:r>
      <w:proofErr w:type="gramEnd"/>
      <w:r>
        <w:t>, in an amendment similar to that suggested by the Acting Commissioner of the ACNC to put the immediate issue raised by the legalisation of same-sex marriage beyond doubt.</w:t>
      </w:r>
      <w:r>
        <w:rPr>
          <w:rStyle w:val="EndnoteReference"/>
        </w:rPr>
        <w:endnoteReference w:id="78"/>
      </w:r>
    </w:p>
    <w:p w14:paraId="7087BBA7" w14:textId="351A72A0" w:rsidR="00D5418B" w:rsidRDefault="002C06FC" w:rsidP="000C41F4">
      <w:pPr>
        <w:pStyle w:val="ListNumber"/>
      </w:pPr>
      <w:r>
        <w:t>Recommendation 3 of the Religious Freedom Review was that:</w:t>
      </w:r>
    </w:p>
    <w:p w14:paraId="7A487C3E" w14:textId="382CCD23" w:rsidR="002C06FC" w:rsidRDefault="00B316A0" w:rsidP="00851D92">
      <w:pPr>
        <w:pStyle w:val="Quote"/>
      </w:pPr>
      <w:r>
        <w:t xml:space="preserve">The Commonwealth should amend section 11 of the </w:t>
      </w:r>
      <w:r w:rsidRPr="00FC43CE">
        <w:rPr>
          <w:i/>
          <w:iCs w:val="0"/>
        </w:rPr>
        <w:t>Charities Act 2013</w:t>
      </w:r>
      <w:r>
        <w:t xml:space="preserve"> to clarify that advocacy of a ‘traditional’ view of marriage would not, of itself, amount to </w:t>
      </w:r>
      <w:r w:rsidR="00FC43CE">
        <w:t>a ‘disqualifying purpose’.</w:t>
      </w:r>
    </w:p>
    <w:p w14:paraId="26AF3691" w14:textId="3A70FB69" w:rsidR="001665E0" w:rsidRDefault="008C628C" w:rsidP="002E725C">
      <w:pPr>
        <w:pStyle w:val="ListNumber"/>
      </w:pPr>
      <w:r>
        <w:t xml:space="preserve">Although the subject of a recommendation, the case for making this change was not strongly put by the Panel.  </w:t>
      </w:r>
      <w:r w:rsidR="001665E0">
        <w:t xml:space="preserve">In assessing whether </w:t>
      </w:r>
      <w:r w:rsidR="00C2200D">
        <w:t xml:space="preserve">the amendment proposed by the Religious Freedom Bill should </w:t>
      </w:r>
      <w:r>
        <w:t xml:space="preserve">now </w:t>
      </w:r>
      <w:r w:rsidR="00C2200D">
        <w:t xml:space="preserve">be made, it would be necessary to weigh up the following </w:t>
      </w:r>
      <w:r w:rsidR="003B0334">
        <w:t>issues</w:t>
      </w:r>
      <w:r w:rsidR="00BE58A7">
        <w:t>.</w:t>
      </w:r>
    </w:p>
    <w:p w14:paraId="17DF1FC4" w14:textId="214C4A6B" w:rsidR="001665E0" w:rsidRDefault="003B0334" w:rsidP="002E725C">
      <w:pPr>
        <w:pStyle w:val="ListNumber"/>
      </w:pPr>
      <w:r>
        <w:t xml:space="preserve">First, </w:t>
      </w:r>
      <w:r w:rsidR="0043734C">
        <w:t xml:space="preserve">based on the assessment of the Panel, there does not appear to be any legal need </w:t>
      </w:r>
      <w:r w:rsidR="002D568E">
        <w:t xml:space="preserve">to </w:t>
      </w:r>
      <w:r w:rsidR="00BE58A7">
        <w:t>make the amendment.</w:t>
      </w:r>
      <w:r w:rsidR="00CF52AA">
        <w:t xml:space="preserve">  </w:t>
      </w:r>
    </w:p>
    <w:p w14:paraId="2BE301D4" w14:textId="04DF028C" w:rsidR="00365A3C" w:rsidRDefault="00BE58A7" w:rsidP="00E81FA1">
      <w:pPr>
        <w:pStyle w:val="ListNumber"/>
      </w:pPr>
      <w:r>
        <w:t xml:space="preserve">Secondly, </w:t>
      </w:r>
      <w:r w:rsidR="00623731">
        <w:t>given the passage of time since the</w:t>
      </w:r>
      <w:r w:rsidR="002D568E">
        <w:t xml:space="preserve"> </w:t>
      </w:r>
      <w:r w:rsidR="002D568E" w:rsidRPr="00B45DC5">
        <w:rPr>
          <w:i/>
          <w:iCs/>
        </w:rPr>
        <w:t xml:space="preserve">Marriage Amendment (Definition and Religious Freedoms) </w:t>
      </w:r>
      <w:r w:rsidR="00B45DC5" w:rsidRPr="00B45DC5">
        <w:rPr>
          <w:i/>
          <w:iCs/>
        </w:rPr>
        <w:t>Act 2017</w:t>
      </w:r>
      <w:r w:rsidR="00B45DC5">
        <w:t xml:space="preserve"> (</w:t>
      </w:r>
      <w:proofErr w:type="spellStart"/>
      <w:r w:rsidR="00B45DC5">
        <w:t>Cth</w:t>
      </w:r>
      <w:proofErr w:type="spellEnd"/>
      <w:r w:rsidR="00B45DC5">
        <w:t xml:space="preserve">) </w:t>
      </w:r>
      <w:r w:rsidR="00F003E8">
        <w:t xml:space="preserve">was </w:t>
      </w:r>
      <w:r w:rsidR="00C77CC0">
        <w:t>enacted</w:t>
      </w:r>
      <w:r w:rsidR="00F003E8">
        <w:t>, the concerns expressed by charities to the Religious Freedom Review may no</w:t>
      </w:r>
      <w:r w:rsidR="00AE295C">
        <w:t xml:space="preserve"> longer be as pressing.  </w:t>
      </w:r>
      <w:r w:rsidR="00022485">
        <w:t xml:space="preserve">The legislation was </w:t>
      </w:r>
      <w:r w:rsidR="00B10195">
        <w:t>assent</w:t>
      </w:r>
      <w:r w:rsidR="0097432C">
        <w:t xml:space="preserve">ed to </w:t>
      </w:r>
      <w:r w:rsidR="00022485">
        <w:t xml:space="preserve">on 8 December 2017.  </w:t>
      </w:r>
      <w:r w:rsidR="00AE295C">
        <w:t xml:space="preserve">The </w:t>
      </w:r>
      <w:r w:rsidR="008B46CC">
        <w:t xml:space="preserve">terms of reference for the </w:t>
      </w:r>
      <w:r w:rsidR="00AE295C">
        <w:t xml:space="preserve">Panel </w:t>
      </w:r>
      <w:r w:rsidR="008B46CC">
        <w:t>were released the following week and submissions were called for by</w:t>
      </w:r>
      <w:r w:rsidR="00A029BD">
        <w:t xml:space="preserve"> 31 January 2018 (later extended to 14 February 2018).  The </w:t>
      </w:r>
      <w:r w:rsidR="0015019F">
        <w:t xml:space="preserve">Panel </w:t>
      </w:r>
      <w:r w:rsidR="004E55BC">
        <w:t xml:space="preserve">conducted its review expeditiously and </w:t>
      </w:r>
      <w:r w:rsidR="0015019F">
        <w:t xml:space="preserve">reported its findings to the Prime Minister </w:t>
      </w:r>
      <w:r w:rsidR="00365A3C">
        <w:t>on 18 May 2018</w:t>
      </w:r>
      <w:r w:rsidR="00A029BD">
        <w:t xml:space="preserve">.  It has now been almost two years since </w:t>
      </w:r>
      <w:r w:rsidR="00551118">
        <w:t xml:space="preserve">the legislation was passed and </w:t>
      </w:r>
      <w:r w:rsidR="0016224C">
        <w:t xml:space="preserve">the Commission is </w:t>
      </w:r>
      <w:r w:rsidR="0016224C" w:rsidRPr="0016224C">
        <w:t>not aware of any</w:t>
      </w:r>
      <w:r w:rsidR="003269DE">
        <w:t xml:space="preserve"> suggestion that a</w:t>
      </w:r>
      <w:r w:rsidR="0016224C" w:rsidRPr="0016224C">
        <w:t xml:space="preserve"> charity </w:t>
      </w:r>
      <w:r w:rsidR="00A97EEF">
        <w:t>has been</w:t>
      </w:r>
      <w:r w:rsidR="003269DE">
        <w:t xml:space="preserve"> at risk of </w:t>
      </w:r>
      <w:r w:rsidR="0016224C" w:rsidRPr="0016224C">
        <w:t xml:space="preserve">losing its </w:t>
      </w:r>
      <w:r w:rsidR="007837AF">
        <w:t xml:space="preserve">charitable </w:t>
      </w:r>
      <w:r w:rsidR="0016224C" w:rsidRPr="0016224C">
        <w:t>status as a result of advocating for a ‘traditional’ view of marriage</w:t>
      </w:r>
      <w:r w:rsidR="00365A3C">
        <w:t>.</w:t>
      </w:r>
    </w:p>
    <w:p w14:paraId="54A9006B" w14:textId="16B6BE78" w:rsidR="00E374EC" w:rsidRDefault="007837AF" w:rsidP="002E725C">
      <w:pPr>
        <w:pStyle w:val="ListNumber"/>
      </w:pPr>
      <w:r>
        <w:t xml:space="preserve">Thirdly, </w:t>
      </w:r>
      <w:r w:rsidR="001420A4">
        <w:t>in assessing whether any harm would be caused by the amendment</w:t>
      </w:r>
      <w:r w:rsidR="009311DC">
        <w:t xml:space="preserve">, </w:t>
      </w:r>
      <w:r w:rsidR="00AD1F1A">
        <w:t xml:space="preserve">the views of </w:t>
      </w:r>
      <w:r w:rsidR="008E2DB7">
        <w:t xml:space="preserve">people </w:t>
      </w:r>
      <w:r w:rsidR="00DE4B51">
        <w:t xml:space="preserve">who supported </w:t>
      </w:r>
      <w:r w:rsidR="009448EC">
        <w:t xml:space="preserve">the marriage equality legislation </w:t>
      </w:r>
      <w:r w:rsidR="00164596">
        <w:t xml:space="preserve">should also be </w:t>
      </w:r>
      <w:proofErr w:type="gramStart"/>
      <w:r w:rsidR="00164596">
        <w:t>taken into account</w:t>
      </w:r>
      <w:proofErr w:type="gramEnd"/>
      <w:r w:rsidR="00164596">
        <w:t xml:space="preserve">.  </w:t>
      </w:r>
      <w:r w:rsidR="008D13AD">
        <w:t xml:space="preserve">Many people who </w:t>
      </w:r>
      <w:r w:rsidR="00A517E3">
        <w:lastRenderedPageBreak/>
        <w:t xml:space="preserve">expressed their support </w:t>
      </w:r>
      <w:r w:rsidR="008D13AD">
        <w:t>for marriage equality</w:t>
      </w:r>
      <w:r w:rsidR="00A517E3">
        <w:t xml:space="preserve">, including through the </w:t>
      </w:r>
      <w:r w:rsidR="00BA4FE9">
        <w:t>2017</w:t>
      </w:r>
      <w:r w:rsidR="00A517E3">
        <w:t xml:space="preserve"> postal </w:t>
      </w:r>
      <w:r w:rsidR="00716944">
        <w:t>survey</w:t>
      </w:r>
      <w:r w:rsidR="00A517E3">
        <w:t>,</w:t>
      </w:r>
      <w:r w:rsidR="008D13AD">
        <w:t xml:space="preserve"> did so because they considered that the previous definition was discriminatory and </w:t>
      </w:r>
      <w:r w:rsidR="001A1A48">
        <w:t xml:space="preserve">did not provide equal status to LGBTI people.  </w:t>
      </w:r>
      <w:r w:rsidR="007975C3">
        <w:t>I</w:t>
      </w:r>
      <w:r w:rsidR="00164596">
        <w:t xml:space="preserve">t </w:t>
      </w:r>
      <w:r w:rsidR="00E374EC">
        <w:t xml:space="preserve">would be </w:t>
      </w:r>
      <w:r w:rsidR="00164596">
        <w:t xml:space="preserve">reasonable to </w:t>
      </w:r>
      <w:r w:rsidR="00E374EC">
        <w:t>consider that</w:t>
      </w:r>
      <w:r w:rsidR="00A6021C">
        <w:t xml:space="preserve"> </w:t>
      </w:r>
      <w:r w:rsidR="00397389">
        <w:t xml:space="preserve">some </w:t>
      </w:r>
      <w:r w:rsidR="005025D8">
        <w:t xml:space="preserve">LGBTI people, </w:t>
      </w:r>
      <w:r w:rsidR="00170D50">
        <w:t xml:space="preserve">and </w:t>
      </w:r>
      <w:r w:rsidR="009264AE">
        <w:t>perhaps</w:t>
      </w:r>
      <w:r w:rsidR="00170D50">
        <w:t xml:space="preserve"> the majority of Australians who voted </w:t>
      </w:r>
      <w:r w:rsidR="005025D8">
        <w:t xml:space="preserve">to </w:t>
      </w:r>
      <w:r w:rsidR="00C9396C">
        <w:t xml:space="preserve">change the </w:t>
      </w:r>
      <w:r w:rsidR="00D3712A">
        <w:t xml:space="preserve">definition of marriage, may be concerned to see </w:t>
      </w:r>
      <w:r w:rsidR="00166B3B">
        <w:t xml:space="preserve">the wording of the previous </w:t>
      </w:r>
      <w:r w:rsidR="00D3712A">
        <w:t>definition reintroduced in other Commonwealth legislation</w:t>
      </w:r>
      <w:r w:rsidR="0080490B">
        <w:t>, albeit as a ‘view of marriage’</w:t>
      </w:r>
      <w:r w:rsidR="00637FB9">
        <w:t xml:space="preserve"> rather than a definition</w:t>
      </w:r>
      <w:r w:rsidR="00E75EA3">
        <w:t xml:space="preserve">, </w:t>
      </w:r>
      <w:r w:rsidR="001669B4">
        <w:t xml:space="preserve">particularly </w:t>
      </w:r>
      <w:r w:rsidR="00E75EA3">
        <w:t xml:space="preserve">where there </w:t>
      </w:r>
      <w:r w:rsidR="003D21A5">
        <w:t>is</w:t>
      </w:r>
      <w:r w:rsidR="00E75EA3">
        <w:t xml:space="preserve"> not a legal n</w:t>
      </w:r>
      <w:r w:rsidR="001669B4">
        <w:t>eed to do so</w:t>
      </w:r>
      <w:r w:rsidR="00D3712A">
        <w:t>.</w:t>
      </w:r>
    </w:p>
    <w:p w14:paraId="16D1DC8C" w14:textId="004B09F3" w:rsidR="00533CA5" w:rsidRDefault="00533CA5" w:rsidP="002E725C">
      <w:pPr>
        <w:pStyle w:val="ListNumber"/>
      </w:pPr>
      <w:r>
        <w:t xml:space="preserve">The Commission expects that </w:t>
      </w:r>
      <w:r w:rsidR="00AB4DCF">
        <w:t xml:space="preserve">the Department will receive submissions on these issues </w:t>
      </w:r>
      <w:proofErr w:type="gramStart"/>
      <w:r w:rsidR="00AB4DCF">
        <w:t>during the course of</w:t>
      </w:r>
      <w:proofErr w:type="gramEnd"/>
      <w:r w:rsidR="00AB4DCF">
        <w:t xml:space="preserve"> this public consultation process.</w:t>
      </w:r>
    </w:p>
    <w:p w14:paraId="6BB0B3CA" w14:textId="5EEAF40A" w:rsidR="00D5418B" w:rsidRDefault="00D5418B" w:rsidP="00D5418B">
      <w:pPr>
        <w:pStyle w:val="Heading2"/>
      </w:pPr>
      <w:bookmarkStart w:id="44" w:name="_Toc20471770"/>
      <w:r>
        <w:t>Amendment to Marriage Act</w:t>
      </w:r>
      <w:bookmarkEnd w:id="44"/>
    </w:p>
    <w:p w14:paraId="05FADD76" w14:textId="430661A8" w:rsidR="00300A6A" w:rsidRDefault="00300A6A" w:rsidP="0081210E">
      <w:pPr>
        <w:pStyle w:val="ListNumber"/>
      </w:pPr>
      <w:r>
        <w:t>Section 47</w:t>
      </w:r>
      <w:proofErr w:type="gramStart"/>
      <w:r>
        <w:t>B</w:t>
      </w:r>
      <w:r w:rsidR="00602EAB">
        <w:t>(</w:t>
      </w:r>
      <w:proofErr w:type="gramEnd"/>
      <w:r w:rsidR="00602EAB">
        <w:t>1)</w:t>
      </w:r>
      <w:r>
        <w:t xml:space="preserve"> of the </w:t>
      </w:r>
      <w:r w:rsidR="00771D62">
        <w:t xml:space="preserve">Marriage Act </w:t>
      </w:r>
      <w:r w:rsidR="00E71643">
        <w:t>provides:</w:t>
      </w:r>
    </w:p>
    <w:p w14:paraId="047C342C" w14:textId="1A943A43" w:rsidR="00E71643" w:rsidRDefault="00E71643" w:rsidP="00602EAB">
      <w:pPr>
        <w:pStyle w:val="Quote"/>
      </w:pPr>
      <w:r>
        <w:t>A body established for religious purposes may refuse to make a facility available, or to provide goods or services, for the purposes of the solemnisation of a marriage, or for purposes reasonably incidental to the solemnisation of a marriage, if the refusal:</w:t>
      </w:r>
    </w:p>
    <w:p w14:paraId="540B9DF1" w14:textId="62687734" w:rsidR="00E71643" w:rsidRDefault="00E71643" w:rsidP="00E71643">
      <w:pPr>
        <w:pStyle w:val="Quote"/>
        <w:ind w:left="2160" w:hanging="720"/>
      </w:pPr>
      <w:r>
        <w:t xml:space="preserve">(a) </w:t>
      </w:r>
      <w:r>
        <w:tab/>
        <w:t>conforms to the doctrines, tenets or beliefs of the religion of the body; or</w:t>
      </w:r>
    </w:p>
    <w:p w14:paraId="6AB3D33F" w14:textId="510AB6B9" w:rsidR="00E71643" w:rsidRDefault="00E71643" w:rsidP="00E71643">
      <w:pPr>
        <w:pStyle w:val="Quote"/>
        <w:ind w:left="2160" w:hanging="720"/>
      </w:pPr>
      <w:r>
        <w:t xml:space="preserve">(b) </w:t>
      </w:r>
      <w:r>
        <w:tab/>
        <w:t>is necessary to avoid injury to the religious susceptibilities of adherents of that religion.</w:t>
      </w:r>
    </w:p>
    <w:p w14:paraId="48ADE780" w14:textId="59DFA47D" w:rsidR="009F5B78" w:rsidRDefault="009F5B78" w:rsidP="0081210E">
      <w:pPr>
        <w:pStyle w:val="ListNumber"/>
      </w:pPr>
      <w:r>
        <w:t xml:space="preserve">Subsection </w:t>
      </w:r>
      <w:r w:rsidR="00A517E3">
        <w:t>47</w:t>
      </w:r>
      <w:proofErr w:type="gramStart"/>
      <w:r w:rsidR="00A517E3">
        <w:t>B</w:t>
      </w:r>
      <w:r>
        <w:t>(</w:t>
      </w:r>
      <w:proofErr w:type="gramEnd"/>
      <w:r>
        <w:t xml:space="preserve">4) provides that ‘a body established for religious purposes’ has the same meaning as </w:t>
      </w:r>
      <w:r w:rsidR="00D34DCD">
        <w:t>in s 37 of the SDA.</w:t>
      </w:r>
    </w:p>
    <w:p w14:paraId="52FA3D89" w14:textId="2E0EE183" w:rsidR="002867F1" w:rsidRDefault="0081210E" w:rsidP="0081210E">
      <w:pPr>
        <w:pStyle w:val="ListNumber"/>
      </w:pPr>
      <w:r>
        <w:t xml:space="preserve">Recommendation </w:t>
      </w:r>
      <w:r w:rsidR="00F14C79">
        <w:t>12</w:t>
      </w:r>
      <w:r>
        <w:t xml:space="preserve"> of the Religious Freedom Review was tha</w:t>
      </w:r>
      <w:r w:rsidR="00391143">
        <w:t xml:space="preserve">t this exemption </w:t>
      </w:r>
      <w:r w:rsidR="002B6759">
        <w:t>be extended to religious schools.</w:t>
      </w:r>
      <w:r w:rsidR="004D7A59">
        <w:t xml:space="preserve">  </w:t>
      </w:r>
      <w:r w:rsidR="002867F1">
        <w:t xml:space="preserve">The </w:t>
      </w:r>
      <w:r w:rsidR="00425B95">
        <w:t xml:space="preserve">Freedom of Religion Bill responds to this recommendation </w:t>
      </w:r>
      <w:r w:rsidR="005D544C">
        <w:t xml:space="preserve">by </w:t>
      </w:r>
      <w:r w:rsidR="00AB0AB6">
        <w:t xml:space="preserve">proposing to </w:t>
      </w:r>
      <w:r w:rsidR="005D544C">
        <w:t>insert a new s 47C into the Marriage Act.</w:t>
      </w:r>
    </w:p>
    <w:p w14:paraId="0A350D6E" w14:textId="7C1CEFEF" w:rsidR="00F47AEE" w:rsidRDefault="00C0731B" w:rsidP="0081210E">
      <w:pPr>
        <w:pStyle w:val="ListNumber"/>
      </w:pPr>
      <w:r>
        <w:t>T</w:t>
      </w:r>
      <w:r w:rsidR="00F47AEE">
        <w:t xml:space="preserve">he </w:t>
      </w:r>
      <w:r w:rsidR="002C402C">
        <w:t xml:space="preserve">new </w:t>
      </w:r>
      <w:r w:rsidR="00F47AEE">
        <w:t>exemption would permit</w:t>
      </w:r>
      <w:r w:rsidR="00C14CE5">
        <w:t>, for example,</w:t>
      </w:r>
      <w:r w:rsidR="00F47AEE">
        <w:t xml:space="preserve"> a </w:t>
      </w:r>
      <w:r w:rsidR="00D07C2B">
        <w:t xml:space="preserve">Catholic school </w:t>
      </w:r>
      <w:r w:rsidR="00F140F9">
        <w:t>that hire</w:t>
      </w:r>
      <w:r>
        <w:t xml:space="preserve">s </w:t>
      </w:r>
      <w:r w:rsidR="00F140F9">
        <w:t>out its chapel to former students for use in wedding</w:t>
      </w:r>
      <w:r>
        <w:t>s</w:t>
      </w:r>
      <w:r w:rsidR="00F140F9">
        <w:t xml:space="preserve"> to refuse to hire the chapel to particular students if </w:t>
      </w:r>
      <w:r>
        <w:t>those students intended to use it for the solemnisation of a same-sex wedding</w:t>
      </w:r>
      <w:r w:rsidR="00FB4068">
        <w:t xml:space="preserve"> or a wedding where one of the partners was a divorcee</w:t>
      </w:r>
      <w:r>
        <w:t>.</w:t>
      </w:r>
      <w:r w:rsidR="00FB4068">
        <w:rPr>
          <w:rStyle w:val="EndnoteReference"/>
        </w:rPr>
        <w:endnoteReference w:id="79"/>
      </w:r>
      <w:r>
        <w:t xml:space="preserve"> </w:t>
      </w:r>
      <w:r w:rsidR="00D06490">
        <w:t xml:space="preserve"> In those circumstances, the refusal would not be contrary to the SDA because it would be done in </w:t>
      </w:r>
      <w:r w:rsidR="00112A08">
        <w:t xml:space="preserve">direct compliance with </w:t>
      </w:r>
      <w:r w:rsidR="001B65E1">
        <w:t>the Marriage Act.</w:t>
      </w:r>
      <w:r w:rsidR="001A0978">
        <w:rPr>
          <w:rStyle w:val="EndnoteReference"/>
        </w:rPr>
        <w:endnoteReference w:id="80"/>
      </w:r>
    </w:p>
    <w:p w14:paraId="625E33A5" w14:textId="53AE5580" w:rsidR="0081210E" w:rsidRDefault="004D7A59" w:rsidP="0081210E">
      <w:pPr>
        <w:pStyle w:val="ListNumber"/>
      </w:pPr>
      <w:r>
        <w:lastRenderedPageBreak/>
        <w:t xml:space="preserve">The Panel noted that </w:t>
      </w:r>
      <w:r w:rsidR="00F47AEE">
        <w:t xml:space="preserve">a religious school </w:t>
      </w:r>
      <w:r w:rsidR="00203BD8">
        <w:t>may not fall within the meaning of a ‘body established for religious purposes’</w:t>
      </w:r>
      <w:r w:rsidR="00481B90">
        <w:t xml:space="preserve"> under s 37 of the SDA because educational institutions established for religious purposes are subject to a separate </w:t>
      </w:r>
      <w:r w:rsidR="00071C30">
        <w:t>exemption in s 38 of the SDA</w:t>
      </w:r>
      <w:r w:rsidR="00203BD8">
        <w:t>.</w:t>
      </w:r>
    </w:p>
    <w:p w14:paraId="7280AB6C" w14:textId="39006121" w:rsidR="001249E3" w:rsidRDefault="00071C30" w:rsidP="0081210E">
      <w:pPr>
        <w:pStyle w:val="ListNumber"/>
      </w:pPr>
      <w:r>
        <w:t xml:space="preserve">Each of ss 37 and 38 of the SDA </w:t>
      </w:r>
      <w:r w:rsidR="00A517E3">
        <w:t>is</w:t>
      </w:r>
      <w:r>
        <w:t xml:space="preserve"> the subject of the </w:t>
      </w:r>
      <w:r w:rsidR="005C34E1">
        <w:t xml:space="preserve">current </w:t>
      </w:r>
      <w:r>
        <w:t xml:space="preserve">review by the ALRC </w:t>
      </w:r>
      <w:r w:rsidR="005C34E1">
        <w:t xml:space="preserve">into </w:t>
      </w:r>
      <w:r w:rsidR="0013740B">
        <w:t xml:space="preserve">religious exemptions in anti-discrimination law, </w:t>
      </w:r>
      <w:r>
        <w:t xml:space="preserve">referred to </w:t>
      </w:r>
      <w:r w:rsidR="0013740B">
        <w:t>earlier in this submission</w:t>
      </w:r>
      <w:r>
        <w:t xml:space="preserve">.  The </w:t>
      </w:r>
      <w:r w:rsidR="003C15E4">
        <w:t>Attorney-General</w:t>
      </w:r>
      <w:r>
        <w:t xml:space="preserve"> has asked the ALRC to consider whether </w:t>
      </w:r>
      <w:r w:rsidR="00771D62">
        <w:t>those exemptions should be limited or removed altogether</w:t>
      </w:r>
      <w:r w:rsidR="0013740B">
        <w:t xml:space="preserve"> </w:t>
      </w:r>
      <w:r w:rsidR="001249E3">
        <w:t xml:space="preserve">(if practicable) </w:t>
      </w:r>
      <w:r w:rsidR="0013740B">
        <w:t xml:space="preserve">while </w:t>
      </w:r>
      <w:r w:rsidR="001249E3">
        <w:t>also guaranteeing the right of religious institutions to conduct their affairs in a way that is consistent with their religious ethos</w:t>
      </w:r>
      <w:r w:rsidR="00771D62">
        <w:t xml:space="preserve">.  </w:t>
      </w:r>
    </w:p>
    <w:p w14:paraId="3428A5F9" w14:textId="75DF6981" w:rsidR="00C41E70" w:rsidRDefault="00771D62" w:rsidP="0081210E">
      <w:pPr>
        <w:pStyle w:val="ListNumber"/>
      </w:pPr>
      <w:r>
        <w:t xml:space="preserve">Arguably, the terms of reference for the ALRC </w:t>
      </w:r>
      <w:r w:rsidR="00972F49">
        <w:t xml:space="preserve">review </w:t>
      </w:r>
      <w:r>
        <w:t>also include consideration of s 47B of the Marriage Act.</w:t>
      </w:r>
      <w:r w:rsidR="00DE4F80">
        <w:t xml:space="preserve"> </w:t>
      </w:r>
      <w:r w:rsidR="00972F49">
        <w:t xml:space="preserve"> This is because the </w:t>
      </w:r>
      <w:r w:rsidR="00877BD4">
        <w:t>Attorney-General</w:t>
      </w:r>
      <w:r w:rsidR="006F1DEB">
        <w:t xml:space="preserve"> has asked the ALRC to </w:t>
      </w:r>
      <w:r w:rsidR="00A50775">
        <w:t>consider reforms to ‘</w:t>
      </w:r>
      <w:r w:rsidR="00A50775" w:rsidRPr="00A50775">
        <w:t xml:space="preserve">relevant anti-discrimination laws, the </w:t>
      </w:r>
      <w:r w:rsidR="00A50775" w:rsidRPr="00A50775">
        <w:rPr>
          <w:i/>
          <w:iCs/>
        </w:rPr>
        <w:t>Fair Work Act 2009</w:t>
      </w:r>
      <w:r w:rsidR="00A50775" w:rsidRPr="00A50775">
        <w:t xml:space="preserve"> (</w:t>
      </w:r>
      <w:proofErr w:type="spellStart"/>
      <w:r w:rsidR="00A50775" w:rsidRPr="00A50775">
        <w:t>Cth</w:t>
      </w:r>
      <w:proofErr w:type="spellEnd"/>
      <w:r w:rsidR="00A50775" w:rsidRPr="00A50775">
        <w:t>) and any other Australian law</w:t>
      </w:r>
      <w:r w:rsidR="00A50775">
        <w:t>’</w:t>
      </w:r>
      <w:r w:rsidR="002275B2">
        <w:t xml:space="preserve"> in order to limit or remove religious exemptions </w:t>
      </w:r>
      <w:r w:rsidR="00F8029C">
        <w:t>to prohibitions on discrimination</w:t>
      </w:r>
      <w:r w:rsidR="00A50775">
        <w:t>.</w:t>
      </w:r>
      <w:r w:rsidR="00A50775">
        <w:rPr>
          <w:rStyle w:val="EndnoteReference"/>
        </w:rPr>
        <w:endnoteReference w:id="81"/>
      </w:r>
      <w:r w:rsidR="00A50775">
        <w:t xml:space="preserve">  </w:t>
      </w:r>
      <w:r w:rsidR="001D6549">
        <w:t>In substance, and read with s 40(2A) of the SDA, s 47B amounts to a</w:t>
      </w:r>
      <w:r w:rsidR="00F05F73">
        <w:t xml:space="preserve"> religious </w:t>
      </w:r>
      <w:r w:rsidR="001D6549">
        <w:t xml:space="preserve">exemption </w:t>
      </w:r>
      <w:r w:rsidR="00F05F73">
        <w:t>from anti-discrimination law.</w:t>
      </w:r>
      <w:r w:rsidR="00313493">
        <w:t xml:space="preserve">  </w:t>
      </w:r>
    </w:p>
    <w:p w14:paraId="4C17A115" w14:textId="04087837" w:rsidR="002B6759" w:rsidRDefault="00A50775" w:rsidP="0081210E">
      <w:pPr>
        <w:pStyle w:val="ListNumber"/>
      </w:pPr>
      <w:r>
        <w:t xml:space="preserve">In any event, the </w:t>
      </w:r>
      <w:r w:rsidR="00C41E70">
        <w:t xml:space="preserve">meaning of s 47B may well be affected by the ALRC review because it relies </w:t>
      </w:r>
      <w:r w:rsidR="00F05F73">
        <w:t xml:space="preserve">on </w:t>
      </w:r>
      <w:r w:rsidR="00406D0F">
        <w:t xml:space="preserve">the meaning of </w:t>
      </w:r>
      <w:r w:rsidR="005B39EF">
        <w:t xml:space="preserve">the </w:t>
      </w:r>
      <w:r w:rsidR="0005299A">
        <w:t xml:space="preserve">religious </w:t>
      </w:r>
      <w:r w:rsidR="005B39EF">
        <w:t xml:space="preserve">exemptions </w:t>
      </w:r>
      <w:r w:rsidR="0005299A">
        <w:t xml:space="preserve">in </w:t>
      </w:r>
      <w:r w:rsidR="00F05F73">
        <w:t xml:space="preserve">ss 37 and 38 </w:t>
      </w:r>
      <w:r w:rsidR="00406D0F">
        <w:t>of the SDA.</w:t>
      </w:r>
    </w:p>
    <w:p w14:paraId="6C99595E" w14:textId="60287612" w:rsidR="00313493" w:rsidRDefault="00313493" w:rsidP="0081210E">
      <w:pPr>
        <w:pStyle w:val="ListNumber"/>
      </w:pPr>
      <w:r>
        <w:t xml:space="preserve">The proposed new s 47C </w:t>
      </w:r>
      <w:r w:rsidR="008E3799">
        <w:t>is of the same character.</w:t>
      </w:r>
    </w:p>
    <w:p w14:paraId="2C7403C2" w14:textId="72A51AE8" w:rsidR="00406D0F" w:rsidRDefault="00406D0F" w:rsidP="0081210E">
      <w:pPr>
        <w:pStyle w:val="ListNumber"/>
      </w:pPr>
      <w:r>
        <w:t xml:space="preserve">In the circumstances, the Commission recommends that </w:t>
      </w:r>
      <w:r w:rsidR="00313493">
        <w:t xml:space="preserve">a new exemption to anti-discrimination law not be made while the ALRC </w:t>
      </w:r>
      <w:r w:rsidR="008E3799">
        <w:t xml:space="preserve">is conducting a review </w:t>
      </w:r>
      <w:r w:rsidR="00C568A9">
        <w:t xml:space="preserve">that is aimed at limiting or removing </w:t>
      </w:r>
      <w:r w:rsidR="00C1134F">
        <w:t xml:space="preserve">existing </w:t>
      </w:r>
      <w:r w:rsidR="008E3799">
        <w:t xml:space="preserve">exemptions to anti-discrimination law.  The Commission recommends that s 47C be removed from the Religious Freedom Bill </w:t>
      </w:r>
      <w:r w:rsidR="0027655A">
        <w:t>and that full consideration of this exemption await the report of the ALRC.</w:t>
      </w:r>
    </w:p>
    <w:p w14:paraId="43621E71" w14:textId="6A389323" w:rsidR="00C1134F" w:rsidRDefault="00C1134F" w:rsidP="0081210E">
      <w:pPr>
        <w:pStyle w:val="ListNumber"/>
      </w:pPr>
      <w:r>
        <w:t xml:space="preserve">This would </w:t>
      </w:r>
      <w:r w:rsidR="00D14EA5">
        <w:t xml:space="preserve">treat recommendation 12 of the Religious Freedom Review in the same way as recommendations </w:t>
      </w:r>
      <w:r w:rsidR="00C17BAE">
        <w:t xml:space="preserve">1, </w:t>
      </w:r>
      <w:r w:rsidR="00D14EA5">
        <w:t>5, 6, 7 and 8.</w:t>
      </w:r>
    </w:p>
    <w:p w14:paraId="3605BC90" w14:textId="4306216E" w:rsidR="0027655A" w:rsidRPr="00C568A9" w:rsidRDefault="0027655A" w:rsidP="00C568A9">
      <w:pPr>
        <w:pStyle w:val="ListNumber"/>
        <w:keepNext/>
        <w:numPr>
          <w:ilvl w:val="0"/>
          <w:numId w:val="0"/>
        </w:numPr>
        <w:ind w:left="1094"/>
        <w:rPr>
          <w:b/>
          <w:bCs/>
        </w:rPr>
      </w:pPr>
      <w:r w:rsidRPr="00C568A9">
        <w:rPr>
          <w:b/>
          <w:bCs/>
        </w:rPr>
        <w:t xml:space="preserve">Recommendation </w:t>
      </w:r>
      <w:r w:rsidR="00C568A9" w:rsidRPr="00C568A9">
        <w:rPr>
          <w:b/>
          <w:bCs/>
        </w:rPr>
        <w:t>1</w:t>
      </w:r>
      <w:r w:rsidR="00AA04DF">
        <w:rPr>
          <w:b/>
          <w:bCs/>
        </w:rPr>
        <w:t>3</w:t>
      </w:r>
    </w:p>
    <w:p w14:paraId="173011BA" w14:textId="21AEAECF" w:rsidR="00C568A9" w:rsidRDefault="00C568A9" w:rsidP="00C568A9">
      <w:pPr>
        <w:pStyle w:val="ListNumber"/>
        <w:numPr>
          <w:ilvl w:val="0"/>
          <w:numId w:val="0"/>
        </w:numPr>
        <w:ind w:left="1094"/>
      </w:pPr>
      <w:r>
        <w:t xml:space="preserve">The Commission recommends that </w:t>
      </w:r>
      <w:r w:rsidR="00B675D5">
        <w:t xml:space="preserve">Sch 1, clause </w:t>
      </w:r>
      <w:r w:rsidR="00891FA3">
        <w:t xml:space="preserve">7 of the Freedom of Religion Bill, which would insert a new </w:t>
      </w:r>
      <w:r w:rsidR="009D0FE3">
        <w:t xml:space="preserve">s 47C </w:t>
      </w:r>
      <w:r w:rsidR="00891FA3">
        <w:t xml:space="preserve">into the </w:t>
      </w:r>
      <w:r w:rsidR="00A44883" w:rsidRPr="00C26DFB">
        <w:rPr>
          <w:i/>
          <w:iCs/>
        </w:rPr>
        <w:t>Marriage Act 1961</w:t>
      </w:r>
      <w:r w:rsidR="00A44883">
        <w:t xml:space="preserve"> (</w:t>
      </w:r>
      <w:proofErr w:type="spellStart"/>
      <w:r w:rsidR="00A44883">
        <w:t>Cth</w:t>
      </w:r>
      <w:proofErr w:type="spellEnd"/>
      <w:r w:rsidR="00A44883">
        <w:t>)</w:t>
      </w:r>
      <w:r w:rsidR="00C26DFB">
        <w:t>,</w:t>
      </w:r>
      <w:r w:rsidR="00A44883">
        <w:t xml:space="preserve"> be removed from </w:t>
      </w:r>
      <w:r w:rsidR="00C26DFB">
        <w:t xml:space="preserve">that </w:t>
      </w:r>
      <w:r w:rsidR="00A44883">
        <w:t xml:space="preserve">Bill and that consideration of this </w:t>
      </w:r>
      <w:r w:rsidR="00C51942">
        <w:t xml:space="preserve">proposed </w:t>
      </w:r>
      <w:r w:rsidR="00A44883">
        <w:t xml:space="preserve">amendment await the report of the Australian Law Reform </w:t>
      </w:r>
      <w:r w:rsidR="00A44883">
        <w:lastRenderedPageBreak/>
        <w:t xml:space="preserve">Commission of its </w:t>
      </w:r>
      <w:r w:rsidR="00C26DFB">
        <w:t>review of religious exemptions in anti-discrimination law.</w:t>
      </w:r>
    </w:p>
    <w:p w14:paraId="33B4D32A" w14:textId="22EC998F" w:rsidR="00A7615D" w:rsidRDefault="00A7615D" w:rsidP="000705F2">
      <w:pPr>
        <w:pStyle w:val="ListNumber"/>
        <w:numPr>
          <w:ilvl w:val="0"/>
          <w:numId w:val="0"/>
        </w:numPr>
      </w:pPr>
    </w:p>
    <w:p w14:paraId="69CBC0D6" w14:textId="48B1D34B" w:rsidR="00D945DE" w:rsidRDefault="00D945DE" w:rsidP="000705F2">
      <w:pPr>
        <w:pStyle w:val="ListNumber"/>
        <w:numPr>
          <w:ilvl w:val="0"/>
          <w:numId w:val="0"/>
        </w:numPr>
      </w:pPr>
    </w:p>
    <w:p w14:paraId="6903C041" w14:textId="77777777" w:rsidR="00D945DE" w:rsidRDefault="00D945DE" w:rsidP="000705F2">
      <w:pPr>
        <w:pStyle w:val="ListNumber"/>
        <w:numPr>
          <w:ilvl w:val="0"/>
          <w:numId w:val="0"/>
        </w:numPr>
      </w:pPr>
    </w:p>
    <w:p w14:paraId="31F8731B" w14:textId="77777777" w:rsidR="00A7615D" w:rsidRDefault="00A7615D" w:rsidP="000705F2">
      <w:pPr>
        <w:pStyle w:val="ListNumber"/>
        <w:numPr>
          <w:ilvl w:val="0"/>
          <w:numId w:val="0"/>
        </w:numPr>
      </w:pPr>
    </w:p>
    <w:sectPr w:rsidR="00A7615D"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723A" w14:textId="77777777" w:rsidR="00D77A9D" w:rsidRDefault="00D77A9D" w:rsidP="00F14C6D">
      <w:r>
        <w:separator/>
      </w:r>
    </w:p>
  </w:endnote>
  <w:endnote w:type="continuationSeparator" w:id="0">
    <w:p w14:paraId="77DDF085" w14:textId="77777777" w:rsidR="00D77A9D" w:rsidRDefault="00D77A9D" w:rsidP="00F14C6D">
      <w:r>
        <w:continuationSeparator/>
      </w:r>
    </w:p>
  </w:endnote>
  <w:endnote w:type="continuationNotice" w:id="1">
    <w:p w14:paraId="5F307056" w14:textId="77777777" w:rsidR="00D77A9D" w:rsidRDefault="00D77A9D">
      <w:pPr>
        <w:spacing w:before="0" w:after="0"/>
      </w:pPr>
    </w:p>
  </w:endnote>
  <w:endnote w:id="2">
    <w:p w14:paraId="1DFC1196" w14:textId="399FE5BA" w:rsidR="00D77A9D" w:rsidRPr="00A02FE6" w:rsidRDefault="00D77A9D" w:rsidP="00E17B13">
      <w:pPr>
        <w:pStyle w:val="EndnoteText"/>
        <w:ind w:left="284" w:hanging="284"/>
        <w:rPr>
          <w:rFonts w:cs="Open Sans"/>
        </w:rPr>
      </w:pPr>
      <w:r w:rsidRPr="00233510">
        <w:rPr>
          <w:rStyle w:val="EndnoteReference"/>
          <w:rFonts w:cs="Open Sans"/>
        </w:rPr>
        <w:endnoteRef/>
      </w:r>
      <w:r w:rsidRPr="00233510">
        <w:rPr>
          <w:rFonts w:cs="Open Sans"/>
        </w:rPr>
        <w:t xml:space="preserve"> </w:t>
      </w:r>
      <w:r>
        <w:rPr>
          <w:rFonts w:cs="Open Sans"/>
        </w:rPr>
        <w:tab/>
      </w:r>
      <w:r w:rsidRPr="00233510">
        <w:rPr>
          <w:rFonts w:cs="Open Sans"/>
        </w:rPr>
        <w:t xml:space="preserve">Australian Human Rights Commission, </w:t>
      </w:r>
      <w:r w:rsidRPr="00233510">
        <w:rPr>
          <w:rFonts w:cs="Open Sans"/>
          <w:i/>
          <w:iCs/>
        </w:rPr>
        <w:t>Religious Freedom Review, Australian Human</w:t>
      </w:r>
      <w:r w:rsidRPr="00A50030">
        <w:rPr>
          <w:rFonts w:cs="Open Sans"/>
          <w:i/>
          <w:iCs/>
        </w:rPr>
        <w:t xml:space="preserve"> Rights Commission submission to the Expert Panel</w:t>
      </w:r>
      <w:r w:rsidRPr="00A50030">
        <w:rPr>
          <w:rFonts w:cs="Open Sans"/>
        </w:rPr>
        <w:t xml:space="preserve"> (2018)</w:t>
      </w:r>
      <w:r>
        <w:rPr>
          <w:rFonts w:cs="Open Sans"/>
        </w:rPr>
        <w:t xml:space="preserve"> at [11]-[14]</w:t>
      </w:r>
      <w:r w:rsidRPr="00A50030">
        <w:rPr>
          <w:rFonts w:cs="Open Sans"/>
        </w:rPr>
        <w:t xml:space="preserve">. At </w:t>
      </w:r>
      <w:hyperlink r:id="rId1" w:history="1">
        <w:r w:rsidRPr="00A50030">
          <w:rPr>
            <w:rStyle w:val="Hyperlink"/>
            <w:rFonts w:cs="Open Sans"/>
          </w:rPr>
          <w:t>https://www.humanrights.gov.au/our-work/legal/submission/religious-freedom-review-2018</w:t>
        </w:r>
      </w:hyperlink>
      <w:r>
        <w:rPr>
          <w:rStyle w:val="Hyperlink"/>
          <w:rFonts w:cs="Open Sans"/>
          <w:u w:val="none"/>
        </w:rPr>
        <w:t>.</w:t>
      </w:r>
    </w:p>
  </w:endnote>
  <w:endnote w:id="3">
    <w:p w14:paraId="180F64E1" w14:textId="39375596" w:rsidR="00D77A9D" w:rsidRDefault="00D77A9D" w:rsidP="00E17B13">
      <w:pPr>
        <w:pStyle w:val="EndnoteText"/>
        <w:ind w:left="284" w:hanging="284"/>
      </w:pPr>
      <w:r>
        <w:rPr>
          <w:rStyle w:val="EndnoteReference"/>
        </w:rPr>
        <w:endnoteRef/>
      </w:r>
      <w:r>
        <w:t xml:space="preserve"> </w:t>
      </w:r>
      <w:r>
        <w:tab/>
        <w:t>SDA, s 37; ADA, s 35.</w:t>
      </w:r>
    </w:p>
  </w:endnote>
  <w:endnote w:id="4">
    <w:p w14:paraId="1F220765" w14:textId="77777777" w:rsidR="00A9673D" w:rsidRDefault="00A9673D" w:rsidP="00A9673D">
      <w:pPr>
        <w:pStyle w:val="EndnoteText"/>
        <w:ind w:left="284" w:hanging="284"/>
      </w:pPr>
      <w:r>
        <w:rPr>
          <w:rStyle w:val="EndnoteReference"/>
        </w:rPr>
        <w:endnoteRef/>
      </w:r>
      <w:r>
        <w:t xml:space="preserve"> </w:t>
      </w:r>
      <w:r>
        <w:tab/>
        <w:t xml:space="preserve">The Hon Christian Porter MP, Attorney-General and Minister for Industrial Relations, ‘Review into the Framework of Religious Exemptions in Anti-discrimination Legislation’ </w:t>
      </w:r>
      <w:r w:rsidRPr="003F6811">
        <w:rPr>
          <w:i/>
          <w:iCs/>
        </w:rPr>
        <w:t>Media release</w:t>
      </w:r>
      <w:r>
        <w:t xml:space="preserve">, 10 April 2019, containing the terms of reference for the ALRC inquiry.  At </w:t>
      </w:r>
      <w:hyperlink r:id="rId2" w:history="1">
        <w:r w:rsidRPr="00A72AFE">
          <w:rPr>
            <w:rStyle w:val="Hyperlink"/>
          </w:rPr>
          <w:t>https://www.attorneygeneral.gov.au/Media/Pages/Review-into-the-Framework-of-Religious-Exemptions-in-Anti-discrimination-Legislation-10-april-19.aspx</w:t>
        </w:r>
      </w:hyperlink>
      <w:r>
        <w:t xml:space="preserve">. </w:t>
      </w:r>
    </w:p>
  </w:endnote>
  <w:endnote w:id="5">
    <w:p w14:paraId="57C56E59" w14:textId="3A6E512D" w:rsidR="00D77A9D" w:rsidRPr="00F55FDA" w:rsidRDefault="00D77A9D" w:rsidP="00DC6827">
      <w:pPr>
        <w:pStyle w:val="EndnoteText"/>
        <w:tabs>
          <w:tab w:val="left" w:pos="284"/>
        </w:tabs>
        <w:rPr>
          <w:rFonts w:cs="Open Sans"/>
        </w:rPr>
      </w:pPr>
      <w:r w:rsidRPr="00F55FDA">
        <w:rPr>
          <w:rStyle w:val="EndnoteReference"/>
          <w:rFonts w:cs="Open Sans"/>
        </w:rPr>
        <w:endnoteRef/>
      </w:r>
      <w:r w:rsidRPr="00F55FDA">
        <w:rPr>
          <w:rFonts w:cs="Open Sans"/>
        </w:rPr>
        <w:t xml:space="preserve"> </w:t>
      </w:r>
      <w:r>
        <w:rPr>
          <w:rFonts w:cs="Open Sans"/>
        </w:rPr>
        <w:tab/>
      </w:r>
      <w:r>
        <w:rPr>
          <w:rFonts w:cs="Open Sans"/>
        </w:rPr>
        <w:tab/>
        <w:t xml:space="preserve">See: </w:t>
      </w:r>
      <w:r w:rsidRPr="00DC6827">
        <w:rPr>
          <w:rFonts w:cs="Open Sans"/>
          <w:i/>
          <w:iCs/>
        </w:rPr>
        <w:t>Human Rights (Parliamentary Scrutiny) Act</w:t>
      </w:r>
      <w:r w:rsidRPr="00DC6827">
        <w:rPr>
          <w:rFonts w:cs="Open Sans"/>
        </w:rPr>
        <w:t xml:space="preserve"> </w:t>
      </w:r>
      <w:r w:rsidRPr="00DC6827">
        <w:rPr>
          <w:rFonts w:cs="Open Sans"/>
          <w:i/>
          <w:iCs/>
        </w:rPr>
        <w:t>2011</w:t>
      </w:r>
      <w:r w:rsidRPr="00DC6827">
        <w:rPr>
          <w:rFonts w:cs="Open Sans"/>
        </w:rPr>
        <w:t xml:space="preserve"> (Cth), s</w:t>
      </w:r>
      <w:r>
        <w:rPr>
          <w:rFonts w:cs="Open Sans"/>
        </w:rPr>
        <w:t>s</w:t>
      </w:r>
      <w:r w:rsidRPr="00DC6827">
        <w:rPr>
          <w:rFonts w:cs="Open Sans"/>
        </w:rPr>
        <w:t xml:space="preserve"> 3(1)</w:t>
      </w:r>
      <w:r>
        <w:rPr>
          <w:rFonts w:cs="Open Sans"/>
        </w:rPr>
        <w:t>, 8-9.</w:t>
      </w:r>
      <w:r w:rsidRPr="00F55FDA">
        <w:rPr>
          <w:rFonts w:cs="Open Sans"/>
        </w:rPr>
        <w:t xml:space="preserve"> </w:t>
      </w:r>
    </w:p>
  </w:endnote>
  <w:endnote w:id="6">
    <w:p w14:paraId="42EF5CEE" w14:textId="77777777" w:rsidR="00D77A9D" w:rsidRDefault="00D77A9D" w:rsidP="00BC340A">
      <w:pPr>
        <w:pStyle w:val="EndnoteText"/>
        <w:ind w:left="284" w:hanging="284"/>
      </w:pPr>
      <w:r>
        <w:rPr>
          <w:rStyle w:val="EndnoteReference"/>
        </w:rPr>
        <w:endnoteRef/>
      </w:r>
      <w:r>
        <w:t xml:space="preserve"> </w:t>
      </w:r>
      <w:r>
        <w:tab/>
        <w:t>Bill, clause 5, definition of ‘employment’.</w:t>
      </w:r>
    </w:p>
  </w:endnote>
  <w:endnote w:id="7">
    <w:p w14:paraId="73CCDE50" w14:textId="77777777" w:rsidR="00D77A9D" w:rsidRDefault="00D77A9D" w:rsidP="00BC340A">
      <w:pPr>
        <w:pStyle w:val="EndnoteText"/>
        <w:ind w:left="284" w:hanging="284"/>
      </w:pPr>
      <w:r>
        <w:rPr>
          <w:rStyle w:val="EndnoteReference"/>
        </w:rPr>
        <w:endnoteRef/>
      </w:r>
      <w:r>
        <w:t xml:space="preserve"> </w:t>
      </w:r>
      <w:r>
        <w:tab/>
        <w:t xml:space="preserve">Australian Human Rights Commission, </w:t>
      </w:r>
      <w:r w:rsidRPr="00A541D1">
        <w:rPr>
          <w:i/>
          <w:iCs/>
        </w:rPr>
        <w:t>Discussion paper: Priorities for federal discrimination law reform</w:t>
      </w:r>
      <w:r>
        <w:t xml:space="preserve">, October 2019, pp 9-10.  At </w:t>
      </w:r>
      <w:hyperlink r:id="rId3" w:history="1">
        <w:r w:rsidRPr="00B23678">
          <w:rPr>
            <w:rStyle w:val="Hyperlink"/>
          </w:rPr>
          <w:t>https://www.humanrights.gov.au/our-work/rights-and-freedoms/publications/discussion-paper-priorities-federal-discrimination-law</w:t>
        </w:r>
      </w:hyperlink>
      <w:r>
        <w:t xml:space="preserve">.  </w:t>
      </w:r>
    </w:p>
  </w:endnote>
  <w:endnote w:id="8">
    <w:p w14:paraId="357F9D08" w14:textId="73FAD986" w:rsidR="00D77A9D" w:rsidRDefault="00D77A9D" w:rsidP="00E17B13">
      <w:pPr>
        <w:pStyle w:val="EndnoteText"/>
        <w:ind w:left="284" w:hanging="284"/>
      </w:pPr>
      <w:r>
        <w:rPr>
          <w:rStyle w:val="EndnoteReference"/>
        </w:rPr>
        <w:endnoteRef/>
      </w:r>
      <w:r>
        <w:t xml:space="preserve"> </w:t>
      </w:r>
      <w:r>
        <w:tab/>
      </w:r>
      <w:r w:rsidRPr="00F75ECF">
        <w:rPr>
          <w:i/>
          <w:iCs/>
        </w:rPr>
        <w:t>Motel Marine Pty Ltd v IAC (Finance) Pty Ltd</w:t>
      </w:r>
      <w:r>
        <w:t xml:space="preserve"> (1964) 110 CLR 9 at 14 (Kitto, Taylor and Owen JJ). </w:t>
      </w:r>
    </w:p>
  </w:endnote>
  <w:endnote w:id="9">
    <w:p w14:paraId="5B608726" w14:textId="06E71F62" w:rsidR="00D77A9D" w:rsidRDefault="00D77A9D" w:rsidP="00E17B13">
      <w:pPr>
        <w:pStyle w:val="EndnoteText"/>
        <w:ind w:left="284" w:hanging="284"/>
      </w:pPr>
      <w:r>
        <w:rPr>
          <w:rStyle w:val="EndnoteReference"/>
        </w:rPr>
        <w:endnoteRef/>
      </w:r>
      <w:r>
        <w:t xml:space="preserve"> </w:t>
      </w:r>
      <w:r>
        <w:tab/>
      </w:r>
      <w:r w:rsidRPr="00F83655">
        <w:rPr>
          <w:i/>
          <w:iCs/>
        </w:rPr>
        <w:t>Australian Human Rights Commission Act 1986</w:t>
      </w:r>
      <w:r>
        <w:t xml:space="preserve"> (Cth), ss 46P(2)(a) and (b).</w:t>
      </w:r>
    </w:p>
  </w:endnote>
  <w:endnote w:id="10">
    <w:p w14:paraId="44B7611B" w14:textId="0C90FB2A" w:rsidR="00D77A9D" w:rsidRDefault="00D77A9D" w:rsidP="00E17B13">
      <w:pPr>
        <w:pStyle w:val="EndnoteText"/>
        <w:ind w:left="284" w:hanging="284"/>
      </w:pPr>
      <w:r>
        <w:rPr>
          <w:rStyle w:val="EndnoteReference"/>
        </w:rPr>
        <w:endnoteRef/>
      </w:r>
      <w:r>
        <w:t xml:space="preserve"> </w:t>
      </w:r>
      <w:r>
        <w:tab/>
      </w:r>
      <w:r w:rsidRPr="00F83655">
        <w:rPr>
          <w:i/>
          <w:iCs/>
        </w:rPr>
        <w:t>Australian Human Rights Commission Act 1986</w:t>
      </w:r>
      <w:r>
        <w:t xml:space="preserve"> (Cth), ss 46P(2)(c) and 46PB.</w:t>
      </w:r>
    </w:p>
  </w:endnote>
  <w:endnote w:id="11">
    <w:p w14:paraId="2937B403" w14:textId="2CC4153F" w:rsidR="00D77A9D" w:rsidRDefault="00D77A9D" w:rsidP="00E17B13">
      <w:pPr>
        <w:pStyle w:val="EndnoteText"/>
        <w:ind w:left="284" w:hanging="284"/>
      </w:pPr>
      <w:r>
        <w:rPr>
          <w:rStyle w:val="EndnoteReference"/>
        </w:rPr>
        <w:endnoteRef/>
      </w:r>
      <w:r>
        <w:t xml:space="preserve"> </w:t>
      </w:r>
      <w:r>
        <w:tab/>
      </w:r>
      <w:r w:rsidRPr="00F83655">
        <w:rPr>
          <w:i/>
          <w:iCs/>
        </w:rPr>
        <w:t>Australian Human Rights Commission Act 1986</w:t>
      </w:r>
      <w:r>
        <w:t xml:space="preserve"> (Cth), ss 3 (definition of ‘affected person’) and 46</w:t>
      </w:r>
      <w:proofErr w:type="gramStart"/>
      <w:r>
        <w:t>PO(</w:t>
      </w:r>
      <w:proofErr w:type="gramEnd"/>
      <w:r>
        <w:t>1).</w:t>
      </w:r>
    </w:p>
  </w:endnote>
  <w:endnote w:id="12">
    <w:p w14:paraId="08E2FF44" w14:textId="36E5A8CF" w:rsidR="00D77A9D" w:rsidRDefault="00D77A9D" w:rsidP="00E17B13">
      <w:pPr>
        <w:pStyle w:val="EndnoteText"/>
        <w:ind w:left="284" w:hanging="284"/>
      </w:pPr>
      <w:r>
        <w:rPr>
          <w:rStyle w:val="EndnoteReference"/>
        </w:rPr>
        <w:endnoteRef/>
      </w:r>
      <w:r>
        <w:t xml:space="preserve"> </w:t>
      </w:r>
      <w:r>
        <w:tab/>
      </w:r>
      <w:r w:rsidRPr="005A68B7">
        <w:rPr>
          <w:i/>
          <w:iCs/>
        </w:rPr>
        <w:t>Federal Court of Australia Act 1976</w:t>
      </w:r>
      <w:r>
        <w:t xml:space="preserve"> (Cth), Part IVA.</w:t>
      </w:r>
    </w:p>
  </w:endnote>
  <w:endnote w:id="13">
    <w:p w14:paraId="257FA268" w14:textId="5B62C919" w:rsidR="00D77A9D" w:rsidRDefault="00D77A9D" w:rsidP="00E17B13">
      <w:pPr>
        <w:pStyle w:val="EndnoteText"/>
        <w:ind w:left="284" w:hanging="284"/>
      </w:pPr>
      <w:r>
        <w:rPr>
          <w:rStyle w:val="EndnoteReference"/>
        </w:rPr>
        <w:endnoteRef/>
      </w:r>
      <w:r>
        <w:t xml:space="preserve"> </w:t>
      </w:r>
      <w:r>
        <w:tab/>
      </w:r>
      <w:r w:rsidRPr="000C39DA">
        <w:rPr>
          <w:i/>
          <w:iCs/>
        </w:rPr>
        <w:t>Executive Council of Australian Jewry v Scully</w:t>
      </w:r>
      <w:r>
        <w:t xml:space="preserve"> (1998) 79 FCR 537 at 547-549.  </w:t>
      </w:r>
    </w:p>
  </w:endnote>
  <w:endnote w:id="14">
    <w:p w14:paraId="0A256F3A" w14:textId="5E9C8D2F" w:rsidR="00D77A9D" w:rsidRDefault="00D77A9D" w:rsidP="00E17B13">
      <w:pPr>
        <w:pStyle w:val="EndnoteText"/>
        <w:ind w:left="284" w:hanging="284"/>
      </w:pPr>
      <w:r>
        <w:rPr>
          <w:rStyle w:val="EndnoteReference"/>
        </w:rPr>
        <w:endnoteRef/>
      </w:r>
      <w:r>
        <w:t xml:space="preserve"> </w:t>
      </w:r>
      <w:r>
        <w:tab/>
      </w:r>
      <w:r w:rsidRPr="00072A90">
        <w:rPr>
          <w:i/>
          <w:iCs/>
        </w:rPr>
        <w:t>Access for All Alliance (Hervey Bay) Inc v Hervey Bay City Council</w:t>
      </w:r>
      <w:r>
        <w:t xml:space="preserve"> (2007) 162 FCR 313.</w:t>
      </w:r>
    </w:p>
  </w:endnote>
  <w:endnote w:id="15">
    <w:p w14:paraId="0A30554B" w14:textId="4C1D8AFF" w:rsidR="00D77A9D" w:rsidRDefault="00D77A9D" w:rsidP="00E17B13">
      <w:pPr>
        <w:pStyle w:val="EndnoteText"/>
        <w:ind w:left="284" w:hanging="284"/>
      </w:pPr>
      <w:r>
        <w:rPr>
          <w:rStyle w:val="EndnoteReference"/>
        </w:rPr>
        <w:endnoteRef/>
      </w:r>
      <w:r>
        <w:t xml:space="preserve"> </w:t>
      </w:r>
      <w:r>
        <w:tab/>
        <w:t xml:space="preserve">In the case of the </w:t>
      </w:r>
      <w:r w:rsidRPr="00A373F1">
        <w:rPr>
          <w:i/>
          <w:iCs/>
        </w:rPr>
        <w:t>Racial Discrimination Act 1975</w:t>
      </w:r>
      <w:r>
        <w:t xml:space="preserve"> (Cth), see proposed s 2A(1)(a) to be inserted into the RDA by the Freedom of Religion Bill, Sch 1, clause 8, in the case of the other Acts, see </w:t>
      </w:r>
      <w:r w:rsidRPr="00A373F1">
        <w:rPr>
          <w:i/>
          <w:iCs/>
        </w:rPr>
        <w:t>Sex Discrimination Act 1984</w:t>
      </w:r>
      <w:r>
        <w:t xml:space="preserve"> (Cth), s 3(a), </w:t>
      </w:r>
      <w:r w:rsidRPr="00A373F1">
        <w:rPr>
          <w:i/>
          <w:iCs/>
        </w:rPr>
        <w:t>Disability Discrimination Act 1992</w:t>
      </w:r>
      <w:r>
        <w:t xml:space="preserve"> (Cth), s 12(8), </w:t>
      </w:r>
      <w:r w:rsidRPr="00A373F1">
        <w:rPr>
          <w:i/>
          <w:iCs/>
        </w:rPr>
        <w:t>Age Discrimination Act 2004</w:t>
      </w:r>
      <w:r>
        <w:t xml:space="preserve"> (Cth), s 10(7).</w:t>
      </w:r>
    </w:p>
  </w:endnote>
  <w:endnote w:id="16">
    <w:p w14:paraId="171575AA" w14:textId="5C787981" w:rsidR="00D77A9D" w:rsidRDefault="00D77A9D" w:rsidP="00E17B13">
      <w:pPr>
        <w:pStyle w:val="EndnoteText"/>
        <w:ind w:left="284" w:hanging="284"/>
      </w:pPr>
      <w:r>
        <w:rPr>
          <w:rStyle w:val="EndnoteReference"/>
        </w:rPr>
        <w:endnoteRef/>
      </w:r>
      <w:r>
        <w:t xml:space="preserve"> </w:t>
      </w:r>
      <w:r>
        <w:tab/>
        <w:t>Bill, clause 57.</w:t>
      </w:r>
    </w:p>
  </w:endnote>
  <w:endnote w:id="17">
    <w:p w14:paraId="33BEA069" w14:textId="6E86D2F8" w:rsidR="00D77A9D" w:rsidRDefault="00D77A9D" w:rsidP="00E17B13">
      <w:pPr>
        <w:pStyle w:val="EndnoteText"/>
        <w:ind w:left="284" w:hanging="284"/>
      </w:pPr>
      <w:r>
        <w:rPr>
          <w:rStyle w:val="EndnoteReference"/>
        </w:rPr>
        <w:endnoteRef/>
      </w:r>
      <w:r>
        <w:t xml:space="preserve"> </w:t>
      </w:r>
      <w:r>
        <w:tab/>
        <w:t xml:space="preserve">For example, see </w:t>
      </w:r>
      <w:r w:rsidRPr="00743345">
        <w:rPr>
          <w:i/>
          <w:iCs/>
        </w:rPr>
        <w:t>International Covenant on Civil and Political Rights</w:t>
      </w:r>
      <w:r>
        <w:t xml:space="preserve">, article 2(1). </w:t>
      </w:r>
    </w:p>
  </w:endnote>
  <w:endnote w:id="18">
    <w:p w14:paraId="1807F588" w14:textId="5C7B08C2" w:rsidR="00D77A9D" w:rsidRDefault="00D77A9D" w:rsidP="00E17B13">
      <w:pPr>
        <w:pStyle w:val="EndnoteText"/>
        <w:ind w:left="284" w:hanging="284"/>
      </w:pPr>
      <w:r>
        <w:rPr>
          <w:rStyle w:val="EndnoteReference"/>
        </w:rPr>
        <w:endnoteRef/>
      </w:r>
      <w:r>
        <w:t xml:space="preserve"> </w:t>
      </w:r>
      <w:r>
        <w:tab/>
        <w:t>SDA, s 9(11)-(14); DDA, s 12(9); ADA, s 10(9).</w:t>
      </w:r>
    </w:p>
  </w:endnote>
  <w:endnote w:id="19">
    <w:p w14:paraId="0568E557" w14:textId="4FB17352" w:rsidR="00D77A9D" w:rsidRDefault="00D77A9D" w:rsidP="00E17B13">
      <w:pPr>
        <w:pStyle w:val="EndnoteText"/>
        <w:ind w:left="284" w:hanging="284"/>
      </w:pPr>
      <w:r>
        <w:rPr>
          <w:rStyle w:val="EndnoteReference"/>
        </w:rPr>
        <w:endnoteRef/>
      </w:r>
      <w:r>
        <w:t xml:space="preserve"> </w:t>
      </w:r>
      <w:r>
        <w:tab/>
        <w:t>Bill, clause 58(2).</w:t>
      </w:r>
    </w:p>
  </w:endnote>
  <w:endnote w:id="20">
    <w:p w14:paraId="67285986" w14:textId="77777777" w:rsidR="00D77A9D" w:rsidRDefault="00D77A9D" w:rsidP="00E17B13">
      <w:pPr>
        <w:pStyle w:val="EndnoteText"/>
        <w:ind w:left="284" w:hanging="284"/>
      </w:pPr>
      <w:r>
        <w:rPr>
          <w:rStyle w:val="EndnoteReference"/>
        </w:rPr>
        <w:endnoteRef/>
      </w:r>
      <w:r>
        <w:t xml:space="preserve"> </w:t>
      </w:r>
      <w:r>
        <w:tab/>
        <w:t>SDA, s 37(1)(d); ADA, s 35.</w:t>
      </w:r>
    </w:p>
  </w:endnote>
  <w:endnote w:id="21">
    <w:p w14:paraId="67C3117A" w14:textId="4689F573" w:rsidR="00D77A9D" w:rsidRDefault="00D77A9D" w:rsidP="00E17B13">
      <w:pPr>
        <w:pStyle w:val="EndnoteText"/>
        <w:ind w:left="284" w:hanging="284"/>
      </w:pPr>
      <w:r>
        <w:rPr>
          <w:rStyle w:val="EndnoteReference"/>
        </w:rPr>
        <w:endnoteRef/>
      </w:r>
      <w:r>
        <w:t xml:space="preserve"> </w:t>
      </w:r>
      <w:r>
        <w:tab/>
        <w:t>Explanatory Notes at [180].</w:t>
      </w:r>
    </w:p>
  </w:endnote>
  <w:endnote w:id="22">
    <w:p w14:paraId="6E683D1D" w14:textId="069293CD" w:rsidR="00D77A9D" w:rsidRDefault="00D77A9D" w:rsidP="00E17B13">
      <w:pPr>
        <w:pStyle w:val="EndnoteText"/>
        <w:ind w:left="284" w:hanging="284"/>
      </w:pPr>
      <w:r>
        <w:rPr>
          <w:rStyle w:val="EndnoteReference"/>
        </w:rPr>
        <w:endnoteRef/>
      </w:r>
      <w:r>
        <w:t xml:space="preserve"> </w:t>
      </w:r>
      <w:r>
        <w:tab/>
        <w:t>See the discussion in Religious Freedom Review at [1.211]</w:t>
      </w:r>
      <w:proofErr w:type="gramStart"/>
      <w:r>
        <w:t>-[</w:t>
      </w:r>
      <w:proofErr w:type="gramEnd"/>
      <w:r>
        <w:t>1.213].</w:t>
      </w:r>
    </w:p>
  </w:endnote>
  <w:endnote w:id="23">
    <w:p w14:paraId="571F8F54" w14:textId="1404D9B0" w:rsidR="00D77A9D" w:rsidRDefault="00D77A9D" w:rsidP="00E17B13">
      <w:pPr>
        <w:pStyle w:val="EndnoteText"/>
        <w:ind w:left="284" w:hanging="284"/>
      </w:pPr>
      <w:r>
        <w:rPr>
          <w:rStyle w:val="EndnoteReference"/>
        </w:rPr>
        <w:endnoteRef/>
      </w:r>
      <w:r>
        <w:t xml:space="preserve"> </w:t>
      </w:r>
      <w:r>
        <w:tab/>
        <w:t>Explanatory Notes at [174].</w:t>
      </w:r>
    </w:p>
  </w:endnote>
  <w:endnote w:id="24">
    <w:p w14:paraId="7A9E68B2" w14:textId="2291075E" w:rsidR="00D77A9D" w:rsidRDefault="00D77A9D" w:rsidP="00E17B13">
      <w:pPr>
        <w:pStyle w:val="EndnoteText"/>
        <w:ind w:left="284" w:hanging="284"/>
      </w:pPr>
      <w:r>
        <w:rPr>
          <w:rStyle w:val="EndnoteReference"/>
        </w:rPr>
        <w:endnoteRef/>
      </w:r>
      <w:r>
        <w:t xml:space="preserve"> </w:t>
      </w:r>
      <w:r>
        <w:tab/>
        <w:t xml:space="preserve">The Consequential Amendments Bill, Sch 1, clause 19 will amend the list of anti-discrimination laws in the </w:t>
      </w:r>
      <w:r w:rsidRPr="00294D79">
        <w:rPr>
          <w:i/>
          <w:iCs/>
        </w:rPr>
        <w:t>Fair Work Act 2009</w:t>
      </w:r>
      <w:r>
        <w:t xml:space="preserve"> (Cth) to include the new </w:t>
      </w:r>
      <w:r w:rsidRPr="00294D79">
        <w:rPr>
          <w:i/>
          <w:iCs/>
        </w:rPr>
        <w:t>Religious Discrimination Act 2019</w:t>
      </w:r>
      <w:r>
        <w:t xml:space="preserve"> (Cth).</w:t>
      </w:r>
    </w:p>
  </w:endnote>
  <w:endnote w:id="25">
    <w:p w14:paraId="490EDE55" w14:textId="1E7A37C5" w:rsidR="00D77A9D" w:rsidRDefault="00D77A9D" w:rsidP="00E17B13">
      <w:pPr>
        <w:pStyle w:val="EndnoteText"/>
        <w:ind w:left="284" w:hanging="284"/>
      </w:pPr>
      <w:r>
        <w:rPr>
          <w:rStyle w:val="EndnoteReference"/>
        </w:rPr>
        <w:endnoteRef/>
      </w:r>
      <w:r>
        <w:t xml:space="preserve"> </w:t>
      </w:r>
      <w:r>
        <w:tab/>
      </w:r>
      <w:r w:rsidRPr="00233510">
        <w:rPr>
          <w:rFonts w:cs="Open Sans"/>
        </w:rPr>
        <w:t xml:space="preserve">Australian Human Rights Commission, </w:t>
      </w:r>
      <w:r w:rsidRPr="00233510">
        <w:rPr>
          <w:rFonts w:cs="Open Sans"/>
          <w:i/>
          <w:iCs/>
        </w:rPr>
        <w:t>Religious Freedom Review, Australian Human</w:t>
      </w:r>
      <w:r w:rsidRPr="00A50030">
        <w:rPr>
          <w:rFonts w:cs="Open Sans"/>
          <w:i/>
          <w:iCs/>
        </w:rPr>
        <w:t xml:space="preserve"> Rights Commission submission to the Expert Panel</w:t>
      </w:r>
      <w:r w:rsidRPr="00A50030">
        <w:rPr>
          <w:rFonts w:cs="Open Sans"/>
        </w:rPr>
        <w:t xml:space="preserve"> (2018)</w:t>
      </w:r>
      <w:r>
        <w:rPr>
          <w:rFonts w:cs="Open Sans"/>
        </w:rPr>
        <w:t xml:space="preserve"> at [10]</w:t>
      </w:r>
      <w:r w:rsidRPr="00A50030">
        <w:rPr>
          <w:rFonts w:cs="Open Sans"/>
        </w:rPr>
        <w:t xml:space="preserve">. At </w:t>
      </w:r>
      <w:hyperlink r:id="rId4" w:history="1">
        <w:r w:rsidRPr="00A50030">
          <w:rPr>
            <w:rStyle w:val="Hyperlink"/>
            <w:rFonts w:cs="Open Sans"/>
          </w:rPr>
          <w:t>https://www.humanrights.gov.au/our-work/legal/submission/religious-freedom-review-2018</w:t>
        </w:r>
      </w:hyperlink>
      <w:r>
        <w:rPr>
          <w:rStyle w:val="Hyperlink"/>
          <w:rFonts w:cs="Open Sans"/>
          <w:u w:val="none"/>
        </w:rPr>
        <w:t>.</w:t>
      </w:r>
    </w:p>
  </w:endnote>
  <w:endnote w:id="26">
    <w:p w14:paraId="69162E57" w14:textId="003376FB" w:rsidR="00D77A9D" w:rsidRDefault="00D77A9D" w:rsidP="00E17B13">
      <w:pPr>
        <w:pStyle w:val="EndnoteText"/>
        <w:ind w:left="284" w:hanging="284"/>
      </w:pPr>
      <w:r>
        <w:rPr>
          <w:rStyle w:val="EndnoteReference"/>
        </w:rPr>
        <w:endnoteRef/>
      </w:r>
      <w:r>
        <w:t xml:space="preserve"> </w:t>
      </w:r>
      <w:r>
        <w:tab/>
        <w:t xml:space="preserve">J Hunyor, ‘Skin-deep: Proof and Inferences in Racial Discrimination in Employment’ (2003) 25 </w:t>
      </w:r>
      <w:r w:rsidRPr="000C0230">
        <w:rPr>
          <w:i/>
          <w:iCs/>
        </w:rPr>
        <w:t>Sydney Law Review</w:t>
      </w:r>
      <w:r>
        <w:t xml:space="preserve"> 537.</w:t>
      </w:r>
    </w:p>
  </w:endnote>
  <w:endnote w:id="27">
    <w:p w14:paraId="59BAB0F1" w14:textId="44C8C9B1" w:rsidR="00D77A9D" w:rsidRDefault="00D77A9D" w:rsidP="00E17B13">
      <w:pPr>
        <w:pStyle w:val="EndnoteText"/>
        <w:ind w:left="284" w:hanging="284"/>
      </w:pPr>
      <w:r>
        <w:rPr>
          <w:rStyle w:val="EndnoteReference"/>
        </w:rPr>
        <w:endnoteRef/>
      </w:r>
      <w:r>
        <w:t xml:space="preserve"> </w:t>
      </w:r>
      <w:r>
        <w:tab/>
        <w:t xml:space="preserve">For example, see </w:t>
      </w:r>
      <w:r w:rsidRPr="005F45F6">
        <w:rPr>
          <w:i/>
          <w:iCs/>
        </w:rPr>
        <w:t>Batzialas v Tony Davies Motors Pty Ltd</w:t>
      </w:r>
      <w:r>
        <w:t xml:space="preserve"> [2002] FMCA 243; </w:t>
      </w:r>
      <w:r w:rsidRPr="005F45F6">
        <w:rPr>
          <w:i/>
          <w:iCs/>
        </w:rPr>
        <w:t>Chau v Oreanda Pty Ltd</w:t>
      </w:r>
      <w:r>
        <w:t xml:space="preserve"> [2001] FMCA 114; </w:t>
      </w:r>
      <w:r w:rsidRPr="005F45F6">
        <w:rPr>
          <w:i/>
          <w:iCs/>
        </w:rPr>
        <w:t>Gama v Qantas Airways Ltd (No 2)</w:t>
      </w:r>
      <w:r>
        <w:t xml:space="preserve"> [2006] FMCA 1767; </w:t>
      </w:r>
      <w:r w:rsidRPr="005F45F6">
        <w:rPr>
          <w:i/>
          <w:iCs/>
        </w:rPr>
        <w:t>Qantas Airways Ltd v Gama</w:t>
      </w:r>
      <w:r>
        <w:t xml:space="preserve"> (2008) 167 FCR 537 and the cases referred to in Australian Human Rights Commission, </w:t>
      </w:r>
      <w:r w:rsidRPr="00260974">
        <w:rPr>
          <w:i/>
          <w:iCs/>
        </w:rPr>
        <w:t>Federal Discrimination Law</w:t>
      </w:r>
      <w:r>
        <w:t xml:space="preserve"> (2016), pp 49-51, at </w:t>
      </w:r>
      <w:hyperlink r:id="rId5" w:history="1">
        <w:r w:rsidRPr="001A579A">
          <w:rPr>
            <w:rStyle w:val="Hyperlink"/>
          </w:rPr>
          <w:t>https://www.humanrights.gov.au/our-work/legal/publications/federal-discrimination-law-2016</w:t>
        </w:r>
      </w:hyperlink>
      <w:r>
        <w:t xml:space="preserve">. </w:t>
      </w:r>
    </w:p>
  </w:endnote>
  <w:endnote w:id="28">
    <w:p w14:paraId="71EBC3A4" w14:textId="048B099F" w:rsidR="00D77A9D" w:rsidRDefault="00D77A9D" w:rsidP="00E17B13">
      <w:pPr>
        <w:pStyle w:val="EndnoteText"/>
        <w:ind w:left="284" w:hanging="284"/>
      </w:pPr>
      <w:r>
        <w:rPr>
          <w:rStyle w:val="EndnoteReference"/>
        </w:rPr>
        <w:endnoteRef/>
      </w:r>
      <w:r>
        <w:t xml:space="preserve"> </w:t>
      </w:r>
      <w:r>
        <w:tab/>
        <w:t>Religious Freedom Review, at [1.400].</w:t>
      </w:r>
    </w:p>
  </w:endnote>
  <w:endnote w:id="29">
    <w:p w14:paraId="23AF2329" w14:textId="14B7FC12" w:rsidR="00D77A9D" w:rsidRDefault="00D77A9D" w:rsidP="00E17B13">
      <w:pPr>
        <w:pStyle w:val="EndnoteText"/>
        <w:ind w:left="284" w:hanging="284"/>
      </w:pPr>
      <w:r>
        <w:rPr>
          <w:rStyle w:val="EndnoteReference"/>
        </w:rPr>
        <w:endnoteRef/>
      </w:r>
      <w:r>
        <w:t xml:space="preserve"> </w:t>
      </w:r>
      <w:r>
        <w:tab/>
        <w:t>SDA, ss 5A, 5B and 5C.</w:t>
      </w:r>
    </w:p>
  </w:endnote>
  <w:endnote w:id="30">
    <w:p w14:paraId="24152425" w14:textId="77777777" w:rsidR="00D77A9D" w:rsidRDefault="00D77A9D" w:rsidP="00E17B13">
      <w:pPr>
        <w:pStyle w:val="EndnoteText"/>
        <w:ind w:left="284" w:hanging="284"/>
      </w:pPr>
      <w:r>
        <w:rPr>
          <w:rStyle w:val="EndnoteReference"/>
        </w:rPr>
        <w:endnoteRef/>
      </w:r>
      <w:r>
        <w:t xml:space="preserve"> </w:t>
      </w:r>
      <w:r>
        <w:tab/>
        <w:t>Explanatory Notes at [418]-[420].</w:t>
      </w:r>
    </w:p>
  </w:endnote>
  <w:endnote w:id="31">
    <w:p w14:paraId="28D9AB82" w14:textId="7C27C4A7" w:rsidR="00D77A9D" w:rsidRDefault="00D77A9D" w:rsidP="00CB79CA">
      <w:pPr>
        <w:pStyle w:val="EndnoteText"/>
        <w:ind w:left="284" w:hanging="284"/>
      </w:pPr>
      <w:r>
        <w:rPr>
          <w:rStyle w:val="EndnoteReference"/>
        </w:rPr>
        <w:endnoteRef/>
      </w:r>
      <w:r>
        <w:t xml:space="preserve"> </w:t>
      </w:r>
      <w:r>
        <w:tab/>
      </w:r>
      <w:r w:rsidRPr="00497FB3">
        <w:rPr>
          <w:i/>
          <w:iCs/>
        </w:rPr>
        <w:t>Aldridge v Booth</w:t>
      </w:r>
      <w:r>
        <w:t xml:space="preserve"> (1988) 80 ALR 1 at 16-17 (Spender J); </w:t>
      </w:r>
      <w:r w:rsidRPr="00497FB3">
        <w:rPr>
          <w:i/>
          <w:iCs/>
        </w:rPr>
        <w:t>Hall v Sheiban</w:t>
      </w:r>
      <w:r>
        <w:t xml:space="preserve"> (1989) 20 FCR 217 at 277 (French J); </w:t>
      </w:r>
      <w:r w:rsidRPr="00B07D50">
        <w:rPr>
          <w:i/>
          <w:iCs/>
        </w:rPr>
        <w:t>Elliott v Nanda</w:t>
      </w:r>
      <w:r>
        <w:t xml:space="preserve"> (2001) 111 FCR 240 at 281 [127] (Moore J).</w:t>
      </w:r>
    </w:p>
  </w:endnote>
  <w:endnote w:id="32">
    <w:p w14:paraId="53AE9ED8" w14:textId="6420FBFA" w:rsidR="00D77A9D" w:rsidRDefault="00D77A9D" w:rsidP="00E17B13">
      <w:pPr>
        <w:pStyle w:val="EndnoteText"/>
        <w:ind w:left="284" w:hanging="284"/>
      </w:pPr>
      <w:r>
        <w:rPr>
          <w:rStyle w:val="EndnoteReference"/>
        </w:rPr>
        <w:endnoteRef/>
      </w:r>
      <w:r>
        <w:t xml:space="preserve"> </w:t>
      </w:r>
      <w:r>
        <w:tab/>
      </w:r>
      <w:r w:rsidRPr="004F20A9">
        <w:rPr>
          <w:i/>
          <w:iCs/>
        </w:rPr>
        <w:t>Cooke v Plauen Holdings Pty Ltd</w:t>
      </w:r>
      <w:r>
        <w:t xml:space="preserve"> [2001] FMCA 91.</w:t>
      </w:r>
    </w:p>
  </w:endnote>
  <w:endnote w:id="33">
    <w:p w14:paraId="4D409EA0" w14:textId="2C5DC487" w:rsidR="00D77A9D" w:rsidRDefault="00D77A9D" w:rsidP="00E17B13">
      <w:pPr>
        <w:pStyle w:val="EndnoteText"/>
        <w:ind w:left="284" w:hanging="284"/>
      </w:pPr>
      <w:r>
        <w:rPr>
          <w:rStyle w:val="EndnoteReference"/>
        </w:rPr>
        <w:endnoteRef/>
      </w:r>
      <w:r>
        <w:t xml:space="preserve"> </w:t>
      </w:r>
      <w:r>
        <w:tab/>
        <w:t>Bill, clause 5, definition of ‘relevant employer’.</w:t>
      </w:r>
    </w:p>
  </w:endnote>
  <w:endnote w:id="34">
    <w:p w14:paraId="295BB911" w14:textId="43C123D4" w:rsidR="00D77A9D" w:rsidRDefault="00D77A9D" w:rsidP="00E74F02">
      <w:pPr>
        <w:pStyle w:val="EndnoteText"/>
        <w:ind w:left="284" w:hanging="284"/>
      </w:pPr>
      <w:r>
        <w:rPr>
          <w:rStyle w:val="EndnoteReference"/>
        </w:rPr>
        <w:endnoteRef/>
      </w:r>
      <w:r>
        <w:t xml:space="preserve"> </w:t>
      </w:r>
      <w:r>
        <w:tab/>
        <w:t>Bill, clause 8(7).</w:t>
      </w:r>
    </w:p>
  </w:endnote>
  <w:endnote w:id="35">
    <w:p w14:paraId="08F7485C" w14:textId="0C0181DB" w:rsidR="00D77A9D" w:rsidRDefault="00D77A9D" w:rsidP="00E17B13">
      <w:pPr>
        <w:pStyle w:val="EndnoteText"/>
        <w:ind w:left="284" w:hanging="284"/>
      </w:pPr>
      <w:r>
        <w:rPr>
          <w:rStyle w:val="EndnoteReference"/>
        </w:rPr>
        <w:endnoteRef/>
      </w:r>
      <w:r>
        <w:t xml:space="preserve"> </w:t>
      </w:r>
      <w:r>
        <w:tab/>
        <w:t>DDA, ss 5(2), 6(2).</w:t>
      </w:r>
    </w:p>
  </w:endnote>
  <w:endnote w:id="36">
    <w:p w14:paraId="775F4199" w14:textId="639850AE" w:rsidR="00D77A9D" w:rsidRDefault="00D77A9D" w:rsidP="00E17B13">
      <w:pPr>
        <w:pStyle w:val="EndnoteText"/>
        <w:ind w:left="284" w:hanging="284"/>
      </w:pPr>
      <w:r>
        <w:rPr>
          <w:rStyle w:val="EndnoteReference"/>
        </w:rPr>
        <w:endnoteRef/>
      </w:r>
      <w:r>
        <w:t xml:space="preserve"> </w:t>
      </w:r>
      <w:r>
        <w:tab/>
        <w:t>DDA, s 4, definition of ‘reasonable adjustment’.</w:t>
      </w:r>
    </w:p>
  </w:endnote>
  <w:endnote w:id="37">
    <w:p w14:paraId="79C4553D" w14:textId="28FE45FE" w:rsidR="00D77A9D" w:rsidRDefault="00D77A9D" w:rsidP="00E17B13">
      <w:pPr>
        <w:pStyle w:val="EndnoteText"/>
        <w:ind w:left="284" w:hanging="284"/>
      </w:pPr>
      <w:r>
        <w:rPr>
          <w:rStyle w:val="EndnoteReference"/>
        </w:rPr>
        <w:endnoteRef/>
      </w:r>
      <w:r>
        <w:t xml:space="preserve"> </w:t>
      </w:r>
      <w:r>
        <w:tab/>
        <w:t xml:space="preserve">NSW Rugby Union, </w:t>
      </w:r>
      <w:r w:rsidRPr="004838B6">
        <w:rPr>
          <w:i/>
          <w:iCs/>
        </w:rPr>
        <w:t>Updates: Israel Folau Statements</w:t>
      </w:r>
      <w:r>
        <w:t xml:space="preserve">, </w:t>
      </w:r>
      <w:hyperlink r:id="rId6" w:history="1">
        <w:r w:rsidRPr="003A5619">
          <w:rPr>
            <w:rStyle w:val="Hyperlink"/>
          </w:rPr>
          <w:t>http://www.nswwaratahs.com.au/news/news-article/articleid/18377/rugby-australia-and-nsw-rugby-union-statement-regarding-israel-folau</w:t>
        </w:r>
      </w:hyperlink>
      <w:r>
        <w:t xml:space="preserve">. </w:t>
      </w:r>
    </w:p>
  </w:endnote>
  <w:endnote w:id="38">
    <w:p w14:paraId="13977789" w14:textId="23B1799A" w:rsidR="00D77A9D" w:rsidRDefault="00D77A9D" w:rsidP="00E17B13">
      <w:pPr>
        <w:pStyle w:val="EndnoteText"/>
        <w:ind w:left="284" w:hanging="284"/>
      </w:pPr>
      <w:r>
        <w:rPr>
          <w:rStyle w:val="EndnoteReference"/>
        </w:rPr>
        <w:endnoteRef/>
      </w:r>
      <w:r>
        <w:t xml:space="preserve"> </w:t>
      </w:r>
      <w:r>
        <w:tab/>
        <w:t xml:space="preserve">Australian Broadcasting Corporation, ‘Israel Folau committed high-level breach of players’ code of conduct’ 7 May 2019. At </w:t>
      </w:r>
      <w:hyperlink r:id="rId7" w:history="1">
        <w:r>
          <w:rPr>
            <w:rStyle w:val="Hyperlink"/>
          </w:rPr>
          <w:t>https://www.abc.net.au/news/2019-05-07/israel-folau-breached-code-of-conduct-hearing-finds/11089234</w:t>
        </w:r>
      </w:hyperlink>
      <w:r>
        <w:t xml:space="preserve">. </w:t>
      </w:r>
    </w:p>
  </w:endnote>
  <w:endnote w:id="39">
    <w:p w14:paraId="61E05E97" w14:textId="09A5D0A2" w:rsidR="00D77A9D" w:rsidRDefault="00D77A9D" w:rsidP="00E17B13">
      <w:pPr>
        <w:pStyle w:val="EndnoteText"/>
        <w:ind w:left="284" w:hanging="284"/>
      </w:pPr>
      <w:r>
        <w:rPr>
          <w:rStyle w:val="EndnoteReference"/>
        </w:rPr>
        <w:endnoteRef/>
      </w:r>
      <w:r>
        <w:t xml:space="preserve"> </w:t>
      </w:r>
      <w:r>
        <w:tab/>
        <w:t>Explanatory Notes at [407].</w:t>
      </w:r>
    </w:p>
  </w:endnote>
  <w:endnote w:id="40">
    <w:p w14:paraId="094B7B87" w14:textId="77777777" w:rsidR="00D77A9D" w:rsidRDefault="00D77A9D" w:rsidP="00E17B13">
      <w:pPr>
        <w:pStyle w:val="EndnoteText"/>
        <w:ind w:left="284" w:hanging="284"/>
      </w:pPr>
      <w:r>
        <w:rPr>
          <w:rStyle w:val="EndnoteReference"/>
        </w:rPr>
        <w:endnoteRef/>
      </w:r>
      <w:r>
        <w:t xml:space="preserve"> </w:t>
      </w:r>
      <w:r>
        <w:tab/>
        <w:t xml:space="preserve">Attorney-General’s Department, ‘Causes of complex legislation and strategies to address these’.  At </w:t>
      </w:r>
      <w:hyperlink r:id="rId8" w:history="1">
        <w:r w:rsidRPr="003A5619">
          <w:rPr>
            <w:rStyle w:val="Hyperlink"/>
          </w:rPr>
          <w:t>https://www.ag.gov.au/LegalSystem/ReducingTheComplexityOfLegislation/Documents/causes-of-complex-legislation-and-strategies-to-address-these.pdf</w:t>
        </w:r>
      </w:hyperlink>
      <w:r>
        <w:t xml:space="preserve">. </w:t>
      </w:r>
    </w:p>
  </w:endnote>
  <w:endnote w:id="41">
    <w:p w14:paraId="389032DC" w14:textId="698A7C31" w:rsidR="00D77A9D" w:rsidRDefault="00D77A9D" w:rsidP="00E17B13">
      <w:pPr>
        <w:pStyle w:val="EndnoteText"/>
        <w:ind w:left="284" w:hanging="284"/>
      </w:pPr>
      <w:r>
        <w:rPr>
          <w:rStyle w:val="EndnoteReference"/>
        </w:rPr>
        <w:endnoteRef/>
      </w:r>
      <w:r>
        <w:t xml:space="preserve"> </w:t>
      </w:r>
      <w:r>
        <w:tab/>
        <w:t>Bill, clause 5, definition of ‘health service’.</w:t>
      </w:r>
    </w:p>
  </w:endnote>
  <w:endnote w:id="42">
    <w:p w14:paraId="1A0D1203" w14:textId="01A22630" w:rsidR="00D77A9D" w:rsidRDefault="00D77A9D" w:rsidP="00E17B13">
      <w:pPr>
        <w:pStyle w:val="EndnoteText"/>
        <w:ind w:left="284" w:hanging="284"/>
      </w:pPr>
      <w:r>
        <w:rPr>
          <w:rStyle w:val="EndnoteReference"/>
        </w:rPr>
        <w:endnoteRef/>
      </w:r>
      <w:r>
        <w:t xml:space="preserve"> </w:t>
      </w:r>
      <w:r>
        <w:tab/>
        <w:t>Explanatory Notes at [137].</w:t>
      </w:r>
    </w:p>
  </w:endnote>
  <w:endnote w:id="43">
    <w:p w14:paraId="769FAA7A" w14:textId="3190E436" w:rsidR="00D77A9D" w:rsidRDefault="00D77A9D" w:rsidP="00E17B13">
      <w:pPr>
        <w:pStyle w:val="EndnoteText"/>
        <w:ind w:left="284" w:hanging="284"/>
      </w:pPr>
      <w:r>
        <w:rPr>
          <w:rStyle w:val="EndnoteReference"/>
        </w:rPr>
        <w:endnoteRef/>
      </w:r>
      <w:r>
        <w:t xml:space="preserve"> </w:t>
      </w:r>
      <w:r>
        <w:tab/>
        <w:t>Explanatory Notes at [143].</w:t>
      </w:r>
    </w:p>
  </w:endnote>
  <w:endnote w:id="44">
    <w:p w14:paraId="1DAEC7ED" w14:textId="6F43D1BF" w:rsidR="00D77A9D" w:rsidRDefault="00D77A9D" w:rsidP="00E17B13">
      <w:pPr>
        <w:pStyle w:val="EndnoteText"/>
        <w:ind w:left="284" w:hanging="284"/>
      </w:pPr>
      <w:r>
        <w:rPr>
          <w:rStyle w:val="EndnoteReference"/>
        </w:rPr>
        <w:endnoteRef/>
      </w:r>
      <w:r>
        <w:t xml:space="preserve"> </w:t>
      </w:r>
      <w:r>
        <w:tab/>
        <w:t>Explanatory Notes at [147].</w:t>
      </w:r>
    </w:p>
  </w:endnote>
  <w:endnote w:id="45">
    <w:p w14:paraId="13C33BC8" w14:textId="77777777" w:rsidR="00D77A9D" w:rsidRDefault="00D77A9D" w:rsidP="00E17B13">
      <w:pPr>
        <w:pStyle w:val="EndnoteText"/>
        <w:ind w:left="284" w:hanging="284"/>
      </w:pPr>
      <w:r>
        <w:rPr>
          <w:rStyle w:val="EndnoteReference"/>
        </w:rPr>
        <w:endnoteRef/>
      </w:r>
      <w:r>
        <w:t xml:space="preserve"> </w:t>
      </w:r>
      <w:r>
        <w:tab/>
        <w:t xml:space="preserve">New South Wales Government, Ministry of Health, </w:t>
      </w:r>
      <w:r w:rsidRPr="00D956E1">
        <w:rPr>
          <w:i/>
          <w:iCs/>
        </w:rPr>
        <w:t>Pregnancy – Framework for Terminations in New South Wales Public Health Organisations</w:t>
      </w:r>
      <w:r>
        <w:t xml:space="preserve">, 2 July 2014, p 7.  At </w:t>
      </w:r>
      <w:hyperlink r:id="rId9" w:history="1">
        <w:r>
          <w:rPr>
            <w:rStyle w:val="Hyperlink"/>
          </w:rPr>
          <w:t>https://www1.health.nsw.gov.au/pds/ActivePDSDocuments/PD2014_022.pdf</w:t>
        </w:r>
      </w:hyperlink>
      <w:r>
        <w:t xml:space="preserve">. </w:t>
      </w:r>
    </w:p>
  </w:endnote>
  <w:endnote w:id="46">
    <w:p w14:paraId="406E1187" w14:textId="7874C1AE" w:rsidR="00D77A9D" w:rsidRDefault="00D77A9D" w:rsidP="00E17B13">
      <w:pPr>
        <w:pStyle w:val="EndnoteText"/>
        <w:ind w:left="284" w:hanging="284"/>
      </w:pPr>
      <w:r>
        <w:rPr>
          <w:rStyle w:val="EndnoteReference"/>
        </w:rPr>
        <w:endnoteRef/>
      </w:r>
      <w:r>
        <w:t xml:space="preserve"> </w:t>
      </w:r>
      <w:r>
        <w:tab/>
        <w:t>AHRC Act, s 31(b).</w:t>
      </w:r>
    </w:p>
  </w:endnote>
  <w:endnote w:id="47">
    <w:p w14:paraId="0CED2591" w14:textId="0347751F" w:rsidR="00D77A9D" w:rsidRDefault="00D77A9D" w:rsidP="00E17B13">
      <w:pPr>
        <w:pStyle w:val="EndnoteText"/>
        <w:ind w:left="284" w:hanging="284"/>
      </w:pPr>
      <w:r>
        <w:rPr>
          <w:rStyle w:val="EndnoteReference"/>
        </w:rPr>
        <w:endnoteRef/>
      </w:r>
      <w:r>
        <w:t xml:space="preserve"> </w:t>
      </w:r>
      <w:r>
        <w:tab/>
        <w:t>AHRC Act, s 32A.</w:t>
      </w:r>
    </w:p>
  </w:endnote>
  <w:endnote w:id="48">
    <w:p w14:paraId="353688C1" w14:textId="4DFCFF27" w:rsidR="00D77A9D" w:rsidRDefault="00D77A9D" w:rsidP="00E17B13">
      <w:pPr>
        <w:pStyle w:val="EndnoteText"/>
        <w:ind w:left="284" w:hanging="284"/>
      </w:pPr>
      <w:r>
        <w:rPr>
          <w:rStyle w:val="EndnoteReference"/>
        </w:rPr>
        <w:endnoteRef/>
      </w:r>
      <w:r>
        <w:t xml:space="preserve"> </w:t>
      </w:r>
      <w:r>
        <w:tab/>
        <w:t>AHRC Act, s 3, definition of ‘discrimination’.</w:t>
      </w:r>
    </w:p>
  </w:endnote>
  <w:endnote w:id="49">
    <w:p w14:paraId="2CFADE3C" w14:textId="097C9C67" w:rsidR="00D77A9D" w:rsidRDefault="00D77A9D" w:rsidP="00E17B13">
      <w:pPr>
        <w:pStyle w:val="EndnoteText"/>
        <w:ind w:left="284" w:hanging="284"/>
      </w:pPr>
      <w:r>
        <w:rPr>
          <w:rStyle w:val="EndnoteReference"/>
        </w:rPr>
        <w:endnoteRef/>
      </w:r>
      <w:r>
        <w:t xml:space="preserve"> </w:t>
      </w:r>
      <w:r>
        <w:tab/>
      </w:r>
      <w:r w:rsidRPr="004A738C">
        <w:rPr>
          <w:i/>
          <w:iCs/>
        </w:rPr>
        <w:t>X v Commonwealth</w:t>
      </w:r>
      <w:r w:rsidRPr="00353ABD">
        <w:t xml:space="preserve"> </w:t>
      </w:r>
      <w:r w:rsidRPr="0011490A">
        <w:t>(1999) 200 CLR 177</w:t>
      </w:r>
      <w:r>
        <w:t xml:space="preserve"> at</w:t>
      </w:r>
      <w:r w:rsidRPr="0011490A">
        <w:t xml:space="preserve"> </w:t>
      </w:r>
      <w:r>
        <w:t xml:space="preserve">177 [43] (McHugh J), </w:t>
      </w:r>
      <w:r w:rsidRPr="0011490A">
        <w:t>208 [102] (Gummow and Hayne JJ)</w:t>
      </w:r>
      <w:r w:rsidRPr="00353ABD">
        <w:t xml:space="preserve">, </w:t>
      </w:r>
      <w:r w:rsidRPr="00353ABD">
        <w:rPr>
          <w:i/>
          <w:iCs/>
        </w:rPr>
        <w:t>Qantas Airways v Christie</w:t>
      </w:r>
      <w:r w:rsidRPr="00353ABD">
        <w:t xml:space="preserve"> (1998) 193 CLR 280</w:t>
      </w:r>
      <w:r>
        <w:t xml:space="preserve"> at 294 [34] (Gaudron J).</w:t>
      </w:r>
    </w:p>
  </w:endnote>
  <w:endnote w:id="50">
    <w:p w14:paraId="4EF2FC8B" w14:textId="50E33E41" w:rsidR="00D77A9D" w:rsidRDefault="00D77A9D" w:rsidP="00E17B13">
      <w:pPr>
        <w:pStyle w:val="EndnoteText"/>
        <w:ind w:left="284" w:hanging="284"/>
      </w:pPr>
      <w:r>
        <w:rPr>
          <w:rStyle w:val="EndnoteReference"/>
        </w:rPr>
        <w:endnoteRef/>
      </w:r>
      <w:r>
        <w:t xml:space="preserve"> </w:t>
      </w:r>
      <w:r>
        <w:tab/>
      </w:r>
      <w:r>
        <w:rPr>
          <w:i/>
          <w:iCs/>
        </w:rPr>
        <w:t xml:space="preserve">Commonwealth v Human Rights and Equal Opportunity Commission </w:t>
      </w:r>
      <w:r>
        <w:t xml:space="preserve">(1996) 70 FCR 76 at 87-88 (Cooper J); </w:t>
      </w:r>
      <w:r w:rsidRPr="006A704D">
        <w:rPr>
          <w:i/>
          <w:iCs/>
        </w:rPr>
        <w:t>Power v Aboriginal Hostels Ltd</w:t>
      </w:r>
      <w:r>
        <w:t xml:space="preserve"> (2003) 133 FCR 254 at [19] (Selway J), both dealing with the ‘inherent requirements’ test under the DDA.</w:t>
      </w:r>
    </w:p>
  </w:endnote>
  <w:endnote w:id="51">
    <w:p w14:paraId="1554DBB4" w14:textId="0481CFF6" w:rsidR="00D77A9D" w:rsidRDefault="00D77A9D" w:rsidP="00E17B13">
      <w:pPr>
        <w:pStyle w:val="EndnoteText"/>
        <w:ind w:left="284" w:hanging="284"/>
      </w:pPr>
      <w:r>
        <w:rPr>
          <w:rStyle w:val="EndnoteReference"/>
        </w:rPr>
        <w:endnoteRef/>
      </w:r>
      <w:r>
        <w:t xml:space="preserve"> </w:t>
      </w:r>
      <w:r>
        <w:tab/>
      </w:r>
      <w:r w:rsidRPr="004A738C">
        <w:rPr>
          <w:i/>
          <w:iCs/>
        </w:rPr>
        <w:t>X v Commonwealth</w:t>
      </w:r>
      <w:r w:rsidRPr="00353ABD">
        <w:t xml:space="preserve"> </w:t>
      </w:r>
      <w:r w:rsidRPr="00946454">
        <w:t>(1999) 200 CLR 177</w:t>
      </w:r>
      <w:r w:rsidRPr="00353ABD">
        <w:t xml:space="preserve">, </w:t>
      </w:r>
      <w:r w:rsidRPr="00353ABD">
        <w:rPr>
          <w:i/>
          <w:iCs/>
        </w:rPr>
        <w:t>Qantas Airways v Christie</w:t>
      </w:r>
      <w:r w:rsidRPr="00353ABD">
        <w:t xml:space="preserve"> (1998) 193 CLR 280</w:t>
      </w:r>
      <w:r>
        <w:t>.</w:t>
      </w:r>
    </w:p>
  </w:endnote>
  <w:endnote w:id="52">
    <w:p w14:paraId="5EFC5332" w14:textId="1DA6C078" w:rsidR="00D77A9D" w:rsidRDefault="00D77A9D" w:rsidP="00E17B13">
      <w:pPr>
        <w:pStyle w:val="EndnoteText"/>
        <w:ind w:left="284" w:hanging="284"/>
      </w:pPr>
      <w:r>
        <w:rPr>
          <w:rStyle w:val="EndnoteReference"/>
        </w:rPr>
        <w:endnoteRef/>
      </w:r>
      <w:r>
        <w:t xml:space="preserve"> </w:t>
      </w:r>
      <w:r>
        <w:tab/>
      </w:r>
      <w:r w:rsidRPr="00946454">
        <w:rPr>
          <w:i/>
          <w:iCs/>
        </w:rPr>
        <w:t>X v Commonwealth</w:t>
      </w:r>
      <w:r w:rsidRPr="00946454">
        <w:t xml:space="preserve"> (1999) 200 CLR 177</w:t>
      </w:r>
      <w:r>
        <w:t xml:space="preserve"> at</w:t>
      </w:r>
      <w:r w:rsidRPr="00946454">
        <w:t xml:space="preserve"> 222-223 [146] (Kirby J); </w:t>
      </w:r>
      <w:r w:rsidRPr="00946454">
        <w:rPr>
          <w:i/>
          <w:iCs/>
        </w:rPr>
        <w:t>Qantas Airways Ltd v Christie</w:t>
      </w:r>
      <w:r w:rsidRPr="00946454">
        <w:t xml:space="preserve"> (1998) 193 CLR 280</w:t>
      </w:r>
      <w:r>
        <w:t xml:space="preserve"> at</w:t>
      </w:r>
      <w:r w:rsidRPr="00946454">
        <w:t xml:space="preserve"> 333 [152] and footnotes 168-169 (Kirby J). This approach has been applied to Part II, Division 4 of the SDA in </w:t>
      </w:r>
      <w:r w:rsidRPr="00346892">
        <w:rPr>
          <w:i/>
          <w:iCs/>
        </w:rPr>
        <w:t>Gardner v All Australian Netball Association Limited</w:t>
      </w:r>
      <w:r w:rsidRPr="00946454">
        <w:t xml:space="preserve"> (2003) 197 ALR 28</w:t>
      </w:r>
      <w:r>
        <w:t xml:space="preserve"> at </w:t>
      </w:r>
      <w:r w:rsidRPr="00946454">
        <w:t xml:space="preserve">32-33 [19], [24], [26] (Raphael FM); </w:t>
      </w:r>
      <w:r w:rsidRPr="00346892">
        <w:rPr>
          <w:i/>
          <w:iCs/>
        </w:rPr>
        <w:t>Ferneley v Boxing Authority of New South Wales</w:t>
      </w:r>
      <w:r w:rsidRPr="00946454">
        <w:t xml:space="preserve"> (2001) 191 ALR 739</w:t>
      </w:r>
      <w:r>
        <w:t xml:space="preserve"> at</w:t>
      </w:r>
      <w:r w:rsidRPr="00946454">
        <w:t xml:space="preserve"> 757 [89] (Wilcox J).</w:t>
      </w:r>
    </w:p>
  </w:endnote>
  <w:endnote w:id="53">
    <w:p w14:paraId="5D934477" w14:textId="1D0B42F5" w:rsidR="00D77A9D" w:rsidRDefault="00D77A9D" w:rsidP="00E17B13">
      <w:pPr>
        <w:pStyle w:val="EndnoteText"/>
        <w:ind w:left="284" w:hanging="284"/>
      </w:pPr>
      <w:r>
        <w:rPr>
          <w:rStyle w:val="EndnoteReference"/>
        </w:rPr>
        <w:endnoteRef/>
      </w:r>
      <w:r>
        <w:t xml:space="preserve"> </w:t>
      </w:r>
      <w:r>
        <w:tab/>
        <w:t>SDA, s 44; DDA, s 55; ADA s 44.</w:t>
      </w:r>
    </w:p>
  </w:endnote>
  <w:endnote w:id="54">
    <w:p w14:paraId="27CA150C" w14:textId="14E472ED" w:rsidR="00D77A9D" w:rsidRDefault="00D77A9D" w:rsidP="00E17B13">
      <w:pPr>
        <w:pStyle w:val="EndnoteText"/>
        <w:ind w:left="284" w:hanging="284"/>
      </w:pPr>
      <w:r>
        <w:rPr>
          <w:rStyle w:val="EndnoteReference"/>
        </w:rPr>
        <w:endnoteRef/>
      </w:r>
      <w:r>
        <w:t xml:space="preserve"> </w:t>
      </w:r>
      <w:r>
        <w:tab/>
        <w:t xml:space="preserve">Australian Human Rights Commission, </w:t>
      </w:r>
      <w:r w:rsidRPr="00C67F98">
        <w:rPr>
          <w:i/>
          <w:iCs/>
        </w:rPr>
        <w:t>Exemptions</w:t>
      </w:r>
      <w:r>
        <w:t xml:space="preserve">, at </w:t>
      </w:r>
      <w:hyperlink r:id="rId10" w:history="1">
        <w:r w:rsidRPr="004A4E9A">
          <w:rPr>
            <w:rStyle w:val="Hyperlink"/>
          </w:rPr>
          <w:t>https://www.humanrights.gov.au/our-work/legal/exemptions</w:t>
        </w:r>
      </w:hyperlink>
      <w:r>
        <w:t xml:space="preserve">. </w:t>
      </w:r>
    </w:p>
  </w:endnote>
  <w:endnote w:id="55">
    <w:p w14:paraId="484E9441" w14:textId="1303A593" w:rsidR="00D77A9D" w:rsidRDefault="00D77A9D" w:rsidP="00E17B13">
      <w:pPr>
        <w:pStyle w:val="EndnoteText"/>
        <w:ind w:left="284" w:hanging="284"/>
      </w:pPr>
      <w:r>
        <w:rPr>
          <w:rStyle w:val="EndnoteReference"/>
        </w:rPr>
        <w:endnoteRef/>
      </w:r>
      <w:r>
        <w:t xml:space="preserve"> </w:t>
      </w:r>
      <w:r>
        <w:tab/>
        <w:t>Bill, clause 39.</w:t>
      </w:r>
    </w:p>
  </w:endnote>
  <w:endnote w:id="56">
    <w:p w14:paraId="07A78557" w14:textId="690EC374" w:rsidR="00D77A9D" w:rsidRDefault="00D77A9D" w:rsidP="00E17B13">
      <w:pPr>
        <w:pStyle w:val="EndnoteText"/>
        <w:ind w:left="284" w:hanging="284"/>
      </w:pPr>
      <w:r>
        <w:rPr>
          <w:rStyle w:val="EndnoteReference"/>
        </w:rPr>
        <w:endnoteRef/>
      </w:r>
      <w:r>
        <w:t xml:space="preserve"> </w:t>
      </w:r>
      <w:r>
        <w:tab/>
        <w:t>Explanatory Notes at [320].</w:t>
      </w:r>
    </w:p>
  </w:endnote>
  <w:endnote w:id="57">
    <w:p w14:paraId="6346E9F8" w14:textId="530AAF44" w:rsidR="00D77A9D" w:rsidRDefault="00D77A9D" w:rsidP="00E17B13">
      <w:pPr>
        <w:pStyle w:val="EndnoteText"/>
        <w:ind w:left="284" w:hanging="284"/>
      </w:pPr>
      <w:r>
        <w:rPr>
          <w:rStyle w:val="EndnoteReference"/>
        </w:rPr>
        <w:endnoteRef/>
      </w:r>
      <w:r>
        <w:t xml:space="preserve"> </w:t>
      </w:r>
      <w:r>
        <w:tab/>
        <w:t>Explanatory Notes at [318].</w:t>
      </w:r>
    </w:p>
  </w:endnote>
  <w:endnote w:id="58">
    <w:p w14:paraId="171151D2" w14:textId="30E7A132" w:rsidR="00D77A9D" w:rsidRDefault="00D77A9D" w:rsidP="00E17B13">
      <w:pPr>
        <w:pStyle w:val="EndnoteText"/>
        <w:ind w:left="284" w:hanging="284"/>
      </w:pPr>
      <w:r>
        <w:rPr>
          <w:rStyle w:val="EndnoteReference"/>
        </w:rPr>
        <w:endnoteRef/>
      </w:r>
      <w:r>
        <w:t xml:space="preserve"> </w:t>
      </w:r>
      <w:r>
        <w:tab/>
        <w:t>Explanatory Notes at [323]-[324].</w:t>
      </w:r>
    </w:p>
  </w:endnote>
  <w:endnote w:id="59">
    <w:p w14:paraId="00B477D2" w14:textId="3083CC1A" w:rsidR="00D77A9D" w:rsidRDefault="00D77A9D" w:rsidP="00E17B13">
      <w:pPr>
        <w:pStyle w:val="EndnoteText"/>
        <w:ind w:left="284" w:hanging="284"/>
      </w:pPr>
      <w:r>
        <w:rPr>
          <w:rStyle w:val="EndnoteReference"/>
        </w:rPr>
        <w:endnoteRef/>
      </w:r>
      <w:r>
        <w:t xml:space="preserve"> </w:t>
      </w:r>
      <w:r>
        <w:tab/>
        <w:t>Religious Freedom Review at [1.415].</w:t>
      </w:r>
    </w:p>
  </w:endnote>
  <w:endnote w:id="60">
    <w:p w14:paraId="72028C76" w14:textId="4B39D823" w:rsidR="00D77A9D" w:rsidRDefault="00D77A9D" w:rsidP="00E17B13">
      <w:pPr>
        <w:pStyle w:val="EndnoteText"/>
        <w:ind w:left="284" w:hanging="284"/>
      </w:pPr>
      <w:r>
        <w:rPr>
          <w:rStyle w:val="EndnoteReference"/>
        </w:rPr>
        <w:endnoteRef/>
      </w:r>
      <w:r>
        <w:t xml:space="preserve"> </w:t>
      </w:r>
      <w:r>
        <w:tab/>
        <w:t>Religious Freedom Review at [1.416].</w:t>
      </w:r>
    </w:p>
  </w:endnote>
  <w:endnote w:id="61">
    <w:p w14:paraId="15482249" w14:textId="77777777" w:rsidR="00D77A9D" w:rsidRDefault="00D77A9D" w:rsidP="002422F6">
      <w:pPr>
        <w:pStyle w:val="EndnoteText"/>
        <w:ind w:left="284" w:hanging="284"/>
      </w:pPr>
      <w:r>
        <w:rPr>
          <w:rStyle w:val="EndnoteReference"/>
        </w:rPr>
        <w:endnoteRef/>
      </w:r>
      <w:r>
        <w:t xml:space="preserve"> </w:t>
      </w:r>
      <w:r>
        <w:tab/>
        <w:t xml:space="preserve">Australian Government, </w:t>
      </w:r>
      <w:r w:rsidRPr="00750CCA">
        <w:rPr>
          <w:i/>
        </w:rPr>
        <w:t>Portfolio Budget Statements 2014-15, Budget Related Paper No. 1.2, Attorney-General’s Portfolio</w:t>
      </w:r>
      <w:r>
        <w:t xml:space="preserve">, pp 194-195. At </w:t>
      </w:r>
      <w:hyperlink r:id="rId11" w:history="1">
        <w:r w:rsidRPr="00D23728">
          <w:rPr>
            <w:rStyle w:val="Hyperlink"/>
          </w:rPr>
          <w:t>https://webarchive.nla.gov.au/awa/20160105001255/https://www.ag.gov.au/Publications/Budgets/Budget2014-15/Pages/PortfolioBudgetStatements2014-15.aspx</w:t>
        </w:r>
      </w:hyperlink>
      <w:r>
        <w:t>.</w:t>
      </w:r>
    </w:p>
  </w:endnote>
  <w:endnote w:id="62">
    <w:p w14:paraId="190E04EC" w14:textId="775ABFBB" w:rsidR="00D77A9D" w:rsidRDefault="00D77A9D" w:rsidP="00E17B13">
      <w:pPr>
        <w:pStyle w:val="EndnoteText"/>
        <w:ind w:left="284" w:hanging="284"/>
      </w:pPr>
      <w:r>
        <w:rPr>
          <w:rStyle w:val="EndnoteReference"/>
        </w:rPr>
        <w:endnoteRef/>
      </w:r>
      <w:r>
        <w:t xml:space="preserve"> </w:t>
      </w:r>
      <w:r>
        <w:tab/>
        <w:t xml:space="preserve">Instead, the budget for the Commission in 2016/17 decreased.  See Australian Government, </w:t>
      </w:r>
      <w:r w:rsidRPr="00750CCA">
        <w:rPr>
          <w:i/>
        </w:rPr>
        <w:t>Portfolio Budget Statements 201</w:t>
      </w:r>
      <w:r>
        <w:rPr>
          <w:i/>
        </w:rPr>
        <w:t>6</w:t>
      </w:r>
      <w:r w:rsidRPr="00750CCA">
        <w:rPr>
          <w:i/>
        </w:rPr>
        <w:t>-1</w:t>
      </w:r>
      <w:r>
        <w:rPr>
          <w:i/>
        </w:rPr>
        <w:t>7</w:t>
      </w:r>
      <w:r w:rsidRPr="00750CCA">
        <w:rPr>
          <w:i/>
        </w:rPr>
        <w:t>, Budget Related Paper No. 1.2, Attorney-General’s Portfolio</w:t>
      </w:r>
      <w:r>
        <w:t xml:space="preserve">, pp 128-129. At </w:t>
      </w:r>
      <w:hyperlink r:id="rId12" w:history="1">
        <w:r w:rsidRPr="00D23728">
          <w:rPr>
            <w:rStyle w:val="Hyperlink"/>
          </w:rPr>
          <w:t>https://webarchive.nla.gov.au/awa/20170408040550/https://www.ag.gov.au/Publications/Budgets/Budget2016-17/Pages/Portfolio-Budget-Statements-2016-17.aspx</w:t>
        </w:r>
      </w:hyperlink>
      <w:r>
        <w:t xml:space="preserve">. </w:t>
      </w:r>
    </w:p>
  </w:endnote>
  <w:endnote w:id="63">
    <w:p w14:paraId="7AD39271" w14:textId="77777777" w:rsidR="00D77A9D" w:rsidRDefault="00D77A9D" w:rsidP="00E17B13">
      <w:pPr>
        <w:pStyle w:val="EndnoteText"/>
        <w:ind w:left="284" w:hanging="284"/>
      </w:pPr>
      <w:r>
        <w:rPr>
          <w:rStyle w:val="EndnoteReference"/>
        </w:rPr>
        <w:endnoteRef/>
      </w:r>
      <w:r>
        <w:t xml:space="preserve"> </w:t>
      </w:r>
      <w:r>
        <w:tab/>
        <w:t xml:space="preserve">Australian Human Rights Commission, </w:t>
      </w:r>
      <w:r w:rsidRPr="00E710E3">
        <w:rPr>
          <w:i/>
          <w:iCs/>
        </w:rPr>
        <w:t>Submission to the Parliamentary Joint Committee on Human Rights in its Inquiry into freedom of speech</w:t>
      </w:r>
      <w:r>
        <w:t xml:space="preserve">, 9 December 2016 at [289]-[293].  At </w:t>
      </w:r>
      <w:hyperlink r:id="rId13" w:history="1">
        <w:r w:rsidRPr="00D23728">
          <w:rPr>
            <w:rStyle w:val="Hyperlink"/>
          </w:rPr>
          <w:t>https://www.aph.gov.au/DocumentStore.ashx?id=d42f430a-869c-4706-9414-bf0cba934162&amp;subId=461226</w:t>
        </w:r>
      </w:hyperlink>
      <w:r>
        <w:t xml:space="preserve">. </w:t>
      </w:r>
    </w:p>
  </w:endnote>
  <w:endnote w:id="64">
    <w:p w14:paraId="3C5D59DF" w14:textId="36DD98E3" w:rsidR="00D77A9D" w:rsidRDefault="00D77A9D" w:rsidP="00E17B13">
      <w:pPr>
        <w:pStyle w:val="EndnoteText"/>
        <w:ind w:left="284" w:hanging="284"/>
      </w:pPr>
      <w:r>
        <w:rPr>
          <w:rStyle w:val="EndnoteReference"/>
        </w:rPr>
        <w:endnoteRef/>
      </w:r>
      <w:r>
        <w:t xml:space="preserve"> </w:t>
      </w:r>
      <w:r>
        <w:tab/>
        <w:t>Bill, clause 43.</w:t>
      </w:r>
    </w:p>
  </w:endnote>
  <w:endnote w:id="65">
    <w:p w14:paraId="0AB1DA4B" w14:textId="0B069FDD" w:rsidR="00D77A9D" w:rsidRDefault="00D77A9D" w:rsidP="00E17B13">
      <w:pPr>
        <w:pStyle w:val="EndnoteText"/>
        <w:ind w:left="284" w:hanging="284"/>
      </w:pPr>
      <w:r>
        <w:rPr>
          <w:rStyle w:val="EndnoteReference"/>
        </w:rPr>
        <w:endnoteRef/>
      </w:r>
      <w:r>
        <w:t xml:space="preserve"> </w:t>
      </w:r>
      <w:r>
        <w:tab/>
        <w:t>RDA, s 27(2), SDA, s 94; DDA, s 42; ADA, s 51.</w:t>
      </w:r>
    </w:p>
  </w:endnote>
  <w:endnote w:id="66">
    <w:p w14:paraId="56BA3CCA" w14:textId="50C271CC" w:rsidR="00D77A9D" w:rsidRDefault="00D77A9D" w:rsidP="00E17B13">
      <w:pPr>
        <w:pStyle w:val="EndnoteText"/>
        <w:ind w:left="284" w:hanging="284"/>
      </w:pPr>
      <w:r>
        <w:rPr>
          <w:rStyle w:val="EndnoteReference"/>
        </w:rPr>
        <w:endnoteRef/>
      </w:r>
      <w:r>
        <w:t xml:space="preserve"> </w:t>
      </w:r>
      <w:r>
        <w:tab/>
        <w:t>AHRC Act, s 46</w:t>
      </w:r>
      <w:proofErr w:type="gramStart"/>
      <w:r>
        <w:t>P(</w:t>
      </w:r>
      <w:proofErr w:type="gramEnd"/>
      <w:r>
        <w:t>1).</w:t>
      </w:r>
    </w:p>
  </w:endnote>
  <w:endnote w:id="67">
    <w:p w14:paraId="2B1EBE95" w14:textId="549DEDE9" w:rsidR="00D77A9D" w:rsidRDefault="00D77A9D" w:rsidP="00E17B13">
      <w:pPr>
        <w:pStyle w:val="EndnoteText"/>
        <w:ind w:left="284" w:hanging="284"/>
      </w:pPr>
      <w:r>
        <w:rPr>
          <w:rStyle w:val="EndnoteReference"/>
        </w:rPr>
        <w:endnoteRef/>
      </w:r>
      <w:r>
        <w:t xml:space="preserve"> </w:t>
      </w:r>
      <w:r>
        <w:tab/>
        <w:t>AHRC Act, s 3(1) definition of ‘unlawful discrimination’.</w:t>
      </w:r>
    </w:p>
  </w:endnote>
  <w:endnote w:id="68">
    <w:p w14:paraId="336A573E" w14:textId="01163EE7" w:rsidR="00D77A9D" w:rsidRDefault="00D77A9D" w:rsidP="00E17B13">
      <w:pPr>
        <w:pStyle w:val="EndnoteText"/>
        <w:ind w:left="284" w:hanging="284"/>
      </w:pPr>
      <w:r>
        <w:rPr>
          <w:rStyle w:val="EndnoteReference"/>
        </w:rPr>
        <w:endnoteRef/>
      </w:r>
      <w:r>
        <w:t xml:space="preserve"> </w:t>
      </w:r>
      <w:r>
        <w:tab/>
        <w:t>Consequential Amendments Bill, Sch 1, clause 3.</w:t>
      </w:r>
    </w:p>
  </w:endnote>
  <w:endnote w:id="69">
    <w:p w14:paraId="08924A74" w14:textId="38242744" w:rsidR="00D77A9D" w:rsidRDefault="00D77A9D" w:rsidP="00E17B13">
      <w:pPr>
        <w:pStyle w:val="EndnoteText"/>
        <w:ind w:left="284" w:hanging="284"/>
      </w:pPr>
      <w:r>
        <w:rPr>
          <w:rStyle w:val="EndnoteReference"/>
        </w:rPr>
        <w:endnoteRef/>
      </w:r>
      <w:r>
        <w:t xml:space="preserve"> </w:t>
      </w:r>
      <w:r>
        <w:tab/>
        <w:t>Explanatory Notes to the Consequential Amendments Bill at [19].</w:t>
      </w:r>
    </w:p>
  </w:endnote>
  <w:endnote w:id="70">
    <w:p w14:paraId="295A7B30" w14:textId="7FC97B39" w:rsidR="00D77A9D" w:rsidRDefault="00D77A9D" w:rsidP="00E17B13">
      <w:pPr>
        <w:pStyle w:val="EndnoteText"/>
        <w:ind w:left="284" w:hanging="284"/>
      </w:pPr>
      <w:r>
        <w:rPr>
          <w:rStyle w:val="EndnoteReference"/>
        </w:rPr>
        <w:endnoteRef/>
      </w:r>
      <w:r>
        <w:t xml:space="preserve"> </w:t>
      </w:r>
      <w:r>
        <w:tab/>
        <w:t>AHRC Act, s 46</w:t>
      </w:r>
      <w:proofErr w:type="gramStart"/>
      <w:r>
        <w:t>PO(</w:t>
      </w:r>
      <w:proofErr w:type="gramEnd"/>
      <w:r>
        <w:t>1).  A court application may be made by an ‘affected person’, defined as a person on whose behalf the complaint was lodged.</w:t>
      </w:r>
    </w:p>
  </w:endnote>
  <w:endnote w:id="71">
    <w:p w14:paraId="705A2E03" w14:textId="68D2C463" w:rsidR="00D77A9D" w:rsidRDefault="00D77A9D" w:rsidP="00E17B13">
      <w:pPr>
        <w:pStyle w:val="EndnoteText"/>
        <w:ind w:left="284" w:hanging="284"/>
      </w:pPr>
      <w:r>
        <w:rPr>
          <w:rStyle w:val="EndnoteReference"/>
        </w:rPr>
        <w:endnoteRef/>
      </w:r>
      <w:r>
        <w:t xml:space="preserve"> </w:t>
      </w:r>
      <w:r>
        <w:tab/>
      </w:r>
      <w:r w:rsidRPr="00F124A5">
        <w:rPr>
          <w:i/>
        </w:rPr>
        <w:t>Dye v Commonwealth Securities Ltd (No 2)</w:t>
      </w:r>
      <w:r>
        <w:t xml:space="preserve"> [2010] FCAFC 118; </w:t>
      </w:r>
      <w:r w:rsidRPr="00F124A5">
        <w:rPr>
          <w:i/>
        </w:rPr>
        <w:t>Chen v Monash University</w:t>
      </w:r>
      <w:r w:rsidRPr="00F124A5">
        <w:t xml:space="preserve"> (2016) 244 FCR 424.</w:t>
      </w:r>
    </w:p>
  </w:endnote>
  <w:endnote w:id="72">
    <w:p w14:paraId="23C2285E" w14:textId="3DB6F595" w:rsidR="00D77A9D" w:rsidRDefault="00D77A9D" w:rsidP="00E17B13">
      <w:pPr>
        <w:pStyle w:val="EndnoteText"/>
        <w:ind w:left="284" w:hanging="284"/>
      </w:pPr>
      <w:r>
        <w:rPr>
          <w:rStyle w:val="EndnoteReference"/>
        </w:rPr>
        <w:endnoteRef/>
      </w:r>
      <w:r>
        <w:t xml:space="preserve"> </w:t>
      </w:r>
      <w:r>
        <w:tab/>
        <w:t>AHRC Act, s 46</w:t>
      </w:r>
      <w:proofErr w:type="gramStart"/>
      <w:r>
        <w:t>PO(</w:t>
      </w:r>
      <w:proofErr w:type="gramEnd"/>
      <w:r>
        <w:t>3).</w:t>
      </w:r>
    </w:p>
  </w:endnote>
  <w:endnote w:id="73">
    <w:p w14:paraId="7EC4D914" w14:textId="63B90BF2" w:rsidR="00D77A9D" w:rsidRDefault="00D77A9D" w:rsidP="00E17B13">
      <w:pPr>
        <w:pStyle w:val="EndnoteText"/>
        <w:ind w:left="284" w:hanging="284"/>
      </w:pPr>
      <w:r>
        <w:rPr>
          <w:rStyle w:val="EndnoteReference"/>
        </w:rPr>
        <w:endnoteRef/>
      </w:r>
      <w:r>
        <w:t xml:space="preserve"> </w:t>
      </w:r>
      <w:r>
        <w:tab/>
        <w:t>AHRC Act, s 46</w:t>
      </w:r>
      <w:proofErr w:type="gramStart"/>
      <w:r>
        <w:t>PO(</w:t>
      </w:r>
      <w:proofErr w:type="gramEnd"/>
      <w:r>
        <w:t>4).</w:t>
      </w:r>
    </w:p>
  </w:endnote>
  <w:endnote w:id="74">
    <w:p w14:paraId="023D38BD" w14:textId="00BA7BB8" w:rsidR="00D77A9D" w:rsidRDefault="00D77A9D" w:rsidP="00E17B13">
      <w:pPr>
        <w:pStyle w:val="EndnoteText"/>
        <w:ind w:left="284" w:hanging="284"/>
      </w:pPr>
      <w:r>
        <w:rPr>
          <w:rStyle w:val="EndnoteReference"/>
        </w:rPr>
        <w:endnoteRef/>
      </w:r>
      <w:r>
        <w:t xml:space="preserve"> </w:t>
      </w:r>
      <w:r>
        <w:tab/>
        <w:t>SDA, ss 47A and 83A as in force on 16 November 1999.</w:t>
      </w:r>
    </w:p>
  </w:endnote>
  <w:endnote w:id="75">
    <w:p w14:paraId="65DC6B32" w14:textId="514E6178" w:rsidR="00D77A9D" w:rsidRDefault="00D77A9D" w:rsidP="00E17B13">
      <w:pPr>
        <w:pStyle w:val="EndnoteText"/>
        <w:ind w:left="284" w:hanging="284"/>
      </w:pPr>
      <w:r>
        <w:rPr>
          <w:rStyle w:val="EndnoteReference"/>
        </w:rPr>
        <w:endnoteRef/>
      </w:r>
      <w:r>
        <w:t xml:space="preserve"> </w:t>
      </w:r>
      <w:r>
        <w:tab/>
      </w:r>
      <w:r w:rsidRPr="00233510">
        <w:rPr>
          <w:rFonts w:cs="Open Sans"/>
        </w:rPr>
        <w:t xml:space="preserve">Australian Human Rights Commission, </w:t>
      </w:r>
      <w:r w:rsidRPr="00233510">
        <w:rPr>
          <w:rFonts w:cs="Open Sans"/>
          <w:i/>
          <w:iCs/>
        </w:rPr>
        <w:t>Religious Freedom Review, Australian Human</w:t>
      </w:r>
      <w:r w:rsidRPr="00A50030">
        <w:rPr>
          <w:rFonts w:cs="Open Sans"/>
          <w:i/>
          <w:iCs/>
        </w:rPr>
        <w:t xml:space="preserve"> Rights Commission submission to the Expert Panel</w:t>
      </w:r>
      <w:r w:rsidRPr="00A50030">
        <w:rPr>
          <w:rFonts w:cs="Open Sans"/>
        </w:rPr>
        <w:t xml:space="preserve"> (2018)</w:t>
      </w:r>
      <w:r>
        <w:rPr>
          <w:rFonts w:cs="Open Sans"/>
        </w:rPr>
        <w:t xml:space="preserve"> at [10]</w:t>
      </w:r>
      <w:r w:rsidRPr="00A50030">
        <w:rPr>
          <w:rFonts w:cs="Open Sans"/>
        </w:rPr>
        <w:t xml:space="preserve">. At </w:t>
      </w:r>
      <w:hyperlink r:id="rId14" w:history="1">
        <w:r w:rsidRPr="00A50030">
          <w:rPr>
            <w:rStyle w:val="Hyperlink"/>
            <w:rFonts w:cs="Open Sans"/>
          </w:rPr>
          <w:t>https://www.humanrights.gov.au/our-work/legal/submission/religious-freedom-review-2018</w:t>
        </w:r>
      </w:hyperlink>
      <w:r>
        <w:rPr>
          <w:rStyle w:val="Hyperlink"/>
          <w:rFonts w:cs="Open Sans"/>
          <w:u w:val="none"/>
        </w:rPr>
        <w:t>.</w:t>
      </w:r>
    </w:p>
  </w:endnote>
  <w:endnote w:id="76">
    <w:p w14:paraId="115CDE50" w14:textId="686C9D96" w:rsidR="00D77A9D" w:rsidRDefault="00D77A9D" w:rsidP="00D458BE">
      <w:pPr>
        <w:pStyle w:val="EndnoteText"/>
        <w:ind w:left="284" w:hanging="284"/>
      </w:pPr>
      <w:r>
        <w:rPr>
          <w:rStyle w:val="EndnoteReference"/>
        </w:rPr>
        <w:endnoteRef/>
      </w:r>
      <w:r>
        <w:t xml:space="preserve"> </w:t>
      </w:r>
      <w:r>
        <w:tab/>
        <w:t xml:space="preserve">See the clause (3) of the amendments proposed by the Hon Scott Morrison MP and clauses (2), (7), (8) and (9) of the amendments proposed by Mr Andrew Broad MP; Commonwealth, </w:t>
      </w:r>
      <w:r w:rsidRPr="00391449">
        <w:rPr>
          <w:i/>
          <w:iCs/>
        </w:rPr>
        <w:t>Parliamentary Debates</w:t>
      </w:r>
      <w:r>
        <w:t>, House of Representatives, 7 December 2017, pp 13,064-13,072; 13,107-13,114 and 13,123-13,129.</w:t>
      </w:r>
    </w:p>
  </w:endnote>
  <w:endnote w:id="77">
    <w:p w14:paraId="3DCCFA87" w14:textId="5C63901A" w:rsidR="00D77A9D" w:rsidRDefault="00D77A9D" w:rsidP="00D458BE">
      <w:pPr>
        <w:pStyle w:val="EndnoteText"/>
        <w:ind w:left="284" w:hanging="284"/>
      </w:pPr>
      <w:r>
        <w:rPr>
          <w:rStyle w:val="EndnoteReference"/>
        </w:rPr>
        <w:endnoteRef/>
      </w:r>
      <w:r>
        <w:t xml:space="preserve"> </w:t>
      </w:r>
      <w:r>
        <w:tab/>
        <w:t xml:space="preserve">Commonwealth, </w:t>
      </w:r>
      <w:r w:rsidRPr="00391449">
        <w:rPr>
          <w:i/>
          <w:iCs/>
        </w:rPr>
        <w:t>Parliamentary Debates</w:t>
      </w:r>
      <w:r>
        <w:t>, House of Representatives, 7 December 2017, pp 13,068-13,069 (Mr Warren Entsch MP).</w:t>
      </w:r>
    </w:p>
  </w:endnote>
  <w:endnote w:id="78">
    <w:p w14:paraId="027C6936" w14:textId="77777777" w:rsidR="00D77A9D" w:rsidRDefault="00D77A9D" w:rsidP="0025421B">
      <w:pPr>
        <w:pStyle w:val="EndnoteText"/>
        <w:ind w:left="284" w:hanging="284"/>
      </w:pPr>
      <w:r>
        <w:rPr>
          <w:rStyle w:val="EndnoteReference"/>
        </w:rPr>
        <w:endnoteRef/>
      </w:r>
      <w:r>
        <w:t xml:space="preserve"> </w:t>
      </w:r>
      <w:r>
        <w:tab/>
        <w:t>Religious Freedom Review at [1.200].</w:t>
      </w:r>
    </w:p>
  </w:endnote>
  <w:endnote w:id="79">
    <w:p w14:paraId="4F621257" w14:textId="039FFD69" w:rsidR="00D77A9D" w:rsidRDefault="00D77A9D" w:rsidP="00E17B13">
      <w:pPr>
        <w:pStyle w:val="EndnoteText"/>
        <w:ind w:left="284" w:hanging="284"/>
      </w:pPr>
      <w:r>
        <w:rPr>
          <w:rStyle w:val="EndnoteReference"/>
        </w:rPr>
        <w:endnoteRef/>
      </w:r>
      <w:r>
        <w:t xml:space="preserve"> </w:t>
      </w:r>
      <w:r>
        <w:tab/>
        <w:t>See Explanatory Notes to Freedom of Religion Bill at [58].</w:t>
      </w:r>
    </w:p>
  </w:endnote>
  <w:endnote w:id="80">
    <w:p w14:paraId="7D2D9F87" w14:textId="66A21566" w:rsidR="00D77A9D" w:rsidRDefault="00D77A9D" w:rsidP="00E17B13">
      <w:pPr>
        <w:pStyle w:val="EndnoteText"/>
        <w:ind w:left="284" w:hanging="284"/>
      </w:pPr>
      <w:r>
        <w:rPr>
          <w:rStyle w:val="EndnoteReference"/>
        </w:rPr>
        <w:endnoteRef/>
      </w:r>
      <w:r>
        <w:t xml:space="preserve"> </w:t>
      </w:r>
      <w:r>
        <w:tab/>
        <w:t>SDA, s 40(2A).</w:t>
      </w:r>
    </w:p>
  </w:endnote>
  <w:endnote w:id="81">
    <w:p w14:paraId="0A15E215" w14:textId="7AFCE190" w:rsidR="00D77A9D" w:rsidRDefault="00D77A9D" w:rsidP="00E17B13">
      <w:pPr>
        <w:pStyle w:val="EndnoteText"/>
        <w:ind w:left="284" w:hanging="284"/>
      </w:pPr>
      <w:r>
        <w:rPr>
          <w:rStyle w:val="EndnoteReference"/>
        </w:rPr>
        <w:endnoteRef/>
      </w:r>
      <w:r>
        <w:t xml:space="preserve"> </w:t>
      </w:r>
      <w:r>
        <w:tab/>
        <w:t xml:space="preserve">The Hon Christian Porter MP, Attorney-General and Minister for Industrial Relations, ‘Review into the Framework of Religious Exemptions in Anti-discrimination Legislation’ </w:t>
      </w:r>
      <w:r w:rsidRPr="003F6811">
        <w:rPr>
          <w:i/>
          <w:iCs/>
        </w:rPr>
        <w:t>Media release</w:t>
      </w:r>
      <w:r>
        <w:t xml:space="preserve">, 10 April 2019, containing the terms of reference for the ALRC inquiry.  At </w:t>
      </w:r>
      <w:hyperlink r:id="rId15" w:history="1">
        <w:r w:rsidRPr="00A72AFE">
          <w:rPr>
            <w:rStyle w:val="Hyperlink"/>
          </w:rPr>
          <w:t>https://www.attorneygeneral.gov.au/Media/Pages/Review-into-the-Framework-of-Religious-Exemptions-in-Anti-discrimination-Legislation-10-april-19.aspx</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C133" w14:textId="77777777" w:rsidR="00D77A9D" w:rsidRPr="000465F1" w:rsidRDefault="00D77A9D" w:rsidP="000465F1">
    <w:pPr>
      <w:pStyle w:val="Footer"/>
    </w:pPr>
    <w:r w:rsidRPr="000465F1">
      <w:t>ABN 47 996 232 602</w:t>
    </w:r>
  </w:p>
  <w:p w14:paraId="673DBBCF" w14:textId="77777777" w:rsidR="00D77A9D" w:rsidRPr="000465F1" w:rsidRDefault="00D77A9D" w:rsidP="000465F1">
    <w:pPr>
      <w:pStyle w:val="Footer"/>
    </w:pPr>
    <w:r w:rsidRPr="000465F1">
      <w:t>Level 3, 175 Pitt Street, Sydney NSW 2000</w:t>
    </w:r>
  </w:p>
  <w:p w14:paraId="465ADED2" w14:textId="77777777" w:rsidR="00D77A9D" w:rsidRPr="000465F1" w:rsidRDefault="00D77A9D" w:rsidP="000465F1">
    <w:pPr>
      <w:pStyle w:val="Footer"/>
    </w:pPr>
    <w:r w:rsidRPr="000465F1">
      <w:t>GPO Box 5218, Sydney NSW 2001</w:t>
    </w:r>
  </w:p>
  <w:p w14:paraId="27230A56" w14:textId="77777777" w:rsidR="00D77A9D" w:rsidRPr="000465F1" w:rsidRDefault="00D77A9D" w:rsidP="000465F1">
    <w:pPr>
      <w:pStyle w:val="Footer"/>
    </w:pPr>
    <w:r w:rsidRPr="000465F1">
      <w:t>General enquiries 1300 369 711</w:t>
    </w:r>
  </w:p>
  <w:p w14:paraId="06505C3D" w14:textId="77777777" w:rsidR="00D77A9D" w:rsidRPr="000465F1" w:rsidRDefault="00D77A9D" w:rsidP="000465F1">
    <w:pPr>
      <w:pStyle w:val="Footer"/>
    </w:pPr>
    <w:r>
      <w:t xml:space="preserve">National Information Service </w:t>
    </w:r>
    <w:r w:rsidRPr="000465F1">
      <w:t>1300 656 419</w:t>
    </w:r>
  </w:p>
  <w:p w14:paraId="53EF3F37" w14:textId="77777777" w:rsidR="00D77A9D" w:rsidRPr="000465F1" w:rsidRDefault="00D77A9D"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29B4" w14:textId="77777777" w:rsidR="00D77A9D" w:rsidRDefault="00D77A9D">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CFCC" w14:textId="77777777" w:rsidR="00D77A9D" w:rsidRDefault="00D77A9D"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FE40" w14:textId="77777777" w:rsidR="00D77A9D" w:rsidRDefault="00D77A9D"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17C4" w14:textId="77777777" w:rsidR="00D77A9D" w:rsidRDefault="00D77A9D" w:rsidP="00F14C6D">
      <w:r>
        <w:separator/>
      </w:r>
    </w:p>
  </w:footnote>
  <w:footnote w:type="continuationSeparator" w:id="0">
    <w:p w14:paraId="7C25D426" w14:textId="77777777" w:rsidR="00D77A9D" w:rsidRDefault="00D77A9D" w:rsidP="00F14C6D">
      <w:r>
        <w:continuationSeparator/>
      </w:r>
    </w:p>
  </w:footnote>
  <w:footnote w:type="continuationNotice" w:id="1">
    <w:p w14:paraId="4816F818" w14:textId="77777777" w:rsidR="00D77A9D" w:rsidRDefault="00D77A9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508F" w14:textId="77777777" w:rsidR="00D77A9D" w:rsidRPr="000465F1" w:rsidRDefault="008304C7" w:rsidP="000465F1">
    <w:pPr>
      <w:pStyle w:val="Header"/>
    </w:pPr>
    <w:r>
      <w:pict w14:anchorId="5C4E1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D77A9D" w:rsidRPr="000465F1">
      <w:t>Australian Human Rights Commission</w:t>
    </w:r>
  </w:p>
  <w:p w14:paraId="4DC079F4" w14:textId="77777777" w:rsidR="00D77A9D" w:rsidRPr="00622508" w:rsidRDefault="00D77A9D"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1A7D" w14:textId="77777777" w:rsidR="00D77A9D" w:rsidRPr="000465F1" w:rsidRDefault="008304C7" w:rsidP="000465F1">
    <w:r>
      <w:pict w14:anchorId="13FE9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D77A9D" w:rsidRPr="000465F1">
      <w:t>Australian Human Rights Commission</w:t>
    </w:r>
  </w:p>
  <w:p w14:paraId="4138090C" w14:textId="77777777" w:rsidR="00D77A9D" w:rsidRPr="000465F1" w:rsidRDefault="00D77A9D"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B7F" w14:textId="77777777" w:rsidR="00D77A9D" w:rsidRDefault="008304C7" w:rsidP="002012F7">
    <w:pPr>
      <w:pStyle w:val="Header"/>
    </w:pPr>
    <w:r>
      <w:pict w14:anchorId="7E5F8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3B2166E1">
        <v:shape id="WordPictureWatermark1034832" o:spid="_x0000_s2049"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2AD6E4B8" w14:textId="77777777" w:rsidR="00D77A9D" w:rsidRDefault="00D77A9D" w:rsidP="002012F7">
    <w:pPr>
      <w:pStyle w:val="Header"/>
    </w:pPr>
  </w:p>
  <w:p w14:paraId="11112ACF" w14:textId="77777777" w:rsidR="00D77A9D" w:rsidRDefault="00D77A9D"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974F" w14:textId="77777777" w:rsidR="00D77A9D" w:rsidRPr="000465F1" w:rsidRDefault="00D77A9D" w:rsidP="0015239E">
    <w:pPr>
      <w:pStyle w:val="Header"/>
    </w:pPr>
    <w:r w:rsidRPr="000465F1">
      <w:t>Australian Human Rights Commission</w:t>
    </w:r>
  </w:p>
  <w:p w14:paraId="077369D3" w14:textId="77777777" w:rsidR="00D77A9D" w:rsidRPr="000465F1" w:rsidRDefault="00D77A9D"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DB6D" w14:textId="77777777" w:rsidR="00D77A9D" w:rsidRPr="000465F1" w:rsidRDefault="00D77A9D" w:rsidP="00CA5D90">
    <w:pPr>
      <w:pStyle w:val="Header"/>
    </w:pPr>
    <w:bookmarkStart w:id="45" w:name="_Hlk514672172"/>
    <w:bookmarkStart w:id="46" w:name="_Hlk514672173"/>
    <w:r w:rsidRPr="000465F1">
      <w:t>Australian Human Rights Commission</w:t>
    </w:r>
  </w:p>
  <w:bookmarkEnd w:id="45"/>
  <w:bookmarkEnd w:id="46"/>
  <w:p w14:paraId="6F0BCA1F" w14:textId="4252F3DC" w:rsidR="00D77A9D" w:rsidRPr="000465F1" w:rsidRDefault="00D77A9D" w:rsidP="002F5E96">
    <w:pPr>
      <w:pStyle w:val="HeaderDocumentDate"/>
    </w:pPr>
    <w:r>
      <w:rPr>
        <w:rStyle w:val="HeaderDocumentTitle"/>
      </w:rPr>
      <w:t>Religious Freedom Bills</w:t>
    </w:r>
    <w:r w:rsidRPr="001F62CC">
      <w:rPr>
        <w:rStyle w:val="HeaderDocumentTitle"/>
      </w:rPr>
      <w:t>,</w:t>
    </w:r>
    <w:r>
      <w:t xml:space="preserve"> September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D38F" w14:textId="77777777" w:rsidR="00D77A9D" w:rsidRPr="000465F1" w:rsidRDefault="00D77A9D" w:rsidP="0063009F">
    <w:pPr>
      <w:pStyle w:val="Header"/>
    </w:pPr>
    <w:r w:rsidRPr="000465F1">
      <w:t>Australian Human Rights Commission</w:t>
    </w:r>
  </w:p>
  <w:p w14:paraId="3EB3BFA9" w14:textId="0B96F537" w:rsidR="00D77A9D" w:rsidRPr="000465F1" w:rsidRDefault="00D77A9D" w:rsidP="0063009F">
    <w:pPr>
      <w:pStyle w:val="HeaderDocumentDate"/>
    </w:pPr>
    <w:r>
      <w:rPr>
        <w:rStyle w:val="HeaderDocumentTitle"/>
      </w:rPr>
      <w:t>Religious Freedom Bills</w:t>
    </w:r>
    <w:r w:rsidRPr="001F62CC">
      <w:rPr>
        <w:rStyle w:val="HeaderDocumentTitle"/>
      </w:rPr>
      <w:t>,</w:t>
    </w:r>
    <w:r>
      <w:t xml:space="preserve">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8661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4B722D9"/>
    <w:multiLevelType w:val="hybridMultilevel"/>
    <w:tmpl w:val="3F9A5E1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2"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C50615"/>
    <w:multiLevelType w:val="hybridMultilevel"/>
    <w:tmpl w:val="10502B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A86623"/>
    <w:multiLevelType w:val="hybridMultilevel"/>
    <w:tmpl w:val="55BA2A3C"/>
    <w:lvl w:ilvl="0" w:tplc="BECAC238">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131EA"/>
    <w:multiLevelType w:val="hybridMultilevel"/>
    <w:tmpl w:val="2C00725C"/>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6"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1265D32"/>
    <w:multiLevelType w:val="hybridMultilevel"/>
    <w:tmpl w:val="261ECCB2"/>
    <w:lvl w:ilvl="0" w:tplc="C218A602">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920255"/>
    <w:multiLevelType w:val="hybridMultilevel"/>
    <w:tmpl w:val="5ECC1F5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36" w15:restartNumberingAfterBreak="0">
    <w:nsid w:val="5ACD3AFE"/>
    <w:multiLevelType w:val="hybridMultilevel"/>
    <w:tmpl w:val="A59A98D8"/>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37" w15:restartNumberingAfterBreak="0">
    <w:nsid w:val="623C5639"/>
    <w:multiLevelType w:val="hybridMultilevel"/>
    <w:tmpl w:val="25824E90"/>
    <w:lvl w:ilvl="0" w:tplc="AC524774">
      <w:start w:val="1"/>
      <w:numFmt w:val="decimal"/>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E8F2198"/>
    <w:multiLevelType w:val="hybridMultilevel"/>
    <w:tmpl w:val="142A02CE"/>
    <w:lvl w:ilvl="0" w:tplc="C218A602">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A70BDC"/>
    <w:multiLevelType w:val="hybridMultilevel"/>
    <w:tmpl w:val="FC7246D6"/>
    <w:lvl w:ilvl="0" w:tplc="68DAEEF6">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E42847"/>
    <w:multiLevelType w:val="hybridMultilevel"/>
    <w:tmpl w:val="E2D6B0F6"/>
    <w:lvl w:ilvl="0" w:tplc="0C090001">
      <w:start w:val="1"/>
      <w:numFmt w:val="bullet"/>
      <w:lvlText w:val=""/>
      <w:lvlJc w:val="left"/>
      <w:pPr>
        <w:ind w:left="1875"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42"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231AC7"/>
    <w:multiLevelType w:val="hybridMultilevel"/>
    <w:tmpl w:val="D080538A"/>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num w:numId="1">
    <w:abstractNumId w:val="18"/>
  </w:num>
  <w:num w:numId="2">
    <w:abstractNumId w:val="28"/>
  </w:num>
  <w:num w:numId="3">
    <w:abstractNumId w:val="34"/>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1"/>
  </w:num>
  <w:num w:numId="18">
    <w:abstractNumId w:val="23"/>
  </w:num>
  <w:num w:numId="19">
    <w:abstractNumId w:val="15"/>
  </w:num>
  <w:num w:numId="20">
    <w:abstractNumId w:val="42"/>
  </w:num>
  <w:num w:numId="21">
    <w:abstractNumId w:val="26"/>
  </w:num>
  <w:num w:numId="22">
    <w:abstractNumId w:val="24"/>
  </w:num>
  <w:num w:numId="23">
    <w:abstractNumId w:val="44"/>
  </w:num>
  <w:num w:numId="24">
    <w:abstractNumId w:val="12"/>
  </w:num>
  <w:num w:numId="25">
    <w:abstractNumId w:val="43"/>
  </w:num>
  <w:num w:numId="26">
    <w:abstractNumId w:val="27"/>
  </w:num>
  <w:num w:numId="27">
    <w:abstractNumId w:val="13"/>
  </w:num>
  <w:num w:numId="28">
    <w:abstractNumId w:val="16"/>
  </w:num>
  <w:num w:numId="29">
    <w:abstractNumId w:val="30"/>
  </w:num>
  <w:num w:numId="30">
    <w:abstractNumId w:val="2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14"/>
  </w:num>
  <w:num w:numId="37">
    <w:abstractNumId w:val="10"/>
  </w:num>
  <w:num w:numId="38">
    <w:abstractNumId w:val="9"/>
    <w:lvlOverride w:ilvl="0">
      <w:startOverride w:val="1"/>
    </w:lvlOverride>
  </w:num>
  <w:num w:numId="39">
    <w:abstractNumId w:val="19"/>
  </w:num>
  <w:num w:numId="40">
    <w:abstractNumId w:val="41"/>
  </w:num>
  <w:num w:numId="41">
    <w:abstractNumId w:val="11"/>
  </w:num>
  <w:num w:numId="42">
    <w:abstractNumId w:val="36"/>
  </w:num>
  <w:num w:numId="43">
    <w:abstractNumId w:val="45"/>
  </w:num>
  <w:num w:numId="44">
    <w:abstractNumId w:val="35"/>
  </w:num>
  <w:num w:numId="45">
    <w:abstractNumId w:val="25"/>
  </w:num>
  <w:num w:numId="46">
    <w:abstractNumId w:val="37"/>
  </w:num>
  <w:num w:numId="47">
    <w:abstractNumId w:val="39"/>
  </w:num>
  <w:num w:numId="48">
    <w:abstractNumId w:val="40"/>
  </w:num>
  <w:num w:numId="49">
    <w:abstractNumId w:val="3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7"/>
    <w:rsid w:val="00000D7F"/>
    <w:rsid w:val="000015EC"/>
    <w:rsid w:val="00002164"/>
    <w:rsid w:val="00002957"/>
    <w:rsid w:val="00002C6B"/>
    <w:rsid w:val="00003EA5"/>
    <w:rsid w:val="00004E9D"/>
    <w:rsid w:val="0000524A"/>
    <w:rsid w:val="0000600D"/>
    <w:rsid w:val="00006F1C"/>
    <w:rsid w:val="0000705B"/>
    <w:rsid w:val="000078BF"/>
    <w:rsid w:val="00007F4A"/>
    <w:rsid w:val="0001004B"/>
    <w:rsid w:val="00010F3B"/>
    <w:rsid w:val="00011015"/>
    <w:rsid w:val="00011F67"/>
    <w:rsid w:val="00014550"/>
    <w:rsid w:val="00014E48"/>
    <w:rsid w:val="000161C2"/>
    <w:rsid w:val="0001685F"/>
    <w:rsid w:val="00020122"/>
    <w:rsid w:val="0002098F"/>
    <w:rsid w:val="00022485"/>
    <w:rsid w:val="00022B6A"/>
    <w:rsid w:val="0002476A"/>
    <w:rsid w:val="0002521D"/>
    <w:rsid w:val="00026FD4"/>
    <w:rsid w:val="000275B1"/>
    <w:rsid w:val="00031037"/>
    <w:rsid w:val="00032235"/>
    <w:rsid w:val="00032E90"/>
    <w:rsid w:val="000340E2"/>
    <w:rsid w:val="00035E21"/>
    <w:rsid w:val="000360AA"/>
    <w:rsid w:val="000361BB"/>
    <w:rsid w:val="00036436"/>
    <w:rsid w:val="00036531"/>
    <w:rsid w:val="00036A11"/>
    <w:rsid w:val="00036B6C"/>
    <w:rsid w:val="00036BE4"/>
    <w:rsid w:val="00036C3D"/>
    <w:rsid w:val="00036F45"/>
    <w:rsid w:val="00037DC7"/>
    <w:rsid w:val="00040CE2"/>
    <w:rsid w:val="00040D7E"/>
    <w:rsid w:val="000418F3"/>
    <w:rsid w:val="00042151"/>
    <w:rsid w:val="000426CE"/>
    <w:rsid w:val="000429ED"/>
    <w:rsid w:val="000430B8"/>
    <w:rsid w:val="00043920"/>
    <w:rsid w:val="00044187"/>
    <w:rsid w:val="00044FC9"/>
    <w:rsid w:val="00045102"/>
    <w:rsid w:val="000451A3"/>
    <w:rsid w:val="00045283"/>
    <w:rsid w:val="00045404"/>
    <w:rsid w:val="00045712"/>
    <w:rsid w:val="00045C4B"/>
    <w:rsid w:val="000465F1"/>
    <w:rsid w:val="0004672A"/>
    <w:rsid w:val="0004702A"/>
    <w:rsid w:val="0004789D"/>
    <w:rsid w:val="00050859"/>
    <w:rsid w:val="000512CD"/>
    <w:rsid w:val="0005144D"/>
    <w:rsid w:val="0005299A"/>
    <w:rsid w:val="000532F5"/>
    <w:rsid w:val="000559D2"/>
    <w:rsid w:val="00056C1A"/>
    <w:rsid w:val="000579B1"/>
    <w:rsid w:val="00057B9F"/>
    <w:rsid w:val="00061C6C"/>
    <w:rsid w:val="000620B3"/>
    <w:rsid w:val="00062FFD"/>
    <w:rsid w:val="00065639"/>
    <w:rsid w:val="00067EA3"/>
    <w:rsid w:val="000705F2"/>
    <w:rsid w:val="00071A56"/>
    <w:rsid w:val="00071C30"/>
    <w:rsid w:val="00072160"/>
    <w:rsid w:val="000728CB"/>
    <w:rsid w:val="00072A90"/>
    <w:rsid w:val="00072EDA"/>
    <w:rsid w:val="00073184"/>
    <w:rsid w:val="00073A9B"/>
    <w:rsid w:val="000744DA"/>
    <w:rsid w:val="000747CE"/>
    <w:rsid w:val="00075F48"/>
    <w:rsid w:val="00076E00"/>
    <w:rsid w:val="000806AA"/>
    <w:rsid w:val="00080A4F"/>
    <w:rsid w:val="00081B98"/>
    <w:rsid w:val="000825EF"/>
    <w:rsid w:val="00082C44"/>
    <w:rsid w:val="00082F53"/>
    <w:rsid w:val="00083466"/>
    <w:rsid w:val="000839F3"/>
    <w:rsid w:val="00083BA3"/>
    <w:rsid w:val="0008435D"/>
    <w:rsid w:val="0008564E"/>
    <w:rsid w:val="00086899"/>
    <w:rsid w:val="00087BB5"/>
    <w:rsid w:val="000908F2"/>
    <w:rsid w:val="00092BC9"/>
    <w:rsid w:val="000949F2"/>
    <w:rsid w:val="00094ACD"/>
    <w:rsid w:val="000A168B"/>
    <w:rsid w:val="000A194B"/>
    <w:rsid w:val="000A1DB8"/>
    <w:rsid w:val="000A2ACE"/>
    <w:rsid w:val="000A3DB1"/>
    <w:rsid w:val="000A48AC"/>
    <w:rsid w:val="000A520E"/>
    <w:rsid w:val="000A6342"/>
    <w:rsid w:val="000A639F"/>
    <w:rsid w:val="000A688A"/>
    <w:rsid w:val="000A6A66"/>
    <w:rsid w:val="000A771C"/>
    <w:rsid w:val="000B0603"/>
    <w:rsid w:val="000B081E"/>
    <w:rsid w:val="000B0A5D"/>
    <w:rsid w:val="000B408D"/>
    <w:rsid w:val="000B4758"/>
    <w:rsid w:val="000B5674"/>
    <w:rsid w:val="000B593B"/>
    <w:rsid w:val="000B5B68"/>
    <w:rsid w:val="000B5EC8"/>
    <w:rsid w:val="000B75C6"/>
    <w:rsid w:val="000B7F51"/>
    <w:rsid w:val="000C0230"/>
    <w:rsid w:val="000C1C10"/>
    <w:rsid w:val="000C3902"/>
    <w:rsid w:val="000C39DA"/>
    <w:rsid w:val="000C4180"/>
    <w:rsid w:val="000C41F4"/>
    <w:rsid w:val="000C493D"/>
    <w:rsid w:val="000C5608"/>
    <w:rsid w:val="000C5DA6"/>
    <w:rsid w:val="000C5F6D"/>
    <w:rsid w:val="000C6967"/>
    <w:rsid w:val="000C7F50"/>
    <w:rsid w:val="000D001A"/>
    <w:rsid w:val="000D0C96"/>
    <w:rsid w:val="000D1DB8"/>
    <w:rsid w:val="000D295B"/>
    <w:rsid w:val="000D45DE"/>
    <w:rsid w:val="000D471A"/>
    <w:rsid w:val="000D4AFE"/>
    <w:rsid w:val="000D5180"/>
    <w:rsid w:val="000D7306"/>
    <w:rsid w:val="000D7C29"/>
    <w:rsid w:val="000E1156"/>
    <w:rsid w:val="000E130A"/>
    <w:rsid w:val="000E1DF3"/>
    <w:rsid w:val="000E2866"/>
    <w:rsid w:val="000E4030"/>
    <w:rsid w:val="000E4837"/>
    <w:rsid w:val="000E4B22"/>
    <w:rsid w:val="000E589C"/>
    <w:rsid w:val="000E5FFF"/>
    <w:rsid w:val="000E639E"/>
    <w:rsid w:val="000E692B"/>
    <w:rsid w:val="000E7358"/>
    <w:rsid w:val="000F0052"/>
    <w:rsid w:val="000F0354"/>
    <w:rsid w:val="000F036C"/>
    <w:rsid w:val="000F04C1"/>
    <w:rsid w:val="000F13D6"/>
    <w:rsid w:val="000F14C9"/>
    <w:rsid w:val="000F15A8"/>
    <w:rsid w:val="000F1DDA"/>
    <w:rsid w:val="000F2909"/>
    <w:rsid w:val="000F3500"/>
    <w:rsid w:val="000F3E27"/>
    <w:rsid w:val="000F471F"/>
    <w:rsid w:val="000F513C"/>
    <w:rsid w:val="000F55D0"/>
    <w:rsid w:val="000F629E"/>
    <w:rsid w:val="000F6376"/>
    <w:rsid w:val="000F6D60"/>
    <w:rsid w:val="000F7324"/>
    <w:rsid w:val="00100594"/>
    <w:rsid w:val="0010250D"/>
    <w:rsid w:val="0010304E"/>
    <w:rsid w:val="00105395"/>
    <w:rsid w:val="00105638"/>
    <w:rsid w:val="00112456"/>
    <w:rsid w:val="00112A08"/>
    <w:rsid w:val="00113187"/>
    <w:rsid w:val="00113964"/>
    <w:rsid w:val="00114519"/>
    <w:rsid w:val="0011490A"/>
    <w:rsid w:val="0011619A"/>
    <w:rsid w:val="00116987"/>
    <w:rsid w:val="00116F8B"/>
    <w:rsid w:val="00117643"/>
    <w:rsid w:val="001224B9"/>
    <w:rsid w:val="0012352A"/>
    <w:rsid w:val="0012463E"/>
    <w:rsid w:val="001249E3"/>
    <w:rsid w:val="001301E6"/>
    <w:rsid w:val="001307B6"/>
    <w:rsid w:val="001309D7"/>
    <w:rsid w:val="00130A65"/>
    <w:rsid w:val="00131EA3"/>
    <w:rsid w:val="0013284F"/>
    <w:rsid w:val="00133339"/>
    <w:rsid w:val="00134774"/>
    <w:rsid w:val="00134977"/>
    <w:rsid w:val="00135292"/>
    <w:rsid w:val="00135E41"/>
    <w:rsid w:val="001362B4"/>
    <w:rsid w:val="0013740B"/>
    <w:rsid w:val="00137858"/>
    <w:rsid w:val="00140274"/>
    <w:rsid w:val="00140CB7"/>
    <w:rsid w:val="001413E9"/>
    <w:rsid w:val="00141448"/>
    <w:rsid w:val="001420A4"/>
    <w:rsid w:val="001420BF"/>
    <w:rsid w:val="00142C28"/>
    <w:rsid w:val="00143B77"/>
    <w:rsid w:val="00144C44"/>
    <w:rsid w:val="00144CE9"/>
    <w:rsid w:val="00145163"/>
    <w:rsid w:val="001460E3"/>
    <w:rsid w:val="0014626D"/>
    <w:rsid w:val="00147039"/>
    <w:rsid w:val="001471B8"/>
    <w:rsid w:val="001472EE"/>
    <w:rsid w:val="00147BD2"/>
    <w:rsid w:val="0015019F"/>
    <w:rsid w:val="00151263"/>
    <w:rsid w:val="00151C2C"/>
    <w:rsid w:val="0015239E"/>
    <w:rsid w:val="00154F06"/>
    <w:rsid w:val="00155668"/>
    <w:rsid w:val="00155A51"/>
    <w:rsid w:val="001576CA"/>
    <w:rsid w:val="00160B27"/>
    <w:rsid w:val="00161069"/>
    <w:rsid w:val="001611AE"/>
    <w:rsid w:val="0016130B"/>
    <w:rsid w:val="0016171B"/>
    <w:rsid w:val="00161921"/>
    <w:rsid w:val="00161E26"/>
    <w:rsid w:val="0016224C"/>
    <w:rsid w:val="0016266F"/>
    <w:rsid w:val="001626B4"/>
    <w:rsid w:val="0016272B"/>
    <w:rsid w:val="00162A8D"/>
    <w:rsid w:val="00164596"/>
    <w:rsid w:val="00164DB8"/>
    <w:rsid w:val="00165E3C"/>
    <w:rsid w:val="001665E0"/>
    <w:rsid w:val="001669B4"/>
    <w:rsid w:val="00166B3B"/>
    <w:rsid w:val="00170931"/>
    <w:rsid w:val="00170D50"/>
    <w:rsid w:val="00170E03"/>
    <w:rsid w:val="001716E1"/>
    <w:rsid w:val="00171A40"/>
    <w:rsid w:val="001721D2"/>
    <w:rsid w:val="001732A4"/>
    <w:rsid w:val="00173667"/>
    <w:rsid w:val="00173744"/>
    <w:rsid w:val="00173FB5"/>
    <w:rsid w:val="00174D9A"/>
    <w:rsid w:val="0017508D"/>
    <w:rsid w:val="001753AC"/>
    <w:rsid w:val="00175692"/>
    <w:rsid w:val="00175AEE"/>
    <w:rsid w:val="001770F2"/>
    <w:rsid w:val="00180ED8"/>
    <w:rsid w:val="00182E29"/>
    <w:rsid w:val="00183180"/>
    <w:rsid w:val="001842F8"/>
    <w:rsid w:val="0018489B"/>
    <w:rsid w:val="00184BD9"/>
    <w:rsid w:val="0018520F"/>
    <w:rsid w:val="00185D30"/>
    <w:rsid w:val="00185E1E"/>
    <w:rsid w:val="001876CD"/>
    <w:rsid w:val="00187B3B"/>
    <w:rsid w:val="00187BCA"/>
    <w:rsid w:val="001903B3"/>
    <w:rsid w:val="0019163F"/>
    <w:rsid w:val="001918C7"/>
    <w:rsid w:val="00193A92"/>
    <w:rsid w:val="00195EDE"/>
    <w:rsid w:val="001963B0"/>
    <w:rsid w:val="001970A6"/>
    <w:rsid w:val="001976C1"/>
    <w:rsid w:val="001A0978"/>
    <w:rsid w:val="001A0FFE"/>
    <w:rsid w:val="001A1A48"/>
    <w:rsid w:val="001A1B0A"/>
    <w:rsid w:val="001A4109"/>
    <w:rsid w:val="001A579A"/>
    <w:rsid w:val="001A689D"/>
    <w:rsid w:val="001B0353"/>
    <w:rsid w:val="001B0AC0"/>
    <w:rsid w:val="001B112D"/>
    <w:rsid w:val="001B42F0"/>
    <w:rsid w:val="001B65E1"/>
    <w:rsid w:val="001B7573"/>
    <w:rsid w:val="001B783F"/>
    <w:rsid w:val="001B7C9E"/>
    <w:rsid w:val="001C0072"/>
    <w:rsid w:val="001C04F6"/>
    <w:rsid w:val="001C0744"/>
    <w:rsid w:val="001C08A7"/>
    <w:rsid w:val="001C13ED"/>
    <w:rsid w:val="001C1F8B"/>
    <w:rsid w:val="001C3847"/>
    <w:rsid w:val="001C3920"/>
    <w:rsid w:val="001C6412"/>
    <w:rsid w:val="001C6F31"/>
    <w:rsid w:val="001D10C4"/>
    <w:rsid w:val="001D1520"/>
    <w:rsid w:val="001D3492"/>
    <w:rsid w:val="001D55F7"/>
    <w:rsid w:val="001D5C01"/>
    <w:rsid w:val="001D6549"/>
    <w:rsid w:val="001D6A3D"/>
    <w:rsid w:val="001D6B15"/>
    <w:rsid w:val="001E0829"/>
    <w:rsid w:val="001E1654"/>
    <w:rsid w:val="001E1D5C"/>
    <w:rsid w:val="001E240C"/>
    <w:rsid w:val="001E327A"/>
    <w:rsid w:val="001E4662"/>
    <w:rsid w:val="001E470E"/>
    <w:rsid w:val="001E5515"/>
    <w:rsid w:val="001E5676"/>
    <w:rsid w:val="001E61DA"/>
    <w:rsid w:val="001E7F01"/>
    <w:rsid w:val="001F0550"/>
    <w:rsid w:val="001F06E4"/>
    <w:rsid w:val="001F0D9E"/>
    <w:rsid w:val="001F1C91"/>
    <w:rsid w:val="001F2BBB"/>
    <w:rsid w:val="001F2C39"/>
    <w:rsid w:val="001F35C2"/>
    <w:rsid w:val="001F43A0"/>
    <w:rsid w:val="001F47F0"/>
    <w:rsid w:val="001F52FD"/>
    <w:rsid w:val="001F53FB"/>
    <w:rsid w:val="001F5C85"/>
    <w:rsid w:val="001F5E83"/>
    <w:rsid w:val="001F5EE9"/>
    <w:rsid w:val="001F6056"/>
    <w:rsid w:val="001F62CC"/>
    <w:rsid w:val="001F7A53"/>
    <w:rsid w:val="00200677"/>
    <w:rsid w:val="002012F7"/>
    <w:rsid w:val="00201728"/>
    <w:rsid w:val="00201A99"/>
    <w:rsid w:val="00201CC8"/>
    <w:rsid w:val="00201FBE"/>
    <w:rsid w:val="002021CC"/>
    <w:rsid w:val="002027F6"/>
    <w:rsid w:val="00203118"/>
    <w:rsid w:val="002032F9"/>
    <w:rsid w:val="00203BD8"/>
    <w:rsid w:val="00205155"/>
    <w:rsid w:val="002060CE"/>
    <w:rsid w:val="002068EB"/>
    <w:rsid w:val="00207170"/>
    <w:rsid w:val="00211DD3"/>
    <w:rsid w:val="002121C2"/>
    <w:rsid w:val="0021289F"/>
    <w:rsid w:val="00213241"/>
    <w:rsid w:val="00213260"/>
    <w:rsid w:val="00215061"/>
    <w:rsid w:val="0021560B"/>
    <w:rsid w:val="0021746B"/>
    <w:rsid w:val="00220B18"/>
    <w:rsid w:val="00222AC5"/>
    <w:rsid w:val="0022307E"/>
    <w:rsid w:val="0022402F"/>
    <w:rsid w:val="0022535C"/>
    <w:rsid w:val="002275B2"/>
    <w:rsid w:val="00227CAE"/>
    <w:rsid w:val="00231E91"/>
    <w:rsid w:val="00231ED1"/>
    <w:rsid w:val="00232385"/>
    <w:rsid w:val="00233F76"/>
    <w:rsid w:val="0023487A"/>
    <w:rsid w:val="00234FDB"/>
    <w:rsid w:val="00235747"/>
    <w:rsid w:val="00235C73"/>
    <w:rsid w:val="002404BF"/>
    <w:rsid w:val="00240B33"/>
    <w:rsid w:val="00241523"/>
    <w:rsid w:val="00241543"/>
    <w:rsid w:val="002422F6"/>
    <w:rsid w:val="002425DF"/>
    <w:rsid w:val="00242624"/>
    <w:rsid w:val="00244408"/>
    <w:rsid w:val="0024489E"/>
    <w:rsid w:val="0024557E"/>
    <w:rsid w:val="00245DE0"/>
    <w:rsid w:val="002471FD"/>
    <w:rsid w:val="00250E86"/>
    <w:rsid w:val="00251352"/>
    <w:rsid w:val="0025245F"/>
    <w:rsid w:val="00252A17"/>
    <w:rsid w:val="00253DD1"/>
    <w:rsid w:val="0025421B"/>
    <w:rsid w:val="00254930"/>
    <w:rsid w:val="00255B83"/>
    <w:rsid w:val="00256867"/>
    <w:rsid w:val="00257DCB"/>
    <w:rsid w:val="0026020D"/>
    <w:rsid w:val="002607FC"/>
    <w:rsid w:val="00260974"/>
    <w:rsid w:val="00261424"/>
    <w:rsid w:val="0026218E"/>
    <w:rsid w:val="002622A7"/>
    <w:rsid w:val="002632B0"/>
    <w:rsid w:val="002632EA"/>
    <w:rsid w:val="00263E94"/>
    <w:rsid w:val="00265C5C"/>
    <w:rsid w:val="002667A5"/>
    <w:rsid w:val="00267A22"/>
    <w:rsid w:val="002707EB"/>
    <w:rsid w:val="00270A48"/>
    <w:rsid w:val="00270CBF"/>
    <w:rsid w:val="00272A20"/>
    <w:rsid w:val="002748C3"/>
    <w:rsid w:val="00276431"/>
    <w:rsid w:val="0027655A"/>
    <w:rsid w:val="002768AD"/>
    <w:rsid w:val="00276D20"/>
    <w:rsid w:val="00277FA9"/>
    <w:rsid w:val="002807DB"/>
    <w:rsid w:val="0028393A"/>
    <w:rsid w:val="0028506A"/>
    <w:rsid w:val="002850B0"/>
    <w:rsid w:val="00285303"/>
    <w:rsid w:val="00285304"/>
    <w:rsid w:val="00285349"/>
    <w:rsid w:val="002863D7"/>
    <w:rsid w:val="0028650B"/>
    <w:rsid w:val="002867F1"/>
    <w:rsid w:val="002873B4"/>
    <w:rsid w:val="00287784"/>
    <w:rsid w:val="00287B1F"/>
    <w:rsid w:val="00287B8B"/>
    <w:rsid w:val="00287FED"/>
    <w:rsid w:val="00290A4E"/>
    <w:rsid w:val="00291A19"/>
    <w:rsid w:val="0029281C"/>
    <w:rsid w:val="00292AB5"/>
    <w:rsid w:val="00293476"/>
    <w:rsid w:val="00294D79"/>
    <w:rsid w:val="002957DF"/>
    <w:rsid w:val="00295FC8"/>
    <w:rsid w:val="00296A82"/>
    <w:rsid w:val="002A151F"/>
    <w:rsid w:val="002A26C0"/>
    <w:rsid w:val="002A2CA4"/>
    <w:rsid w:val="002A2E6B"/>
    <w:rsid w:val="002A33D9"/>
    <w:rsid w:val="002A37E9"/>
    <w:rsid w:val="002A3B86"/>
    <w:rsid w:val="002A434B"/>
    <w:rsid w:val="002A43C2"/>
    <w:rsid w:val="002A469F"/>
    <w:rsid w:val="002A4AA8"/>
    <w:rsid w:val="002A554E"/>
    <w:rsid w:val="002A5927"/>
    <w:rsid w:val="002A67CE"/>
    <w:rsid w:val="002A6EFC"/>
    <w:rsid w:val="002A735A"/>
    <w:rsid w:val="002A7705"/>
    <w:rsid w:val="002B0028"/>
    <w:rsid w:val="002B1B65"/>
    <w:rsid w:val="002B1D11"/>
    <w:rsid w:val="002B2658"/>
    <w:rsid w:val="002B276E"/>
    <w:rsid w:val="002B39D5"/>
    <w:rsid w:val="002B5057"/>
    <w:rsid w:val="002B505C"/>
    <w:rsid w:val="002B51D5"/>
    <w:rsid w:val="002B63F8"/>
    <w:rsid w:val="002B6759"/>
    <w:rsid w:val="002C02DB"/>
    <w:rsid w:val="002C06FC"/>
    <w:rsid w:val="002C0FB3"/>
    <w:rsid w:val="002C1866"/>
    <w:rsid w:val="002C350A"/>
    <w:rsid w:val="002C37CC"/>
    <w:rsid w:val="002C402C"/>
    <w:rsid w:val="002C4C2A"/>
    <w:rsid w:val="002C6906"/>
    <w:rsid w:val="002D03FF"/>
    <w:rsid w:val="002D078B"/>
    <w:rsid w:val="002D09B5"/>
    <w:rsid w:val="002D4433"/>
    <w:rsid w:val="002D568E"/>
    <w:rsid w:val="002D5BBD"/>
    <w:rsid w:val="002D674B"/>
    <w:rsid w:val="002D6755"/>
    <w:rsid w:val="002D6DCB"/>
    <w:rsid w:val="002D700D"/>
    <w:rsid w:val="002D7248"/>
    <w:rsid w:val="002E1E81"/>
    <w:rsid w:val="002E35D8"/>
    <w:rsid w:val="002E5A1B"/>
    <w:rsid w:val="002E725C"/>
    <w:rsid w:val="002F2095"/>
    <w:rsid w:val="002F2B3A"/>
    <w:rsid w:val="002F3E8A"/>
    <w:rsid w:val="002F4A8A"/>
    <w:rsid w:val="002F4CE1"/>
    <w:rsid w:val="002F5E96"/>
    <w:rsid w:val="002F6732"/>
    <w:rsid w:val="002F6FE7"/>
    <w:rsid w:val="002F779A"/>
    <w:rsid w:val="0030053D"/>
    <w:rsid w:val="00300A6A"/>
    <w:rsid w:val="00300F22"/>
    <w:rsid w:val="00301372"/>
    <w:rsid w:val="003015D6"/>
    <w:rsid w:val="00301653"/>
    <w:rsid w:val="0030495B"/>
    <w:rsid w:val="00304A37"/>
    <w:rsid w:val="00305F95"/>
    <w:rsid w:val="003068A8"/>
    <w:rsid w:val="0030725E"/>
    <w:rsid w:val="00307E24"/>
    <w:rsid w:val="00307E59"/>
    <w:rsid w:val="0031040E"/>
    <w:rsid w:val="003107D7"/>
    <w:rsid w:val="00310ED4"/>
    <w:rsid w:val="00311B99"/>
    <w:rsid w:val="00312301"/>
    <w:rsid w:val="00312A10"/>
    <w:rsid w:val="00312E74"/>
    <w:rsid w:val="00313493"/>
    <w:rsid w:val="00314509"/>
    <w:rsid w:val="00314782"/>
    <w:rsid w:val="0031492A"/>
    <w:rsid w:val="0031564D"/>
    <w:rsid w:val="00315EAF"/>
    <w:rsid w:val="00316C1A"/>
    <w:rsid w:val="003173A0"/>
    <w:rsid w:val="003178FE"/>
    <w:rsid w:val="00320683"/>
    <w:rsid w:val="00320F01"/>
    <w:rsid w:val="0032376C"/>
    <w:rsid w:val="00323C73"/>
    <w:rsid w:val="00324D27"/>
    <w:rsid w:val="00325129"/>
    <w:rsid w:val="003265F5"/>
    <w:rsid w:val="003269DE"/>
    <w:rsid w:val="00327CB4"/>
    <w:rsid w:val="00330587"/>
    <w:rsid w:val="00331141"/>
    <w:rsid w:val="00332877"/>
    <w:rsid w:val="00332B86"/>
    <w:rsid w:val="0033489B"/>
    <w:rsid w:val="00334DD1"/>
    <w:rsid w:val="00335579"/>
    <w:rsid w:val="00335AE4"/>
    <w:rsid w:val="003423F4"/>
    <w:rsid w:val="00342504"/>
    <w:rsid w:val="00342B28"/>
    <w:rsid w:val="0034301E"/>
    <w:rsid w:val="0034326F"/>
    <w:rsid w:val="00344337"/>
    <w:rsid w:val="00344758"/>
    <w:rsid w:val="003464ED"/>
    <w:rsid w:val="003466E8"/>
    <w:rsid w:val="003467CE"/>
    <w:rsid w:val="00346892"/>
    <w:rsid w:val="00347142"/>
    <w:rsid w:val="00350D1B"/>
    <w:rsid w:val="00351B6F"/>
    <w:rsid w:val="00351F35"/>
    <w:rsid w:val="00352995"/>
    <w:rsid w:val="0035338A"/>
    <w:rsid w:val="0035371B"/>
    <w:rsid w:val="00353ABD"/>
    <w:rsid w:val="00354946"/>
    <w:rsid w:val="003555E3"/>
    <w:rsid w:val="00356103"/>
    <w:rsid w:val="003561DD"/>
    <w:rsid w:val="003565A8"/>
    <w:rsid w:val="003566EA"/>
    <w:rsid w:val="00357780"/>
    <w:rsid w:val="00360753"/>
    <w:rsid w:val="00360EA5"/>
    <w:rsid w:val="00363763"/>
    <w:rsid w:val="00365A3C"/>
    <w:rsid w:val="00367646"/>
    <w:rsid w:val="003712C4"/>
    <w:rsid w:val="00371EF7"/>
    <w:rsid w:val="003725D6"/>
    <w:rsid w:val="00372C79"/>
    <w:rsid w:val="00373947"/>
    <w:rsid w:val="00374C8F"/>
    <w:rsid w:val="00375CC9"/>
    <w:rsid w:val="00375FE5"/>
    <w:rsid w:val="00376A3C"/>
    <w:rsid w:val="00376DCB"/>
    <w:rsid w:val="00376F7B"/>
    <w:rsid w:val="0037738E"/>
    <w:rsid w:val="00377E0B"/>
    <w:rsid w:val="00381210"/>
    <w:rsid w:val="003825EE"/>
    <w:rsid w:val="0038306F"/>
    <w:rsid w:val="003843D6"/>
    <w:rsid w:val="0038500B"/>
    <w:rsid w:val="00385452"/>
    <w:rsid w:val="0039031A"/>
    <w:rsid w:val="00391143"/>
    <w:rsid w:val="00391449"/>
    <w:rsid w:val="00393E87"/>
    <w:rsid w:val="00396897"/>
    <w:rsid w:val="00396A68"/>
    <w:rsid w:val="00397389"/>
    <w:rsid w:val="00397498"/>
    <w:rsid w:val="0039795F"/>
    <w:rsid w:val="003A0449"/>
    <w:rsid w:val="003A0D65"/>
    <w:rsid w:val="003A168E"/>
    <w:rsid w:val="003A17BF"/>
    <w:rsid w:val="003A2464"/>
    <w:rsid w:val="003A3247"/>
    <w:rsid w:val="003A42F2"/>
    <w:rsid w:val="003A48B7"/>
    <w:rsid w:val="003A606E"/>
    <w:rsid w:val="003A6901"/>
    <w:rsid w:val="003A729A"/>
    <w:rsid w:val="003B00DE"/>
    <w:rsid w:val="003B0334"/>
    <w:rsid w:val="003B06DA"/>
    <w:rsid w:val="003B0D82"/>
    <w:rsid w:val="003B3448"/>
    <w:rsid w:val="003B38D3"/>
    <w:rsid w:val="003B3E04"/>
    <w:rsid w:val="003B5212"/>
    <w:rsid w:val="003B6182"/>
    <w:rsid w:val="003B6C42"/>
    <w:rsid w:val="003B6DD2"/>
    <w:rsid w:val="003B7C36"/>
    <w:rsid w:val="003C15E4"/>
    <w:rsid w:val="003C184B"/>
    <w:rsid w:val="003C2F9E"/>
    <w:rsid w:val="003C310D"/>
    <w:rsid w:val="003C4096"/>
    <w:rsid w:val="003C43D1"/>
    <w:rsid w:val="003C4B9D"/>
    <w:rsid w:val="003C6210"/>
    <w:rsid w:val="003C6228"/>
    <w:rsid w:val="003C6A37"/>
    <w:rsid w:val="003D0096"/>
    <w:rsid w:val="003D01CD"/>
    <w:rsid w:val="003D1885"/>
    <w:rsid w:val="003D1A57"/>
    <w:rsid w:val="003D21A5"/>
    <w:rsid w:val="003D4790"/>
    <w:rsid w:val="003D4FEE"/>
    <w:rsid w:val="003D5631"/>
    <w:rsid w:val="003D5C2F"/>
    <w:rsid w:val="003D75A8"/>
    <w:rsid w:val="003D7D95"/>
    <w:rsid w:val="003E0BF5"/>
    <w:rsid w:val="003E1079"/>
    <w:rsid w:val="003E1583"/>
    <w:rsid w:val="003E15CD"/>
    <w:rsid w:val="003E2D44"/>
    <w:rsid w:val="003E3582"/>
    <w:rsid w:val="003E3FFB"/>
    <w:rsid w:val="003E53ED"/>
    <w:rsid w:val="003E5DEF"/>
    <w:rsid w:val="003E65ED"/>
    <w:rsid w:val="003E6FAB"/>
    <w:rsid w:val="003E7609"/>
    <w:rsid w:val="003F16E2"/>
    <w:rsid w:val="003F19CC"/>
    <w:rsid w:val="003F3269"/>
    <w:rsid w:val="003F3357"/>
    <w:rsid w:val="003F3416"/>
    <w:rsid w:val="003F5504"/>
    <w:rsid w:val="003F55DC"/>
    <w:rsid w:val="003F65BF"/>
    <w:rsid w:val="003F6811"/>
    <w:rsid w:val="003F722B"/>
    <w:rsid w:val="00402615"/>
    <w:rsid w:val="0040497E"/>
    <w:rsid w:val="00404A28"/>
    <w:rsid w:val="0040513B"/>
    <w:rsid w:val="004065A7"/>
    <w:rsid w:val="00406D0F"/>
    <w:rsid w:val="004111ED"/>
    <w:rsid w:val="00411784"/>
    <w:rsid w:val="0041277E"/>
    <w:rsid w:val="00412997"/>
    <w:rsid w:val="00413ECE"/>
    <w:rsid w:val="00416C8C"/>
    <w:rsid w:val="00420E48"/>
    <w:rsid w:val="00422417"/>
    <w:rsid w:val="00422C3A"/>
    <w:rsid w:val="00423ACD"/>
    <w:rsid w:val="00424233"/>
    <w:rsid w:val="00424551"/>
    <w:rsid w:val="0042576F"/>
    <w:rsid w:val="00425B95"/>
    <w:rsid w:val="00425E65"/>
    <w:rsid w:val="0042676B"/>
    <w:rsid w:val="004304CA"/>
    <w:rsid w:val="004310E9"/>
    <w:rsid w:val="004314C7"/>
    <w:rsid w:val="00431660"/>
    <w:rsid w:val="004323BA"/>
    <w:rsid w:val="0043263F"/>
    <w:rsid w:val="00433109"/>
    <w:rsid w:val="00433516"/>
    <w:rsid w:val="00433B2C"/>
    <w:rsid w:val="00433FA9"/>
    <w:rsid w:val="00436577"/>
    <w:rsid w:val="0043726B"/>
    <w:rsid w:val="0043734C"/>
    <w:rsid w:val="0044190B"/>
    <w:rsid w:val="004432B6"/>
    <w:rsid w:val="004433A5"/>
    <w:rsid w:val="00445CB5"/>
    <w:rsid w:val="00445E63"/>
    <w:rsid w:val="004463D7"/>
    <w:rsid w:val="004469E6"/>
    <w:rsid w:val="00447310"/>
    <w:rsid w:val="004515EA"/>
    <w:rsid w:val="0045188A"/>
    <w:rsid w:val="004532C3"/>
    <w:rsid w:val="00454222"/>
    <w:rsid w:val="00454B8B"/>
    <w:rsid w:val="00454E9C"/>
    <w:rsid w:val="004564A3"/>
    <w:rsid w:val="00456ACB"/>
    <w:rsid w:val="00456E5A"/>
    <w:rsid w:val="0045798B"/>
    <w:rsid w:val="004601C8"/>
    <w:rsid w:val="004605DF"/>
    <w:rsid w:val="00460614"/>
    <w:rsid w:val="00460EE0"/>
    <w:rsid w:val="00463F46"/>
    <w:rsid w:val="004641D6"/>
    <w:rsid w:val="00464A29"/>
    <w:rsid w:val="00464BB8"/>
    <w:rsid w:val="00466CB9"/>
    <w:rsid w:val="00466DFF"/>
    <w:rsid w:val="00467324"/>
    <w:rsid w:val="004712FB"/>
    <w:rsid w:val="0047175B"/>
    <w:rsid w:val="00471BB7"/>
    <w:rsid w:val="00472EFF"/>
    <w:rsid w:val="00473FC5"/>
    <w:rsid w:val="00474063"/>
    <w:rsid w:val="004751BC"/>
    <w:rsid w:val="00475565"/>
    <w:rsid w:val="00476793"/>
    <w:rsid w:val="00476F72"/>
    <w:rsid w:val="00480028"/>
    <w:rsid w:val="0048102A"/>
    <w:rsid w:val="004812ED"/>
    <w:rsid w:val="0048151A"/>
    <w:rsid w:val="004817BD"/>
    <w:rsid w:val="004819EC"/>
    <w:rsid w:val="00481B2A"/>
    <w:rsid w:val="00481B90"/>
    <w:rsid w:val="00482091"/>
    <w:rsid w:val="004825F2"/>
    <w:rsid w:val="00482CFA"/>
    <w:rsid w:val="004833B2"/>
    <w:rsid w:val="004838B6"/>
    <w:rsid w:val="00483DE0"/>
    <w:rsid w:val="004848F6"/>
    <w:rsid w:val="0048510D"/>
    <w:rsid w:val="00486C9D"/>
    <w:rsid w:val="00487613"/>
    <w:rsid w:val="00490658"/>
    <w:rsid w:val="00490A35"/>
    <w:rsid w:val="00491505"/>
    <w:rsid w:val="004921EB"/>
    <w:rsid w:val="004936F1"/>
    <w:rsid w:val="004968CA"/>
    <w:rsid w:val="004977C6"/>
    <w:rsid w:val="00497A1B"/>
    <w:rsid w:val="00497FB3"/>
    <w:rsid w:val="004A0000"/>
    <w:rsid w:val="004A0C55"/>
    <w:rsid w:val="004A187B"/>
    <w:rsid w:val="004A2D3C"/>
    <w:rsid w:val="004A351F"/>
    <w:rsid w:val="004A3694"/>
    <w:rsid w:val="004A41F3"/>
    <w:rsid w:val="004A45C2"/>
    <w:rsid w:val="004A517F"/>
    <w:rsid w:val="004A6E3D"/>
    <w:rsid w:val="004A738C"/>
    <w:rsid w:val="004A76D9"/>
    <w:rsid w:val="004B1311"/>
    <w:rsid w:val="004B2950"/>
    <w:rsid w:val="004B2A11"/>
    <w:rsid w:val="004B3308"/>
    <w:rsid w:val="004B5640"/>
    <w:rsid w:val="004B6091"/>
    <w:rsid w:val="004B6A89"/>
    <w:rsid w:val="004B6E3E"/>
    <w:rsid w:val="004B7BE2"/>
    <w:rsid w:val="004C0475"/>
    <w:rsid w:val="004C0897"/>
    <w:rsid w:val="004C08D5"/>
    <w:rsid w:val="004C0CBF"/>
    <w:rsid w:val="004C226F"/>
    <w:rsid w:val="004C3890"/>
    <w:rsid w:val="004C38CF"/>
    <w:rsid w:val="004C442A"/>
    <w:rsid w:val="004C601D"/>
    <w:rsid w:val="004C6187"/>
    <w:rsid w:val="004C7412"/>
    <w:rsid w:val="004C7677"/>
    <w:rsid w:val="004C7757"/>
    <w:rsid w:val="004D04BF"/>
    <w:rsid w:val="004D157B"/>
    <w:rsid w:val="004D4430"/>
    <w:rsid w:val="004D5850"/>
    <w:rsid w:val="004D6078"/>
    <w:rsid w:val="004D784E"/>
    <w:rsid w:val="004D7A59"/>
    <w:rsid w:val="004E0881"/>
    <w:rsid w:val="004E0DFF"/>
    <w:rsid w:val="004E5586"/>
    <w:rsid w:val="004E55BC"/>
    <w:rsid w:val="004E7D49"/>
    <w:rsid w:val="004F09A8"/>
    <w:rsid w:val="004F1C7C"/>
    <w:rsid w:val="004F20A9"/>
    <w:rsid w:val="004F22D0"/>
    <w:rsid w:val="004F33E4"/>
    <w:rsid w:val="004F3C72"/>
    <w:rsid w:val="004F5B0E"/>
    <w:rsid w:val="004F5E84"/>
    <w:rsid w:val="004F5F11"/>
    <w:rsid w:val="004F6558"/>
    <w:rsid w:val="004F66F3"/>
    <w:rsid w:val="004F7B94"/>
    <w:rsid w:val="00500264"/>
    <w:rsid w:val="00500301"/>
    <w:rsid w:val="00502077"/>
    <w:rsid w:val="005022B6"/>
    <w:rsid w:val="005025D8"/>
    <w:rsid w:val="00502ADC"/>
    <w:rsid w:val="00503FF4"/>
    <w:rsid w:val="00504CF6"/>
    <w:rsid w:val="00505B0A"/>
    <w:rsid w:val="00506487"/>
    <w:rsid w:val="00507DA6"/>
    <w:rsid w:val="00510390"/>
    <w:rsid w:val="0051152A"/>
    <w:rsid w:val="00511C6F"/>
    <w:rsid w:val="00511DA5"/>
    <w:rsid w:val="005123F0"/>
    <w:rsid w:val="00512A9F"/>
    <w:rsid w:val="00513540"/>
    <w:rsid w:val="00513941"/>
    <w:rsid w:val="00514806"/>
    <w:rsid w:val="00514D1E"/>
    <w:rsid w:val="00515332"/>
    <w:rsid w:val="0051566C"/>
    <w:rsid w:val="00516010"/>
    <w:rsid w:val="0051628E"/>
    <w:rsid w:val="00517485"/>
    <w:rsid w:val="00520F4C"/>
    <w:rsid w:val="00522B08"/>
    <w:rsid w:val="00522E82"/>
    <w:rsid w:val="005238BD"/>
    <w:rsid w:val="00524027"/>
    <w:rsid w:val="005244C6"/>
    <w:rsid w:val="00524C13"/>
    <w:rsid w:val="0052574A"/>
    <w:rsid w:val="00525F65"/>
    <w:rsid w:val="00526480"/>
    <w:rsid w:val="00526D2E"/>
    <w:rsid w:val="00527B10"/>
    <w:rsid w:val="0053051D"/>
    <w:rsid w:val="00530531"/>
    <w:rsid w:val="00530825"/>
    <w:rsid w:val="0053213B"/>
    <w:rsid w:val="00533CA5"/>
    <w:rsid w:val="00533CBC"/>
    <w:rsid w:val="00533E52"/>
    <w:rsid w:val="00534556"/>
    <w:rsid w:val="00536885"/>
    <w:rsid w:val="00537BAC"/>
    <w:rsid w:val="00540821"/>
    <w:rsid w:val="00540A8E"/>
    <w:rsid w:val="005431A7"/>
    <w:rsid w:val="00543591"/>
    <w:rsid w:val="00544DFB"/>
    <w:rsid w:val="005454E5"/>
    <w:rsid w:val="00545BA1"/>
    <w:rsid w:val="00546136"/>
    <w:rsid w:val="005464FB"/>
    <w:rsid w:val="0054666E"/>
    <w:rsid w:val="005503F7"/>
    <w:rsid w:val="00550FB7"/>
    <w:rsid w:val="00551118"/>
    <w:rsid w:val="0055349A"/>
    <w:rsid w:val="00553994"/>
    <w:rsid w:val="00556D9E"/>
    <w:rsid w:val="00556E55"/>
    <w:rsid w:val="00556F88"/>
    <w:rsid w:val="005579FA"/>
    <w:rsid w:val="00557AFD"/>
    <w:rsid w:val="00557F67"/>
    <w:rsid w:val="005602C4"/>
    <w:rsid w:val="00560943"/>
    <w:rsid w:val="00561BCA"/>
    <w:rsid w:val="00563F44"/>
    <w:rsid w:val="00564208"/>
    <w:rsid w:val="00566C14"/>
    <w:rsid w:val="00570CA5"/>
    <w:rsid w:val="005710AB"/>
    <w:rsid w:val="005713AE"/>
    <w:rsid w:val="00571CEB"/>
    <w:rsid w:val="005728E8"/>
    <w:rsid w:val="00572E5F"/>
    <w:rsid w:val="0057377D"/>
    <w:rsid w:val="00573A7F"/>
    <w:rsid w:val="005812C2"/>
    <w:rsid w:val="00584138"/>
    <w:rsid w:val="005845AF"/>
    <w:rsid w:val="00584739"/>
    <w:rsid w:val="00590B26"/>
    <w:rsid w:val="00590CC3"/>
    <w:rsid w:val="005912EA"/>
    <w:rsid w:val="005913F0"/>
    <w:rsid w:val="00591951"/>
    <w:rsid w:val="00591C88"/>
    <w:rsid w:val="005926EF"/>
    <w:rsid w:val="00593113"/>
    <w:rsid w:val="005956E5"/>
    <w:rsid w:val="00597E8E"/>
    <w:rsid w:val="005A0964"/>
    <w:rsid w:val="005A0C0F"/>
    <w:rsid w:val="005A2396"/>
    <w:rsid w:val="005A29A4"/>
    <w:rsid w:val="005A32A7"/>
    <w:rsid w:val="005A54CC"/>
    <w:rsid w:val="005A56E4"/>
    <w:rsid w:val="005A6066"/>
    <w:rsid w:val="005A68B7"/>
    <w:rsid w:val="005B05EB"/>
    <w:rsid w:val="005B235F"/>
    <w:rsid w:val="005B36F6"/>
    <w:rsid w:val="005B39EF"/>
    <w:rsid w:val="005B5EEE"/>
    <w:rsid w:val="005B6515"/>
    <w:rsid w:val="005B6B4A"/>
    <w:rsid w:val="005B6BDB"/>
    <w:rsid w:val="005C207C"/>
    <w:rsid w:val="005C24FD"/>
    <w:rsid w:val="005C29A4"/>
    <w:rsid w:val="005C2B09"/>
    <w:rsid w:val="005C2ECF"/>
    <w:rsid w:val="005C34E1"/>
    <w:rsid w:val="005C485A"/>
    <w:rsid w:val="005C4F27"/>
    <w:rsid w:val="005C540A"/>
    <w:rsid w:val="005C5D41"/>
    <w:rsid w:val="005C73C2"/>
    <w:rsid w:val="005C7E92"/>
    <w:rsid w:val="005D03E8"/>
    <w:rsid w:val="005D0A8E"/>
    <w:rsid w:val="005D0DFB"/>
    <w:rsid w:val="005D1373"/>
    <w:rsid w:val="005D1F34"/>
    <w:rsid w:val="005D383D"/>
    <w:rsid w:val="005D3B80"/>
    <w:rsid w:val="005D4249"/>
    <w:rsid w:val="005D442F"/>
    <w:rsid w:val="005D47EE"/>
    <w:rsid w:val="005D5149"/>
    <w:rsid w:val="005D5183"/>
    <w:rsid w:val="005D544C"/>
    <w:rsid w:val="005D555F"/>
    <w:rsid w:val="005D5921"/>
    <w:rsid w:val="005D59CB"/>
    <w:rsid w:val="005D66BD"/>
    <w:rsid w:val="005D7581"/>
    <w:rsid w:val="005E1588"/>
    <w:rsid w:val="005E2C23"/>
    <w:rsid w:val="005E324C"/>
    <w:rsid w:val="005E3E62"/>
    <w:rsid w:val="005E71AD"/>
    <w:rsid w:val="005E77BE"/>
    <w:rsid w:val="005E77E4"/>
    <w:rsid w:val="005F0852"/>
    <w:rsid w:val="005F0A08"/>
    <w:rsid w:val="005F2481"/>
    <w:rsid w:val="005F3917"/>
    <w:rsid w:val="005F3A3D"/>
    <w:rsid w:val="005F45F6"/>
    <w:rsid w:val="005F52C7"/>
    <w:rsid w:val="005F559B"/>
    <w:rsid w:val="005F7533"/>
    <w:rsid w:val="00600867"/>
    <w:rsid w:val="0060111E"/>
    <w:rsid w:val="00602951"/>
    <w:rsid w:val="00602AEF"/>
    <w:rsid w:val="00602EAB"/>
    <w:rsid w:val="0060304B"/>
    <w:rsid w:val="006031BF"/>
    <w:rsid w:val="006037A2"/>
    <w:rsid w:val="00604731"/>
    <w:rsid w:val="00605886"/>
    <w:rsid w:val="006058D0"/>
    <w:rsid w:val="00606323"/>
    <w:rsid w:val="00606A30"/>
    <w:rsid w:val="0061011B"/>
    <w:rsid w:val="00610A97"/>
    <w:rsid w:val="00610C49"/>
    <w:rsid w:val="00610E58"/>
    <w:rsid w:val="00613025"/>
    <w:rsid w:val="00613BC0"/>
    <w:rsid w:val="006147DB"/>
    <w:rsid w:val="00614DE9"/>
    <w:rsid w:val="00614E7D"/>
    <w:rsid w:val="00615836"/>
    <w:rsid w:val="00616F88"/>
    <w:rsid w:val="00620EA0"/>
    <w:rsid w:val="00622508"/>
    <w:rsid w:val="006229D3"/>
    <w:rsid w:val="00623731"/>
    <w:rsid w:val="006246F7"/>
    <w:rsid w:val="00626CE7"/>
    <w:rsid w:val="0063009F"/>
    <w:rsid w:val="006307C5"/>
    <w:rsid w:val="00631FD8"/>
    <w:rsid w:val="00632CFC"/>
    <w:rsid w:val="00633980"/>
    <w:rsid w:val="00633AED"/>
    <w:rsid w:val="0063404E"/>
    <w:rsid w:val="0063485A"/>
    <w:rsid w:val="00635401"/>
    <w:rsid w:val="006356C5"/>
    <w:rsid w:val="00637FB9"/>
    <w:rsid w:val="00640466"/>
    <w:rsid w:val="00640DDF"/>
    <w:rsid w:val="00642A64"/>
    <w:rsid w:val="00643C39"/>
    <w:rsid w:val="00643D46"/>
    <w:rsid w:val="006472D0"/>
    <w:rsid w:val="00647B18"/>
    <w:rsid w:val="00650E26"/>
    <w:rsid w:val="0065267D"/>
    <w:rsid w:val="006539F1"/>
    <w:rsid w:val="00653AE1"/>
    <w:rsid w:val="00654793"/>
    <w:rsid w:val="00654E11"/>
    <w:rsid w:val="006563ED"/>
    <w:rsid w:val="006600B1"/>
    <w:rsid w:val="00660938"/>
    <w:rsid w:val="006609E8"/>
    <w:rsid w:val="00660CC4"/>
    <w:rsid w:val="00660D98"/>
    <w:rsid w:val="00661465"/>
    <w:rsid w:val="0066480B"/>
    <w:rsid w:val="00665624"/>
    <w:rsid w:val="006656EB"/>
    <w:rsid w:val="00666F60"/>
    <w:rsid w:val="006671D4"/>
    <w:rsid w:val="0066725E"/>
    <w:rsid w:val="0067245F"/>
    <w:rsid w:val="00672481"/>
    <w:rsid w:val="00672660"/>
    <w:rsid w:val="00672729"/>
    <w:rsid w:val="00673B5F"/>
    <w:rsid w:val="00673CEA"/>
    <w:rsid w:val="00673E97"/>
    <w:rsid w:val="00674442"/>
    <w:rsid w:val="00675B7D"/>
    <w:rsid w:val="00675EED"/>
    <w:rsid w:val="00676386"/>
    <w:rsid w:val="00681950"/>
    <w:rsid w:val="00681AE1"/>
    <w:rsid w:val="00681E6D"/>
    <w:rsid w:val="00682043"/>
    <w:rsid w:val="006824C8"/>
    <w:rsid w:val="00683AD0"/>
    <w:rsid w:val="00684531"/>
    <w:rsid w:val="00684E43"/>
    <w:rsid w:val="006866F3"/>
    <w:rsid w:val="00690047"/>
    <w:rsid w:val="0069045D"/>
    <w:rsid w:val="00690931"/>
    <w:rsid w:val="006912A8"/>
    <w:rsid w:val="00691774"/>
    <w:rsid w:val="00691A8C"/>
    <w:rsid w:val="00692641"/>
    <w:rsid w:val="00693A9D"/>
    <w:rsid w:val="00693DDE"/>
    <w:rsid w:val="006943C2"/>
    <w:rsid w:val="00694548"/>
    <w:rsid w:val="00696418"/>
    <w:rsid w:val="00696A30"/>
    <w:rsid w:val="006972AF"/>
    <w:rsid w:val="00697FED"/>
    <w:rsid w:val="006A071F"/>
    <w:rsid w:val="006A08BE"/>
    <w:rsid w:val="006A0AD7"/>
    <w:rsid w:val="006A39A7"/>
    <w:rsid w:val="006A4B2E"/>
    <w:rsid w:val="006A4F6B"/>
    <w:rsid w:val="006A50D3"/>
    <w:rsid w:val="006A55F1"/>
    <w:rsid w:val="006A6BB3"/>
    <w:rsid w:val="006A6E98"/>
    <w:rsid w:val="006A704D"/>
    <w:rsid w:val="006B0234"/>
    <w:rsid w:val="006B1840"/>
    <w:rsid w:val="006B3566"/>
    <w:rsid w:val="006B3619"/>
    <w:rsid w:val="006B3DE1"/>
    <w:rsid w:val="006B412E"/>
    <w:rsid w:val="006B73C1"/>
    <w:rsid w:val="006C0642"/>
    <w:rsid w:val="006C0647"/>
    <w:rsid w:val="006C1192"/>
    <w:rsid w:val="006C24B3"/>
    <w:rsid w:val="006C2DE6"/>
    <w:rsid w:val="006C384D"/>
    <w:rsid w:val="006C4AEC"/>
    <w:rsid w:val="006C5EFA"/>
    <w:rsid w:val="006C69DF"/>
    <w:rsid w:val="006D0045"/>
    <w:rsid w:val="006D0407"/>
    <w:rsid w:val="006D04FE"/>
    <w:rsid w:val="006D1220"/>
    <w:rsid w:val="006D18E8"/>
    <w:rsid w:val="006D2B86"/>
    <w:rsid w:val="006D2D37"/>
    <w:rsid w:val="006D380E"/>
    <w:rsid w:val="006D5EE5"/>
    <w:rsid w:val="006D6776"/>
    <w:rsid w:val="006E0138"/>
    <w:rsid w:val="006E0D7F"/>
    <w:rsid w:val="006E1F42"/>
    <w:rsid w:val="006E25B9"/>
    <w:rsid w:val="006E30AC"/>
    <w:rsid w:val="006E3194"/>
    <w:rsid w:val="006E5BF0"/>
    <w:rsid w:val="006E5E11"/>
    <w:rsid w:val="006E5ECC"/>
    <w:rsid w:val="006E6534"/>
    <w:rsid w:val="006E6D3B"/>
    <w:rsid w:val="006F146F"/>
    <w:rsid w:val="006F1DEB"/>
    <w:rsid w:val="006F28F6"/>
    <w:rsid w:val="006F35BD"/>
    <w:rsid w:val="006F3BDD"/>
    <w:rsid w:val="006F48E3"/>
    <w:rsid w:val="006F59D1"/>
    <w:rsid w:val="006F5BF4"/>
    <w:rsid w:val="006F5F27"/>
    <w:rsid w:val="006F66F4"/>
    <w:rsid w:val="0070025D"/>
    <w:rsid w:val="007024A3"/>
    <w:rsid w:val="0070380A"/>
    <w:rsid w:val="007068F0"/>
    <w:rsid w:val="00706DA4"/>
    <w:rsid w:val="0070728E"/>
    <w:rsid w:val="0071165B"/>
    <w:rsid w:val="007119BD"/>
    <w:rsid w:val="00712858"/>
    <w:rsid w:val="007138D2"/>
    <w:rsid w:val="00714FF5"/>
    <w:rsid w:val="007151CF"/>
    <w:rsid w:val="0071579A"/>
    <w:rsid w:val="00715844"/>
    <w:rsid w:val="007159A8"/>
    <w:rsid w:val="00715DA6"/>
    <w:rsid w:val="00716825"/>
    <w:rsid w:val="00716944"/>
    <w:rsid w:val="0071792B"/>
    <w:rsid w:val="007218E3"/>
    <w:rsid w:val="00723927"/>
    <w:rsid w:val="00723A57"/>
    <w:rsid w:val="00723D58"/>
    <w:rsid w:val="00723D9B"/>
    <w:rsid w:val="00724290"/>
    <w:rsid w:val="0072474F"/>
    <w:rsid w:val="007278E1"/>
    <w:rsid w:val="00727DCA"/>
    <w:rsid w:val="00730BD2"/>
    <w:rsid w:val="007313D2"/>
    <w:rsid w:val="00731ADB"/>
    <w:rsid w:val="007329B7"/>
    <w:rsid w:val="00736257"/>
    <w:rsid w:val="00736470"/>
    <w:rsid w:val="007406F7"/>
    <w:rsid w:val="00741769"/>
    <w:rsid w:val="007418D3"/>
    <w:rsid w:val="00741A76"/>
    <w:rsid w:val="007424DF"/>
    <w:rsid w:val="0074258F"/>
    <w:rsid w:val="00743345"/>
    <w:rsid w:val="00743B6C"/>
    <w:rsid w:val="00744DE2"/>
    <w:rsid w:val="0074501C"/>
    <w:rsid w:val="00745023"/>
    <w:rsid w:val="0074549B"/>
    <w:rsid w:val="0074642A"/>
    <w:rsid w:val="007467FC"/>
    <w:rsid w:val="00746D62"/>
    <w:rsid w:val="0075376F"/>
    <w:rsid w:val="007540BF"/>
    <w:rsid w:val="0075430D"/>
    <w:rsid w:val="00754A8E"/>
    <w:rsid w:val="00754ABC"/>
    <w:rsid w:val="00754F7D"/>
    <w:rsid w:val="00755DE7"/>
    <w:rsid w:val="00755E2D"/>
    <w:rsid w:val="007612AD"/>
    <w:rsid w:val="007629CE"/>
    <w:rsid w:val="00762F31"/>
    <w:rsid w:val="00762F7D"/>
    <w:rsid w:val="007637A8"/>
    <w:rsid w:val="00763F13"/>
    <w:rsid w:val="007640D8"/>
    <w:rsid w:val="00764406"/>
    <w:rsid w:val="007655D4"/>
    <w:rsid w:val="007656C1"/>
    <w:rsid w:val="00765B45"/>
    <w:rsid w:val="00765B58"/>
    <w:rsid w:val="00765F83"/>
    <w:rsid w:val="00767C21"/>
    <w:rsid w:val="007703F8"/>
    <w:rsid w:val="00770DCB"/>
    <w:rsid w:val="00771180"/>
    <w:rsid w:val="00771C8E"/>
    <w:rsid w:val="00771D62"/>
    <w:rsid w:val="00771FAC"/>
    <w:rsid w:val="0077219E"/>
    <w:rsid w:val="007726F3"/>
    <w:rsid w:val="00772835"/>
    <w:rsid w:val="007728CA"/>
    <w:rsid w:val="00772BC5"/>
    <w:rsid w:val="00773998"/>
    <w:rsid w:val="007740F7"/>
    <w:rsid w:val="00774F48"/>
    <w:rsid w:val="00775027"/>
    <w:rsid w:val="00775485"/>
    <w:rsid w:val="00775EEA"/>
    <w:rsid w:val="0077666E"/>
    <w:rsid w:val="00776C47"/>
    <w:rsid w:val="00776FB8"/>
    <w:rsid w:val="007811AF"/>
    <w:rsid w:val="00781B31"/>
    <w:rsid w:val="00782433"/>
    <w:rsid w:val="0078296D"/>
    <w:rsid w:val="007832CD"/>
    <w:rsid w:val="00783532"/>
    <w:rsid w:val="007837AF"/>
    <w:rsid w:val="00783B12"/>
    <w:rsid w:val="00784047"/>
    <w:rsid w:val="007846B5"/>
    <w:rsid w:val="00785041"/>
    <w:rsid w:val="00786501"/>
    <w:rsid w:val="00786FE7"/>
    <w:rsid w:val="0078714B"/>
    <w:rsid w:val="007878C7"/>
    <w:rsid w:val="007904CE"/>
    <w:rsid w:val="007905E6"/>
    <w:rsid w:val="00791BB8"/>
    <w:rsid w:val="00793A67"/>
    <w:rsid w:val="00797506"/>
    <w:rsid w:val="007975C3"/>
    <w:rsid w:val="007A0550"/>
    <w:rsid w:val="007A1614"/>
    <w:rsid w:val="007A1ECE"/>
    <w:rsid w:val="007A259C"/>
    <w:rsid w:val="007A2BFB"/>
    <w:rsid w:val="007A446F"/>
    <w:rsid w:val="007A55F1"/>
    <w:rsid w:val="007A5A2B"/>
    <w:rsid w:val="007A5A54"/>
    <w:rsid w:val="007B022E"/>
    <w:rsid w:val="007B06EA"/>
    <w:rsid w:val="007B0719"/>
    <w:rsid w:val="007B0A41"/>
    <w:rsid w:val="007B0FD9"/>
    <w:rsid w:val="007B37AA"/>
    <w:rsid w:val="007B45D0"/>
    <w:rsid w:val="007B5B5F"/>
    <w:rsid w:val="007B680C"/>
    <w:rsid w:val="007B7556"/>
    <w:rsid w:val="007C040C"/>
    <w:rsid w:val="007C1D92"/>
    <w:rsid w:val="007C3973"/>
    <w:rsid w:val="007C3DAD"/>
    <w:rsid w:val="007C43EB"/>
    <w:rsid w:val="007C51D7"/>
    <w:rsid w:val="007C5566"/>
    <w:rsid w:val="007C5F5E"/>
    <w:rsid w:val="007C6698"/>
    <w:rsid w:val="007C73AC"/>
    <w:rsid w:val="007D093B"/>
    <w:rsid w:val="007D0B4D"/>
    <w:rsid w:val="007D119B"/>
    <w:rsid w:val="007D2F00"/>
    <w:rsid w:val="007D4300"/>
    <w:rsid w:val="007D4912"/>
    <w:rsid w:val="007D5A26"/>
    <w:rsid w:val="007D64CB"/>
    <w:rsid w:val="007D68E7"/>
    <w:rsid w:val="007E0EA5"/>
    <w:rsid w:val="007E1CDC"/>
    <w:rsid w:val="007E3011"/>
    <w:rsid w:val="007E4116"/>
    <w:rsid w:val="007E5B88"/>
    <w:rsid w:val="007E7033"/>
    <w:rsid w:val="007F032A"/>
    <w:rsid w:val="007F0D0B"/>
    <w:rsid w:val="007F155C"/>
    <w:rsid w:val="007F15B2"/>
    <w:rsid w:val="007F26E4"/>
    <w:rsid w:val="007F2A71"/>
    <w:rsid w:val="007F2BDA"/>
    <w:rsid w:val="007F3C6E"/>
    <w:rsid w:val="007F4D15"/>
    <w:rsid w:val="007F590C"/>
    <w:rsid w:val="007F592E"/>
    <w:rsid w:val="007F78D1"/>
    <w:rsid w:val="008007A8"/>
    <w:rsid w:val="00801527"/>
    <w:rsid w:val="00801DA2"/>
    <w:rsid w:val="00802D58"/>
    <w:rsid w:val="00803847"/>
    <w:rsid w:val="008042D9"/>
    <w:rsid w:val="0080490B"/>
    <w:rsid w:val="00804E34"/>
    <w:rsid w:val="00805708"/>
    <w:rsid w:val="00805B7F"/>
    <w:rsid w:val="00805E97"/>
    <w:rsid w:val="00807837"/>
    <w:rsid w:val="00810506"/>
    <w:rsid w:val="00810E22"/>
    <w:rsid w:val="0081210E"/>
    <w:rsid w:val="0081276E"/>
    <w:rsid w:val="00812829"/>
    <w:rsid w:val="00814E0E"/>
    <w:rsid w:val="00814FC0"/>
    <w:rsid w:val="00816E42"/>
    <w:rsid w:val="00817C73"/>
    <w:rsid w:val="0082090A"/>
    <w:rsid w:val="00821666"/>
    <w:rsid w:val="0082182C"/>
    <w:rsid w:val="00823005"/>
    <w:rsid w:val="00823BBE"/>
    <w:rsid w:val="00823D2D"/>
    <w:rsid w:val="00824470"/>
    <w:rsid w:val="00824A81"/>
    <w:rsid w:val="00825080"/>
    <w:rsid w:val="00825C2F"/>
    <w:rsid w:val="0082692D"/>
    <w:rsid w:val="0082753E"/>
    <w:rsid w:val="008300A6"/>
    <w:rsid w:val="008304C7"/>
    <w:rsid w:val="00831151"/>
    <w:rsid w:val="00832184"/>
    <w:rsid w:val="00832AEB"/>
    <w:rsid w:val="00832F67"/>
    <w:rsid w:val="008332B3"/>
    <w:rsid w:val="00833887"/>
    <w:rsid w:val="00834BA9"/>
    <w:rsid w:val="00836341"/>
    <w:rsid w:val="00836A28"/>
    <w:rsid w:val="00840037"/>
    <w:rsid w:val="008403BD"/>
    <w:rsid w:val="0084075D"/>
    <w:rsid w:val="00840F80"/>
    <w:rsid w:val="0084143F"/>
    <w:rsid w:val="00841A50"/>
    <w:rsid w:val="00842B5C"/>
    <w:rsid w:val="008449B9"/>
    <w:rsid w:val="00845042"/>
    <w:rsid w:val="00846AA7"/>
    <w:rsid w:val="00847191"/>
    <w:rsid w:val="00847994"/>
    <w:rsid w:val="008503B4"/>
    <w:rsid w:val="00851D92"/>
    <w:rsid w:val="00853964"/>
    <w:rsid w:val="008567E1"/>
    <w:rsid w:val="00856D2F"/>
    <w:rsid w:val="00856F78"/>
    <w:rsid w:val="008607B2"/>
    <w:rsid w:val="0086254F"/>
    <w:rsid w:val="0086285C"/>
    <w:rsid w:val="00862879"/>
    <w:rsid w:val="00862A93"/>
    <w:rsid w:val="008639BC"/>
    <w:rsid w:val="00865218"/>
    <w:rsid w:val="00866B5F"/>
    <w:rsid w:val="0086753F"/>
    <w:rsid w:val="008712D1"/>
    <w:rsid w:val="0087233D"/>
    <w:rsid w:val="008724DE"/>
    <w:rsid w:val="00872D6B"/>
    <w:rsid w:val="00873150"/>
    <w:rsid w:val="008742E2"/>
    <w:rsid w:val="008744D8"/>
    <w:rsid w:val="008746D7"/>
    <w:rsid w:val="00874F2A"/>
    <w:rsid w:val="008758D9"/>
    <w:rsid w:val="0087598D"/>
    <w:rsid w:val="008772CB"/>
    <w:rsid w:val="00877376"/>
    <w:rsid w:val="00877BD4"/>
    <w:rsid w:val="00877CDE"/>
    <w:rsid w:val="008810E7"/>
    <w:rsid w:val="00881762"/>
    <w:rsid w:val="00881766"/>
    <w:rsid w:val="00882B0A"/>
    <w:rsid w:val="00883C88"/>
    <w:rsid w:val="00884698"/>
    <w:rsid w:val="00884CA7"/>
    <w:rsid w:val="00884EB4"/>
    <w:rsid w:val="00886E5D"/>
    <w:rsid w:val="0088738A"/>
    <w:rsid w:val="00887AF3"/>
    <w:rsid w:val="00890377"/>
    <w:rsid w:val="00891586"/>
    <w:rsid w:val="00891FA3"/>
    <w:rsid w:val="0089302F"/>
    <w:rsid w:val="0089376F"/>
    <w:rsid w:val="00895B3F"/>
    <w:rsid w:val="00897104"/>
    <w:rsid w:val="00897546"/>
    <w:rsid w:val="008A3D57"/>
    <w:rsid w:val="008A3FEA"/>
    <w:rsid w:val="008A544D"/>
    <w:rsid w:val="008A5566"/>
    <w:rsid w:val="008A5DA1"/>
    <w:rsid w:val="008A6698"/>
    <w:rsid w:val="008A703F"/>
    <w:rsid w:val="008B1310"/>
    <w:rsid w:val="008B23BC"/>
    <w:rsid w:val="008B3899"/>
    <w:rsid w:val="008B3984"/>
    <w:rsid w:val="008B46CC"/>
    <w:rsid w:val="008B4E8C"/>
    <w:rsid w:val="008B50C2"/>
    <w:rsid w:val="008B6ED8"/>
    <w:rsid w:val="008C01CB"/>
    <w:rsid w:val="008C0712"/>
    <w:rsid w:val="008C0FE8"/>
    <w:rsid w:val="008C12B2"/>
    <w:rsid w:val="008C1936"/>
    <w:rsid w:val="008C2451"/>
    <w:rsid w:val="008C4796"/>
    <w:rsid w:val="008C5028"/>
    <w:rsid w:val="008C628C"/>
    <w:rsid w:val="008C74A8"/>
    <w:rsid w:val="008D0984"/>
    <w:rsid w:val="008D13AD"/>
    <w:rsid w:val="008D1F57"/>
    <w:rsid w:val="008D2306"/>
    <w:rsid w:val="008D379A"/>
    <w:rsid w:val="008D3CFC"/>
    <w:rsid w:val="008D6B29"/>
    <w:rsid w:val="008D7021"/>
    <w:rsid w:val="008E14CA"/>
    <w:rsid w:val="008E2CD3"/>
    <w:rsid w:val="008E2DB7"/>
    <w:rsid w:val="008E328C"/>
    <w:rsid w:val="008E3799"/>
    <w:rsid w:val="008E3D60"/>
    <w:rsid w:val="008E3F4C"/>
    <w:rsid w:val="008E41FB"/>
    <w:rsid w:val="008E5C83"/>
    <w:rsid w:val="008E653C"/>
    <w:rsid w:val="008E6577"/>
    <w:rsid w:val="008E6FA6"/>
    <w:rsid w:val="008E745B"/>
    <w:rsid w:val="008F025D"/>
    <w:rsid w:val="008F062E"/>
    <w:rsid w:val="008F2996"/>
    <w:rsid w:val="008F3130"/>
    <w:rsid w:val="008F3426"/>
    <w:rsid w:val="008F3472"/>
    <w:rsid w:val="008F35AB"/>
    <w:rsid w:val="008F441E"/>
    <w:rsid w:val="008F470B"/>
    <w:rsid w:val="008F56AD"/>
    <w:rsid w:val="008F6D56"/>
    <w:rsid w:val="008F7DE0"/>
    <w:rsid w:val="00900095"/>
    <w:rsid w:val="00900352"/>
    <w:rsid w:val="0090165F"/>
    <w:rsid w:val="00901B82"/>
    <w:rsid w:val="00902066"/>
    <w:rsid w:val="00904BC4"/>
    <w:rsid w:val="00905746"/>
    <w:rsid w:val="00905985"/>
    <w:rsid w:val="00905B7D"/>
    <w:rsid w:val="00905F79"/>
    <w:rsid w:val="00906178"/>
    <w:rsid w:val="00906E11"/>
    <w:rsid w:val="0090759B"/>
    <w:rsid w:val="009113EC"/>
    <w:rsid w:val="00911A37"/>
    <w:rsid w:val="00911B48"/>
    <w:rsid w:val="00912B09"/>
    <w:rsid w:val="00912C05"/>
    <w:rsid w:val="00912FB8"/>
    <w:rsid w:val="00913AD2"/>
    <w:rsid w:val="00915BE9"/>
    <w:rsid w:val="00916677"/>
    <w:rsid w:val="009166EC"/>
    <w:rsid w:val="00916D46"/>
    <w:rsid w:val="0091774C"/>
    <w:rsid w:val="00922BF1"/>
    <w:rsid w:val="00922C47"/>
    <w:rsid w:val="00923DE4"/>
    <w:rsid w:val="00924B52"/>
    <w:rsid w:val="00924CC7"/>
    <w:rsid w:val="009264AE"/>
    <w:rsid w:val="00926910"/>
    <w:rsid w:val="0092751C"/>
    <w:rsid w:val="009301A2"/>
    <w:rsid w:val="00930D07"/>
    <w:rsid w:val="009311DC"/>
    <w:rsid w:val="009315B5"/>
    <w:rsid w:val="00932E87"/>
    <w:rsid w:val="00936EC9"/>
    <w:rsid w:val="0093729F"/>
    <w:rsid w:val="0093745A"/>
    <w:rsid w:val="009410DE"/>
    <w:rsid w:val="009417D6"/>
    <w:rsid w:val="00941856"/>
    <w:rsid w:val="0094202A"/>
    <w:rsid w:val="009432CF"/>
    <w:rsid w:val="00943525"/>
    <w:rsid w:val="00943D23"/>
    <w:rsid w:val="009448EC"/>
    <w:rsid w:val="009455C2"/>
    <w:rsid w:val="00946454"/>
    <w:rsid w:val="00946922"/>
    <w:rsid w:val="0095033D"/>
    <w:rsid w:val="00951B01"/>
    <w:rsid w:val="00953277"/>
    <w:rsid w:val="00953382"/>
    <w:rsid w:val="009555D6"/>
    <w:rsid w:val="009604BF"/>
    <w:rsid w:val="00960AF5"/>
    <w:rsid w:val="0096103A"/>
    <w:rsid w:val="009621E2"/>
    <w:rsid w:val="00962DBB"/>
    <w:rsid w:val="00962F9F"/>
    <w:rsid w:val="009633C3"/>
    <w:rsid w:val="00964B73"/>
    <w:rsid w:val="00964FBF"/>
    <w:rsid w:val="00965128"/>
    <w:rsid w:val="00965882"/>
    <w:rsid w:val="00965F22"/>
    <w:rsid w:val="00965FB6"/>
    <w:rsid w:val="0096683E"/>
    <w:rsid w:val="00966C2F"/>
    <w:rsid w:val="0096742A"/>
    <w:rsid w:val="00970DC3"/>
    <w:rsid w:val="0097140F"/>
    <w:rsid w:val="00972F49"/>
    <w:rsid w:val="0097311D"/>
    <w:rsid w:val="0097365D"/>
    <w:rsid w:val="0097383F"/>
    <w:rsid w:val="0097432C"/>
    <w:rsid w:val="00974B7A"/>
    <w:rsid w:val="0097512B"/>
    <w:rsid w:val="009751E3"/>
    <w:rsid w:val="00975CC2"/>
    <w:rsid w:val="0097796D"/>
    <w:rsid w:val="00977E58"/>
    <w:rsid w:val="00980BE6"/>
    <w:rsid w:val="00982404"/>
    <w:rsid w:val="00984BF4"/>
    <w:rsid w:val="0098761A"/>
    <w:rsid w:val="00987DB1"/>
    <w:rsid w:val="009921B1"/>
    <w:rsid w:val="009932A6"/>
    <w:rsid w:val="009936BE"/>
    <w:rsid w:val="009936F7"/>
    <w:rsid w:val="00993E70"/>
    <w:rsid w:val="0099487D"/>
    <w:rsid w:val="00995206"/>
    <w:rsid w:val="00995A7F"/>
    <w:rsid w:val="00997A13"/>
    <w:rsid w:val="009A073A"/>
    <w:rsid w:val="009A1259"/>
    <w:rsid w:val="009A4E3B"/>
    <w:rsid w:val="009A4EE3"/>
    <w:rsid w:val="009A61D5"/>
    <w:rsid w:val="009A6342"/>
    <w:rsid w:val="009A6AFB"/>
    <w:rsid w:val="009A7250"/>
    <w:rsid w:val="009A7450"/>
    <w:rsid w:val="009A7C5F"/>
    <w:rsid w:val="009B0DF8"/>
    <w:rsid w:val="009B2543"/>
    <w:rsid w:val="009B349E"/>
    <w:rsid w:val="009B38DB"/>
    <w:rsid w:val="009B3CDF"/>
    <w:rsid w:val="009B4340"/>
    <w:rsid w:val="009B665D"/>
    <w:rsid w:val="009B6FA9"/>
    <w:rsid w:val="009B7F71"/>
    <w:rsid w:val="009C1079"/>
    <w:rsid w:val="009C1175"/>
    <w:rsid w:val="009C2EED"/>
    <w:rsid w:val="009C3936"/>
    <w:rsid w:val="009C3F29"/>
    <w:rsid w:val="009C4DB6"/>
    <w:rsid w:val="009C58D1"/>
    <w:rsid w:val="009C7A1F"/>
    <w:rsid w:val="009D0FE3"/>
    <w:rsid w:val="009D172F"/>
    <w:rsid w:val="009D1FE5"/>
    <w:rsid w:val="009D311C"/>
    <w:rsid w:val="009D3D29"/>
    <w:rsid w:val="009D4B4F"/>
    <w:rsid w:val="009D4B92"/>
    <w:rsid w:val="009D67F6"/>
    <w:rsid w:val="009D693F"/>
    <w:rsid w:val="009E08D1"/>
    <w:rsid w:val="009E0FE1"/>
    <w:rsid w:val="009E161A"/>
    <w:rsid w:val="009E2CE4"/>
    <w:rsid w:val="009E37E7"/>
    <w:rsid w:val="009E3925"/>
    <w:rsid w:val="009E497E"/>
    <w:rsid w:val="009E4BD0"/>
    <w:rsid w:val="009E581F"/>
    <w:rsid w:val="009F1383"/>
    <w:rsid w:val="009F197A"/>
    <w:rsid w:val="009F19B4"/>
    <w:rsid w:val="009F2764"/>
    <w:rsid w:val="009F47E9"/>
    <w:rsid w:val="009F5635"/>
    <w:rsid w:val="009F5A7B"/>
    <w:rsid w:val="009F5B78"/>
    <w:rsid w:val="009F5C90"/>
    <w:rsid w:val="009F6F05"/>
    <w:rsid w:val="009F777C"/>
    <w:rsid w:val="00A0080F"/>
    <w:rsid w:val="00A00BAA"/>
    <w:rsid w:val="00A00C46"/>
    <w:rsid w:val="00A01110"/>
    <w:rsid w:val="00A01359"/>
    <w:rsid w:val="00A0138C"/>
    <w:rsid w:val="00A01F21"/>
    <w:rsid w:val="00A020B7"/>
    <w:rsid w:val="00A029BD"/>
    <w:rsid w:val="00A02FE6"/>
    <w:rsid w:val="00A0406E"/>
    <w:rsid w:val="00A05F18"/>
    <w:rsid w:val="00A066A6"/>
    <w:rsid w:val="00A076BF"/>
    <w:rsid w:val="00A07A6D"/>
    <w:rsid w:val="00A1024F"/>
    <w:rsid w:val="00A1071D"/>
    <w:rsid w:val="00A1092E"/>
    <w:rsid w:val="00A10E30"/>
    <w:rsid w:val="00A11307"/>
    <w:rsid w:val="00A1172F"/>
    <w:rsid w:val="00A11C07"/>
    <w:rsid w:val="00A12041"/>
    <w:rsid w:val="00A126F7"/>
    <w:rsid w:val="00A137D5"/>
    <w:rsid w:val="00A13A79"/>
    <w:rsid w:val="00A13AF3"/>
    <w:rsid w:val="00A13E4F"/>
    <w:rsid w:val="00A14864"/>
    <w:rsid w:val="00A15CB0"/>
    <w:rsid w:val="00A15D72"/>
    <w:rsid w:val="00A16DC6"/>
    <w:rsid w:val="00A1728E"/>
    <w:rsid w:val="00A173CB"/>
    <w:rsid w:val="00A17FAF"/>
    <w:rsid w:val="00A204BE"/>
    <w:rsid w:val="00A21388"/>
    <w:rsid w:val="00A214EB"/>
    <w:rsid w:val="00A21EFE"/>
    <w:rsid w:val="00A2278A"/>
    <w:rsid w:val="00A22A89"/>
    <w:rsid w:val="00A23F1C"/>
    <w:rsid w:val="00A251A7"/>
    <w:rsid w:val="00A25869"/>
    <w:rsid w:val="00A2683B"/>
    <w:rsid w:val="00A26E58"/>
    <w:rsid w:val="00A2703B"/>
    <w:rsid w:val="00A27047"/>
    <w:rsid w:val="00A273A0"/>
    <w:rsid w:val="00A27791"/>
    <w:rsid w:val="00A27ABE"/>
    <w:rsid w:val="00A27C01"/>
    <w:rsid w:val="00A30B38"/>
    <w:rsid w:val="00A31417"/>
    <w:rsid w:val="00A33658"/>
    <w:rsid w:val="00A3490A"/>
    <w:rsid w:val="00A351FA"/>
    <w:rsid w:val="00A355F9"/>
    <w:rsid w:val="00A36245"/>
    <w:rsid w:val="00A373F1"/>
    <w:rsid w:val="00A41355"/>
    <w:rsid w:val="00A41A83"/>
    <w:rsid w:val="00A42397"/>
    <w:rsid w:val="00A437B6"/>
    <w:rsid w:val="00A43B92"/>
    <w:rsid w:val="00A43FCE"/>
    <w:rsid w:val="00A4438A"/>
    <w:rsid w:val="00A44654"/>
    <w:rsid w:val="00A44883"/>
    <w:rsid w:val="00A4521E"/>
    <w:rsid w:val="00A45846"/>
    <w:rsid w:val="00A46D14"/>
    <w:rsid w:val="00A500BD"/>
    <w:rsid w:val="00A50775"/>
    <w:rsid w:val="00A50A52"/>
    <w:rsid w:val="00A50BDB"/>
    <w:rsid w:val="00A513C7"/>
    <w:rsid w:val="00A517E3"/>
    <w:rsid w:val="00A52751"/>
    <w:rsid w:val="00A54251"/>
    <w:rsid w:val="00A5504B"/>
    <w:rsid w:val="00A552CD"/>
    <w:rsid w:val="00A567DF"/>
    <w:rsid w:val="00A571C1"/>
    <w:rsid w:val="00A57483"/>
    <w:rsid w:val="00A6021C"/>
    <w:rsid w:val="00A605D2"/>
    <w:rsid w:val="00A6179E"/>
    <w:rsid w:val="00A6312E"/>
    <w:rsid w:val="00A64316"/>
    <w:rsid w:val="00A64BBE"/>
    <w:rsid w:val="00A64F25"/>
    <w:rsid w:val="00A6749B"/>
    <w:rsid w:val="00A7187A"/>
    <w:rsid w:val="00A71E47"/>
    <w:rsid w:val="00A728DA"/>
    <w:rsid w:val="00A733A4"/>
    <w:rsid w:val="00A73E90"/>
    <w:rsid w:val="00A74D03"/>
    <w:rsid w:val="00A75B25"/>
    <w:rsid w:val="00A7615D"/>
    <w:rsid w:val="00A765F9"/>
    <w:rsid w:val="00A804D9"/>
    <w:rsid w:val="00A82B73"/>
    <w:rsid w:val="00A82E45"/>
    <w:rsid w:val="00A832ED"/>
    <w:rsid w:val="00A83896"/>
    <w:rsid w:val="00A842A3"/>
    <w:rsid w:val="00A84DE7"/>
    <w:rsid w:val="00A8573B"/>
    <w:rsid w:val="00A86809"/>
    <w:rsid w:val="00A86925"/>
    <w:rsid w:val="00A8765A"/>
    <w:rsid w:val="00A90ABA"/>
    <w:rsid w:val="00A90E8C"/>
    <w:rsid w:val="00A91D36"/>
    <w:rsid w:val="00A92399"/>
    <w:rsid w:val="00A92915"/>
    <w:rsid w:val="00A92F92"/>
    <w:rsid w:val="00A932D1"/>
    <w:rsid w:val="00A93EF0"/>
    <w:rsid w:val="00A96670"/>
    <w:rsid w:val="00A9673D"/>
    <w:rsid w:val="00A967E8"/>
    <w:rsid w:val="00A96892"/>
    <w:rsid w:val="00A96A06"/>
    <w:rsid w:val="00A9760E"/>
    <w:rsid w:val="00A97EEF"/>
    <w:rsid w:val="00AA04DF"/>
    <w:rsid w:val="00AA0940"/>
    <w:rsid w:val="00AA1EA1"/>
    <w:rsid w:val="00AA2051"/>
    <w:rsid w:val="00AA287F"/>
    <w:rsid w:val="00AA2D69"/>
    <w:rsid w:val="00AA34D5"/>
    <w:rsid w:val="00AA44B7"/>
    <w:rsid w:val="00AA4A87"/>
    <w:rsid w:val="00AA51B0"/>
    <w:rsid w:val="00AA5589"/>
    <w:rsid w:val="00AA5950"/>
    <w:rsid w:val="00AA6C0F"/>
    <w:rsid w:val="00AA70C4"/>
    <w:rsid w:val="00AA7457"/>
    <w:rsid w:val="00AB017E"/>
    <w:rsid w:val="00AB0732"/>
    <w:rsid w:val="00AB0AB6"/>
    <w:rsid w:val="00AB16C0"/>
    <w:rsid w:val="00AB1BAE"/>
    <w:rsid w:val="00AB340F"/>
    <w:rsid w:val="00AB348A"/>
    <w:rsid w:val="00AB4DCF"/>
    <w:rsid w:val="00AB5D3E"/>
    <w:rsid w:val="00AB5F43"/>
    <w:rsid w:val="00AB61C6"/>
    <w:rsid w:val="00AB7C8F"/>
    <w:rsid w:val="00AC2192"/>
    <w:rsid w:val="00AC24C8"/>
    <w:rsid w:val="00AC3E30"/>
    <w:rsid w:val="00AC447D"/>
    <w:rsid w:val="00AC5914"/>
    <w:rsid w:val="00AC5FB3"/>
    <w:rsid w:val="00AC6355"/>
    <w:rsid w:val="00AC636D"/>
    <w:rsid w:val="00AC786F"/>
    <w:rsid w:val="00AC7DBE"/>
    <w:rsid w:val="00AD0996"/>
    <w:rsid w:val="00AD141D"/>
    <w:rsid w:val="00AD1F1A"/>
    <w:rsid w:val="00AD2C83"/>
    <w:rsid w:val="00AD49E8"/>
    <w:rsid w:val="00AE15DB"/>
    <w:rsid w:val="00AE21EA"/>
    <w:rsid w:val="00AE2666"/>
    <w:rsid w:val="00AE295C"/>
    <w:rsid w:val="00AE307B"/>
    <w:rsid w:val="00AE399B"/>
    <w:rsid w:val="00AE3AE2"/>
    <w:rsid w:val="00AE7567"/>
    <w:rsid w:val="00AE7615"/>
    <w:rsid w:val="00AF326E"/>
    <w:rsid w:val="00AF3375"/>
    <w:rsid w:val="00AF3A57"/>
    <w:rsid w:val="00AF3C94"/>
    <w:rsid w:val="00AF3D4C"/>
    <w:rsid w:val="00AF4B18"/>
    <w:rsid w:val="00AF790A"/>
    <w:rsid w:val="00B00898"/>
    <w:rsid w:val="00B00F61"/>
    <w:rsid w:val="00B01368"/>
    <w:rsid w:val="00B01A71"/>
    <w:rsid w:val="00B04DFC"/>
    <w:rsid w:val="00B056F7"/>
    <w:rsid w:val="00B05E8A"/>
    <w:rsid w:val="00B07BC8"/>
    <w:rsid w:val="00B07D50"/>
    <w:rsid w:val="00B10195"/>
    <w:rsid w:val="00B12603"/>
    <w:rsid w:val="00B1358D"/>
    <w:rsid w:val="00B13F66"/>
    <w:rsid w:val="00B1412E"/>
    <w:rsid w:val="00B14907"/>
    <w:rsid w:val="00B14B49"/>
    <w:rsid w:val="00B151C0"/>
    <w:rsid w:val="00B15834"/>
    <w:rsid w:val="00B165F5"/>
    <w:rsid w:val="00B16E68"/>
    <w:rsid w:val="00B17557"/>
    <w:rsid w:val="00B202CA"/>
    <w:rsid w:val="00B2117D"/>
    <w:rsid w:val="00B22156"/>
    <w:rsid w:val="00B22292"/>
    <w:rsid w:val="00B227E5"/>
    <w:rsid w:val="00B22860"/>
    <w:rsid w:val="00B23307"/>
    <w:rsid w:val="00B23615"/>
    <w:rsid w:val="00B237FB"/>
    <w:rsid w:val="00B239E9"/>
    <w:rsid w:val="00B240DE"/>
    <w:rsid w:val="00B24779"/>
    <w:rsid w:val="00B24B1D"/>
    <w:rsid w:val="00B24B4B"/>
    <w:rsid w:val="00B251FF"/>
    <w:rsid w:val="00B253BE"/>
    <w:rsid w:val="00B26C33"/>
    <w:rsid w:val="00B277E0"/>
    <w:rsid w:val="00B30CB4"/>
    <w:rsid w:val="00B316A0"/>
    <w:rsid w:val="00B31E5A"/>
    <w:rsid w:val="00B3289D"/>
    <w:rsid w:val="00B32D43"/>
    <w:rsid w:val="00B32F5B"/>
    <w:rsid w:val="00B33106"/>
    <w:rsid w:val="00B33476"/>
    <w:rsid w:val="00B338F9"/>
    <w:rsid w:val="00B34946"/>
    <w:rsid w:val="00B35092"/>
    <w:rsid w:val="00B35580"/>
    <w:rsid w:val="00B35C32"/>
    <w:rsid w:val="00B36179"/>
    <w:rsid w:val="00B3638D"/>
    <w:rsid w:val="00B37DD1"/>
    <w:rsid w:val="00B402EC"/>
    <w:rsid w:val="00B41B64"/>
    <w:rsid w:val="00B42A7A"/>
    <w:rsid w:val="00B45DC5"/>
    <w:rsid w:val="00B45EE9"/>
    <w:rsid w:val="00B46359"/>
    <w:rsid w:val="00B467FF"/>
    <w:rsid w:val="00B468C3"/>
    <w:rsid w:val="00B4699F"/>
    <w:rsid w:val="00B5027A"/>
    <w:rsid w:val="00B50A03"/>
    <w:rsid w:val="00B50DA8"/>
    <w:rsid w:val="00B51023"/>
    <w:rsid w:val="00B51350"/>
    <w:rsid w:val="00B519FD"/>
    <w:rsid w:val="00B520BC"/>
    <w:rsid w:val="00B52326"/>
    <w:rsid w:val="00B523DE"/>
    <w:rsid w:val="00B5242E"/>
    <w:rsid w:val="00B52F3E"/>
    <w:rsid w:val="00B539CC"/>
    <w:rsid w:val="00B53DE3"/>
    <w:rsid w:val="00B544CC"/>
    <w:rsid w:val="00B54F0C"/>
    <w:rsid w:val="00B56EFB"/>
    <w:rsid w:val="00B60093"/>
    <w:rsid w:val="00B60D79"/>
    <w:rsid w:val="00B61D94"/>
    <w:rsid w:val="00B63444"/>
    <w:rsid w:val="00B63C69"/>
    <w:rsid w:val="00B63D24"/>
    <w:rsid w:val="00B6460B"/>
    <w:rsid w:val="00B6504B"/>
    <w:rsid w:val="00B654C0"/>
    <w:rsid w:val="00B66363"/>
    <w:rsid w:val="00B6733B"/>
    <w:rsid w:val="00B675D5"/>
    <w:rsid w:val="00B7359F"/>
    <w:rsid w:val="00B74690"/>
    <w:rsid w:val="00B7629D"/>
    <w:rsid w:val="00B76A1A"/>
    <w:rsid w:val="00B776DB"/>
    <w:rsid w:val="00B80236"/>
    <w:rsid w:val="00B826D8"/>
    <w:rsid w:val="00B83294"/>
    <w:rsid w:val="00B842BB"/>
    <w:rsid w:val="00B84483"/>
    <w:rsid w:val="00B8639B"/>
    <w:rsid w:val="00B86A70"/>
    <w:rsid w:val="00B924E6"/>
    <w:rsid w:val="00B92BE2"/>
    <w:rsid w:val="00B94068"/>
    <w:rsid w:val="00B95EF0"/>
    <w:rsid w:val="00B962ED"/>
    <w:rsid w:val="00BA1EA0"/>
    <w:rsid w:val="00BA262D"/>
    <w:rsid w:val="00BA2EDE"/>
    <w:rsid w:val="00BA3101"/>
    <w:rsid w:val="00BA4FE9"/>
    <w:rsid w:val="00BA53A1"/>
    <w:rsid w:val="00BA545B"/>
    <w:rsid w:val="00BA566E"/>
    <w:rsid w:val="00BA5698"/>
    <w:rsid w:val="00BA5BB1"/>
    <w:rsid w:val="00BA6677"/>
    <w:rsid w:val="00BA66D3"/>
    <w:rsid w:val="00BB3A8E"/>
    <w:rsid w:val="00BB3B4E"/>
    <w:rsid w:val="00BB3C1F"/>
    <w:rsid w:val="00BB47B4"/>
    <w:rsid w:val="00BB5543"/>
    <w:rsid w:val="00BB7F78"/>
    <w:rsid w:val="00BC07A0"/>
    <w:rsid w:val="00BC0989"/>
    <w:rsid w:val="00BC0F36"/>
    <w:rsid w:val="00BC1519"/>
    <w:rsid w:val="00BC1655"/>
    <w:rsid w:val="00BC1CF0"/>
    <w:rsid w:val="00BC2620"/>
    <w:rsid w:val="00BC340A"/>
    <w:rsid w:val="00BC79EB"/>
    <w:rsid w:val="00BC7CF5"/>
    <w:rsid w:val="00BD08D2"/>
    <w:rsid w:val="00BD1A0F"/>
    <w:rsid w:val="00BD1E3E"/>
    <w:rsid w:val="00BD22C3"/>
    <w:rsid w:val="00BD2785"/>
    <w:rsid w:val="00BD2C7D"/>
    <w:rsid w:val="00BD3029"/>
    <w:rsid w:val="00BD3F25"/>
    <w:rsid w:val="00BD41CD"/>
    <w:rsid w:val="00BD58A4"/>
    <w:rsid w:val="00BD6B23"/>
    <w:rsid w:val="00BD6DD0"/>
    <w:rsid w:val="00BD7FCF"/>
    <w:rsid w:val="00BE0C39"/>
    <w:rsid w:val="00BE2504"/>
    <w:rsid w:val="00BE31FB"/>
    <w:rsid w:val="00BE330C"/>
    <w:rsid w:val="00BE396C"/>
    <w:rsid w:val="00BE4DE6"/>
    <w:rsid w:val="00BE5299"/>
    <w:rsid w:val="00BE58A7"/>
    <w:rsid w:val="00BE77B6"/>
    <w:rsid w:val="00BE7FE0"/>
    <w:rsid w:val="00BF0A08"/>
    <w:rsid w:val="00BF2C49"/>
    <w:rsid w:val="00BF401C"/>
    <w:rsid w:val="00BF41CA"/>
    <w:rsid w:val="00BF41DF"/>
    <w:rsid w:val="00BF6406"/>
    <w:rsid w:val="00C00089"/>
    <w:rsid w:val="00C000F7"/>
    <w:rsid w:val="00C033F3"/>
    <w:rsid w:val="00C03B94"/>
    <w:rsid w:val="00C064DC"/>
    <w:rsid w:val="00C06E03"/>
    <w:rsid w:val="00C0731B"/>
    <w:rsid w:val="00C1134F"/>
    <w:rsid w:val="00C1483A"/>
    <w:rsid w:val="00C149BD"/>
    <w:rsid w:val="00C14CE5"/>
    <w:rsid w:val="00C156ED"/>
    <w:rsid w:val="00C15B9D"/>
    <w:rsid w:val="00C166B2"/>
    <w:rsid w:val="00C16DCE"/>
    <w:rsid w:val="00C17BAE"/>
    <w:rsid w:val="00C20320"/>
    <w:rsid w:val="00C209C9"/>
    <w:rsid w:val="00C20FFC"/>
    <w:rsid w:val="00C21256"/>
    <w:rsid w:val="00C21A58"/>
    <w:rsid w:val="00C21E6F"/>
    <w:rsid w:val="00C21FF1"/>
    <w:rsid w:val="00C2200D"/>
    <w:rsid w:val="00C22E96"/>
    <w:rsid w:val="00C2341D"/>
    <w:rsid w:val="00C2509E"/>
    <w:rsid w:val="00C25196"/>
    <w:rsid w:val="00C25BDA"/>
    <w:rsid w:val="00C26DFB"/>
    <w:rsid w:val="00C31577"/>
    <w:rsid w:val="00C32410"/>
    <w:rsid w:val="00C32C15"/>
    <w:rsid w:val="00C32ED3"/>
    <w:rsid w:val="00C33104"/>
    <w:rsid w:val="00C332D4"/>
    <w:rsid w:val="00C33B3F"/>
    <w:rsid w:val="00C34AB8"/>
    <w:rsid w:val="00C36ADA"/>
    <w:rsid w:val="00C370E8"/>
    <w:rsid w:val="00C37F58"/>
    <w:rsid w:val="00C4022F"/>
    <w:rsid w:val="00C41E70"/>
    <w:rsid w:val="00C4285C"/>
    <w:rsid w:val="00C43CD0"/>
    <w:rsid w:val="00C441A2"/>
    <w:rsid w:val="00C46CDE"/>
    <w:rsid w:val="00C50468"/>
    <w:rsid w:val="00C51011"/>
    <w:rsid w:val="00C51942"/>
    <w:rsid w:val="00C5275A"/>
    <w:rsid w:val="00C53C46"/>
    <w:rsid w:val="00C54019"/>
    <w:rsid w:val="00C541A1"/>
    <w:rsid w:val="00C5593E"/>
    <w:rsid w:val="00C55A75"/>
    <w:rsid w:val="00C560AC"/>
    <w:rsid w:val="00C56417"/>
    <w:rsid w:val="00C5665B"/>
    <w:rsid w:val="00C567D9"/>
    <w:rsid w:val="00C568A9"/>
    <w:rsid w:val="00C5781C"/>
    <w:rsid w:val="00C600AE"/>
    <w:rsid w:val="00C60294"/>
    <w:rsid w:val="00C60343"/>
    <w:rsid w:val="00C6093D"/>
    <w:rsid w:val="00C61AEA"/>
    <w:rsid w:val="00C61D28"/>
    <w:rsid w:val="00C620C5"/>
    <w:rsid w:val="00C65277"/>
    <w:rsid w:val="00C655CE"/>
    <w:rsid w:val="00C656D7"/>
    <w:rsid w:val="00C656F4"/>
    <w:rsid w:val="00C65750"/>
    <w:rsid w:val="00C667D1"/>
    <w:rsid w:val="00C67A6B"/>
    <w:rsid w:val="00C67F98"/>
    <w:rsid w:val="00C70615"/>
    <w:rsid w:val="00C70C66"/>
    <w:rsid w:val="00C722B3"/>
    <w:rsid w:val="00C723AA"/>
    <w:rsid w:val="00C72D27"/>
    <w:rsid w:val="00C73700"/>
    <w:rsid w:val="00C73856"/>
    <w:rsid w:val="00C7515B"/>
    <w:rsid w:val="00C7573E"/>
    <w:rsid w:val="00C769DF"/>
    <w:rsid w:val="00C77A22"/>
    <w:rsid w:val="00C77BD4"/>
    <w:rsid w:val="00C77CC0"/>
    <w:rsid w:val="00C8091B"/>
    <w:rsid w:val="00C80EDB"/>
    <w:rsid w:val="00C81705"/>
    <w:rsid w:val="00C82ABC"/>
    <w:rsid w:val="00C82F4E"/>
    <w:rsid w:val="00C83410"/>
    <w:rsid w:val="00C83582"/>
    <w:rsid w:val="00C84CE7"/>
    <w:rsid w:val="00C854D4"/>
    <w:rsid w:val="00C855D6"/>
    <w:rsid w:val="00C85CC8"/>
    <w:rsid w:val="00C86032"/>
    <w:rsid w:val="00C86034"/>
    <w:rsid w:val="00C86324"/>
    <w:rsid w:val="00C90556"/>
    <w:rsid w:val="00C92EF0"/>
    <w:rsid w:val="00C9396C"/>
    <w:rsid w:val="00C96B7D"/>
    <w:rsid w:val="00CA0D78"/>
    <w:rsid w:val="00CA1554"/>
    <w:rsid w:val="00CA3D79"/>
    <w:rsid w:val="00CA4855"/>
    <w:rsid w:val="00CA4C92"/>
    <w:rsid w:val="00CA4FE1"/>
    <w:rsid w:val="00CA5714"/>
    <w:rsid w:val="00CA5D30"/>
    <w:rsid w:val="00CA5D90"/>
    <w:rsid w:val="00CA603D"/>
    <w:rsid w:val="00CA6A37"/>
    <w:rsid w:val="00CA7FB7"/>
    <w:rsid w:val="00CB0ADD"/>
    <w:rsid w:val="00CB19C1"/>
    <w:rsid w:val="00CB1AAB"/>
    <w:rsid w:val="00CB24FE"/>
    <w:rsid w:val="00CB2581"/>
    <w:rsid w:val="00CB3BEB"/>
    <w:rsid w:val="00CB475F"/>
    <w:rsid w:val="00CB4C45"/>
    <w:rsid w:val="00CB6295"/>
    <w:rsid w:val="00CB6D9D"/>
    <w:rsid w:val="00CB79CA"/>
    <w:rsid w:val="00CB7BD5"/>
    <w:rsid w:val="00CC0ABB"/>
    <w:rsid w:val="00CC2AA0"/>
    <w:rsid w:val="00CC36A5"/>
    <w:rsid w:val="00CC384B"/>
    <w:rsid w:val="00CC427E"/>
    <w:rsid w:val="00CC55B1"/>
    <w:rsid w:val="00CC689C"/>
    <w:rsid w:val="00CC6C0B"/>
    <w:rsid w:val="00CD056E"/>
    <w:rsid w:val="00CD08C9"/>
    <w:rsid w:val="00CD211B"/>
    <w:rsid w:val="00CD34BA"/>
    <w:rsid w:val="00CD471E"/>
    <w:rsid w:val="00CD58FD"/>
    <w:rsid w:val="00CD754D"/>
    <w:rsid w:val="00CD7902"/>
    <w:rsid w:val="00CE1821"/>
    <w:rsid w:val="00CE2DA6"/>
    <w:rsid w:val="00CE308B"/>
    <w:rsid w:val="00CE368E"/>
    <w:rsid w:val="00CE387A"/>
    <w:rsid w:val="00CE3B20"/>
    <w:rsid w:val="00CE48BC"/>
    <w:rsid w:val="00CE4A0B"/>
    <w:rsid w:val="00CE4EF3"/>
    <w:rsid w:val="00CE53C2"/>
    <w:rsid w:val="00CE572A"/>
    <w:rsid w:val="00CE62B8"/>
    <w:rsid w:val="00CE67FD"/>
    <w:rsid w:val="00CE7519"/>
    <w:rsid w:val="00CE76B1"/>
    <w:rsid w:val="00CE7C46"/>
    <w:rsid w:val="00CF2372"/>
    <w:rsid w:val="00CF26D0"/>
    <w:rsid w:val="00CF3768"/>
    <w:rsid w:val="00CF3A71"/>
    <w:rsid w:val="00CF40DB"/>
    <w:rsid w:val="00CF52AA"/>
    <w:rsid w:val="00CF60B8"/>
    <w:rsid w:val="00CF6464"/>
    <w:rsid w:val="00CF6FA5"/>
    <w:rsid w:val="00CF784D"/>
    <w:rsid w:val="00D00131"/>
    <w:rsid w:val="00D0049E"/>
    <w:rsid w:val="00D02074"/>
    <w:rsid w:val="00D02209"/>
    <w:rsid w:val="00D02337"/>
    <w:rsid w:val="00D02C70"/>
    <w:rsid w:val="00D02CEC"/>
    <w:rsid w:val="00D03307"/>
    <w:rsid w:val="00D04623"/>
    <w:rsid w:val="00D0479F"/>
    <w:rsid w:val="00D04ABD"/>
    <w:rsid w:val="00D05FFB"/>
    <w:rsid w:val="00D06490"/>
    <w:rsid w:val="00D06771"/>
    <w:rsid w:val="00D07637"/>
    <w:rsid w:val="00D07C2B"/>
    <w:rsid w:val="00D07FA1"/>
    <w:rsid w:val="00D10571"/>
    <w:rsid w:val="00D10D45"/>
    <w:rsid w:val="00D11B63"/>
    <w:rsid w:val="00D124DE"/>
    <w:rsid w:val="00D13478"/>
    <w:rsid w:val="00D14EA5"/>
    <w:rsid w:val="00D150A4"/>
    <w:rsid w:val="00D150C6"/>
    <w:rsid w:val="00D151EB"/>
    <w:rsid w:val="00D16CB3"/>
    <w:rsid w:val="00D17DC0"/>
    <w:rsid w:val="00D17EA0"/>
    <w:rsid w:val="00D2122E"/>
    <w:rsid w:val="00D2166C"/>
    <w:rsid w:val="00D22E33"/>
    <w:rsid w:val="00D239FA"/>
    <w:rsid w:val="00D23BD1"/>
    <w:rsid w:val="00D24109"/>
    <w:rsid w:val="00D249B0"/>
    <w:rsid w:val="00D24ECF"/>
    <w:rsid w:val="00D252B7"/>
    <w:rsid w:val="00D26B7F"/>
    <w:rsid w:val="00D3063C"/>
    <w:rsid w:val="00D30FEB"/>
    <w:rsid w:val="00D3180D"/>
    <w:rsid w:val="00D33FA1"/>
    <w:rsid w:val="00D343FA"/>
    <w:rsid w:val="00D34614"/>
    <w:rsid w:val="00D34B86"/>
    <w:rsid w:val="00D34DCD"/>
    <w:rsid w:val="00D35367"/>
    <w:rsid w:val="00D37022"/>
    <w:rsid w:val="00D3712A"/>
    <w:rsid w:val="00D377AF"/>
    <w:rsid w:val="00D4180C"/>
    <w:rsid w:val="00D418FF"/>
    <w:rsid w:val="00D41D0C"/>
    <w:rsid w:val="00D42C86"/>
    <w:rsid w:val="00D43C7D"/>
    <w:rsid w:val="00D4488C"/>
    <w:rsid w:val="00D458BE"/>
    <w:rsid w:val="00D470CB"/>
    <w:rsid w:val="00D4731B"/>
    <w:rsid w:val="00D47AF2"/>
    <w:rsid w:val="00D50839"/>
    <w:rsid w:val="00D52070"/>
    <w:rsid w:val="00D526B6"/>
    <w:rsid w:val="00D52E6D"/>
    <w:rsid w:val="00D53C71"/>
    <w:rsid w:val="00D5418B"/>
    <w:rsid w:val="00D543E6"/>
    <w:rsid w:val="00D5545F"/>
    <w:rsid w:val="00D56202"/>
    <w:rsid w:val="00D616E3"/>
    <w:rsid w:val="00D625C7"/>
    <w:rsid w:val="00D62EEE"/>
    <w:rsid w:val="00D653BD"/>
    <w:rsid w:val="00D65C76"/>
    <w:rsid w:val="00D66672"/>
    <w:rsid w:val="00D70BAC"/>
    <w:rsid w:val="00D71921"/>
    <w:rsid w:val="00D725B5"/>
    <w:rsid w:val="00D727A0"/>
    <w:rsid w:val="00D72CF4"/>
    <w:rsid w:val="00D732BC"/>
    <w:rsid w:val="00D734C7"/>
    <w:rsid w:val="00D7542B"/>
    <w:rsid w:val="00D75CEC"/>
    <w:rsid w:val="00D75ED9"/>
    <w:rsid w:val="00D75EE3"/>
    <w:rsid w:val="00D76A68"/>
    <w:rsid w:val="00D77A9D"/>
    <w:rsid w:val="00D77C18"/>
    <w:rsid w:val="00D8290B"/>
    <w:rsid w:val="00D82A66"/>
    <w:rsid w:val="00D8351F"/>
    <w:rsid w:val="00D872C6"/>
    <w:rsid w:val="00D9051C"/>
    <w:rsid w:val="00D90C4E"/>
    <w:rsid w:val="00D92B8C"/>
    <w:rsid w:val="00D92C1F"/>
    <w:rsid w:val="00D92DEC"/>
    <w:rsid w:val="00D9367B"/>
    <w:rsid w:val="00D936F3"/>
    <w:rsid w:val="00D94594"/>
    <w:rsid w:val="00D945DE"/>
    <w:rsid w:val="00D956E1"/>
    <w:rsid w:val="00D96F69"/>
    <w:rsid w:val="00D97008"/>
    <w:rsid w:val="00D97232"/>
    <w:rsid w:val="00D97361"/>
    <w:rsid w:val="00DA1D32"/>
    <w:rsid w:val="00DA2F73"/>
    <w:rsid w:val="00DA3D28"/>
    <w:rsid w:val="00DA3DA0"/>
    <w:rsid w:val="00DA46DF"/>
    <w:rsid w:val="00DA5979"/>
    <w:rsid w:val="00DA5B65"/>
    <w:rsid w:val="00DA5C2A"/>
    <w:rsid w:val="00DA5F0C"/>
    <w:rsid w:val="00DA60D5"/>
    <w:rsid w:val="00DA62DB"/>
    <w:rsid w:val="00DA705E"/>
    <w:rsid w:val="00DA734C"/>
    <w:rsid w:val="00DA7A55"/>
    <w:rsid w:val="00DB1E0E"/>
    <w:rsid w:val="00DB28F6"/>
    <w:rsid w:val="00DB380E"/>
    <w:rsid w:val="00DB43EE"/>
    <w:rsid w:val="00DB60D8"/>
    <w:rsid w:val="00DB6781"/>
    <w:rsid w:val="00DB6B43"/>
    <w:rsid w:val="00DB7434"/>
    <w:rsid w:val="00DB7AAD"/>
    <w:rsid w:val="00DC0506"/>
    <w:rsid w:val="00DC086B"/>
    <w:rsid w:val="00DC1414"/>
    <w:rsid w:val="00DC155E"/>
    <w:rsid w:val="00DC307B"/>
    <w:rsid w:val="00DC33F2"/>
    <w:rsid w:val="00DC343B"/>
    <w:rsid w:val="00DC419B"/>
    <w:rsid w:val="00DC4615"/>
    <w:rsid w:val="00DC462F"/>
    <w:rsid w:val="00DC499A"/>
    <w:rsid w:val="00DC4A7E"/>
    <w:rsid w:val="00DC58A9"/>
    <w:rsid w:val="00DC6827"/>
    <w:rsid w:val="00DC77D0"/>
    <w:rsid w:val="00DC7AB6"/>
    <w:rsid w:val="00DC7E0E"/>
    <w:rsid w:val="00DD0B53"/>
    <w:rsid w:val="00DD1B9A"/>
    <w:rsid w:val="00DD1CE7"/>
    <w:rsid w:val="00DD3B65"/>
    <w:rsid w:val="00DD6198"/>
    <w:rsid w:val="00DD65A2"/>
    <w:rsid w:val="00DD6A21"/>
    <w:rsid w:val="00DD6A42"/>
    <w:rsid w:val="00DD6F35"/>
    <w:rsid w:val="00DD6FA8"/>
    <w:rsid w:val="00DD6FB6"/>
    <w:rsid w:val="00DD7463"/>
    <w:rsid w:val="00DE0CCE"/>
    <w:rsid w:val="00DE18A7"/>
    <w:rsid w:val="00DE1B14"/>
    <w:rsid w:val="00DE201B"/>
    <w:rsid w:val="00DE2527"/>
    <w:rsid w:val="00DE2EFB"/>
    <w:rsid w:val="00DE3A5D"/>
    <w:rsid w:val="00DE4B51"/>
    <w:rsid w:val="00DE4F80"/>
    <w:rsid w:val="00DE60CA"/>
    <w:rsid w:val="00DE681B"/>
    <w:rsid w:val="00DF3188"/>
    <w:rsid w:val="00DF3932"/>
    <w:rsid w:val="00DF51A1"/>
    <w:rsid w:val="00DF6FE1"/>
    <w:rsid w:val="00DF7510"/>
    <w:rsid w:val="00DF7577"/>
    <w:rsid w:val="00E000A1"/>
    <w:rsid w:val="00E007E0"/>
    <w:rsid w:val="00E01BC0"/>
    <w:rsid w:val="00E02517"/>
    <w:rsid w:val="00E02852"/>
    <w:rsid w:val="00E0312D"/>
    <w:rsid w:val="00E04AD2"/>
    <w:rsid w:val="00E0531D"/>
    <w:rsid w:val="00E07539"/>
    <w:rsid w:val="00E10D86"/>
    <w:rsid w:val="00E10E64"/>
    <w:rsid w:val="00E11C4E"/>
    <w:rsid w:val="00E11DCC"/>
    <w:rsid w:val="00E1403F"/>
    <w:rsid w:val="00E1454C"/>
    <w:rsid w:val="00E14833"/>
    <w:rsid w:val="00E1675F"/>
    <w:rsid w:val="00E16922"/>
    <w:rsid w:val="00E17B13"/>
    <w:rsid w:val="00E20602"/>
    <w:rsid w:val="00E2093C"/>
    <w:rsid w:val="00E20B05"/>
    <w:rsid w:val="00E20B8E"/>
    <w:rsid w:val="00E20D95"/>
    <w:rsid w:val="00E237F7"/>
    <w:rsid w:val="00E241F4"/>
    <w:rsid w:val="00E24612"/>
    <w:rsid w:val="00E246D3"/>
    <w:rsid w:val="00E24FA3"/>
    <w:rsid w:val="00E25E69"/>
    <w:rsid w:val="00E26B28"/>
    <w:rsid w:val="00E27235"/>
    <w:rsid w:val="00E31465"/>
    <w:rsid w:val="00E31BCC"/>
    <w:rsid w:val="00E328CD"/>
    <w:rsid w:val="00E32D4D"/>
    <w:rsid w:val="00E33ABF"/>
    <w:rsid w:val="00E3489E"/>
    <w:rsid w:val="00E362F0"/>
    <w:rsid w:val="00E36B95"/>
    <w:rsid w:val="00E374EC"/>
    <w:rsid w:val="00E4003F"/>
    <w:rsid w:val="00E40FA3"/>
    <w:rsid w:val="00E413EB"/>
    <w:rsid w:val="00E41E9F"/>
    <w:rsid w:val="00E42C3D"/>
    <w:rsid w:val="00E431EE"/>
    <w:rsid w:val="00E43470"/>
    <w:rsid w:val="00E44069"/>
    <w:rsid w:val="00E454E4"/>
    <w:rsid w:val="00E458F6"/>
    <w:rsid w:val="00E45954"/>
    <w:rsid w:val="00E45A49"/>
    <w:rsid w:val="00E46704"/>
    <w:rsid w:val="00E473BB"/>
    <w:rsid w:val="00E478FF"/>
    <w:rsid w:val="00E5295F"/>
    <w:rsid w:val="00E53546"/>
    <w:rsid w:val="00E54626"/>
    <w:rsid w:val="00E548AF"/>
    <w:rsid w:val="00E54AC3"/>
    <w:rsid w:val="00E54CFA"/>
    <w:rsid w:val="00E55EA5"/>
    <w:rsid w:val="00E55F24"/>
    <w:rsid w:val="00E56B65"/>
    <w:rsid w:val="00E6160C"/>
    <w:rsid w:val="00E62B98"/>
    <w:rsid w:val="00E63680"/>
    <w:rsid w:val="00E65847"/>
    <w:rsid w:val="00E66A35"/>
    <w:rsid w:val="00E709D3"/>
    <w:rsid w:val="00E710E3"/>
    <w:rsid w:val="00E71449"/>
    <w:rsid w:val="00E71643"/>
    <w:rsid w:val="00E71A64"/>
    <w:rsid w:val="00E7222E"/>
    <w:rsid w:val="00E728BB"/>
    <w:rsid w:val="00E732DA"/>
    <w:rsid w:val="00E7335C"/>
    <w:rsid w:val="00E7429B"/>
    <w:rsid w:val="00E74F02"/>
    <w:rsid w:val="00E75BC5"/>
    <w:rsid w:val="00E75EA3"/>
    <w:rsid w:val="00E77D95"/>
    <w:rsid w:val="00E80597"/>
    <w:rsid w:val="00E809A6"/>
    <w:rsid w:val="00E81771"/>
    <w:rsid w:val="00E81912"/>
    <w:rsid w:val="00E81FA1"/>
    <w:rsid w:val="00E83E86"/>
    <w:rsid w:val="00E851EA"/>
    <w:rsid w:val="00E85AD5"/>
    <w:rsid w:val="00E85FA7"/>
    <w:rsid w:val="00E8699E"/>
    <w:rsid w:val="00E87E3D"/>
    <w:rsid w:val="00E9015B"/>
    <w:rsid w:val="00E92C71"/>
    <w:rsid w:val="00E93A4D"/>
    <w:rsid w:val="00E941EE"/>
    <w:rsid w:val="00E94695"/>
    <w:rsid w:val="00E95609"/>
    <w:rsid w:val="00E95D5A"/>
    <w:rsid w:val="00E9775B"/>
    <w:rsid w:val="00E97C5F"/>
    <w:rsid w:val="00EA0B89"/>
    <w:rsid w:val="00EA1ECA"/>
    <w:rsid w:val="00EA31EF"/>
    <w:rsid w:val="00EA407B"/>
    <w:rsid w:val="00EA44D9"/>
    <w:rsid w:val="00EA4554"/>
    <w:rsid w:val="00EA4B76"/>
    <w:rsid w:val="00EA522D"/>
    <w:rsid w:val="00EA5241"/>
    <w:rsid w:val="00EA7B04"/>
    <w:rsid w:val="00EA7C9E"/>
    <w:rsid w:val="00EB0698"/>
    <w:rsid w:val="00EB1B32"/>
    <w:rsid w:val="00EB1FDB"/>
    <w:rsid w:val="00EB23BB"/>
    <w:rsid w:val="00EB6025"/>
    <w:rsid w:val="00EB6A76"/>
    <w:rsid w:val="00EC05D7"/>
    <w:rsid w:val="00EC1B45"/>
    <w:rsid w:val="00EC26A0"/>
    <w:rsid w:val="00EC3650"/>
    <w:rsid w:val="00EC3B89"/>
    <w:rsid w:val="00EC3ECE"/>
    <w:rsid w:val="00EC5630"/>
    <w:rsid w:val="00EC6368"/>
    <w:rsid w:val="00EC64B2"/>
    <w:rsid w:val="00EC6A35"/>
    <w:rsid w:val="00EC6C77"/>
    <w:rsid w:val="00ED023E"/>
    <w:rsid w:val="00ED0529"/>
    <w:rsid w:val="00ED16A9"/>
    <w:rsid w:val="00ED1A58"/>
    <w:rsid w:val="00ED374A"/>
    <w:rsid w:val="00ED4146"/>
    <w:rsid w:val="00ED454D"/>
    <w:rsid w:val="00ED5897"/>
    <w:rsid w:val="00ED5DD9"/>
    <w:rsid w:val="00ED6257"/>
    <w:rsid w:val="00ED7D25"/>
    <w:rsid w:val="00EE055C"/>
    <w:rsid w:val="00EE06D9"/>
    <w:rsid w:val="00EE0A7B"/>
    <w:rsid w:val="00EE0F5F"/>
    <w:rsid w:val="00EE2E08"/>
    <w:rsid w:val="00EE3241"/>
    <w:rsid w:val="00EE44B4"/>
    <w:rsid w:val="00EE4F20"/>
    <w:rsid w:val="00EE4F9C"/>
    <w:rsid w:val="00EE5296"/>
    <w:rsid w:val="00EE5360"/>
    <w:rsid w:val="00EF2501"/>
    <w:rsid w:val="00EF2584"/>
    <w:rsid w:val="00EF263F"/>
    <w:rsid w:val="00EF2A48"/>
    <w:rsid w:val="00EF5F00"/>
    <w:rsid w:val="00F003E8"/>
    <w:rsid w:val="00F00432"/>
    <w:rsid w:val="00F034CC"/>
    <w:rsid w:val="00F058E8"/>
    <w:rsid w:val="00F05F73"/>
    <w:rsid w:val="00F0686B"/>
    <w:rsid w:val="00F0799D"/>
    <w:rsid w:val="00F107A0"/>
    <w:rsid w:val="00F12099"/>
    <w:rsid w:val="00F127A8"/>
    <w:rsid w:val="00F12F09"/>
    <w:rsid w:val="00F140F9"/>
    <w:rsid w:val="00F1449F"/>
    <w:rsid w:val="00F1457A"/>
    <w:rsid w:val="00F14638"/>
    <w:rsid w:val="00F147C6"/>
    <w:rsid w:val="00F14C6D"/>
    <w:rsid w:val="00F14C79"/>
    <w:rsid w:val="00F1555A"/>
    <w:rsid w:val="00F15803"/>
    <w:rsid w:val="00F162D5"/>
    <w:rsid w:val="00F163BE"/>
    <w:rsid w:val="00F16EA3"/>
    <w:rsid w:val="00F17E57"/>
    <w:rsid w:val="00F20E7F"/>
    <w:rsid w:val="00F21E93"/>
    <w:rsid w:val="00F22092"/>
    <w:rsid w:val="00F220A5"/>
    <w:rsid w:val="00F2219E"/>
    <w:rsid w:val="00F23336"/>
    <w:rsid w:val="00F24C38"/>
    <w:rsid w:val="00F25233"/>
    <w:rsid w:val="00F25307"/>
    <w:rsid w:val="00F261D8"/>
    <w:rsid w:val="00F26EC3"/>
    <w:rsid w:val="00F27AD3"/>
    <w:rsid w:val="00F27B8B"/>
    <w:rsid w:val="00F32711"/>
    <w:rsid w:val="00F33018"/>
    <w:rsid w:val="00F33A29"/>
    <w:rsid w:val="00F34362"/>
    <w:rsid w:val="00F3446F"/>
    <w:rsid w:val="00F34BC9"/>
    <w:rsid w:val="00F35952"/>
    <w:rsid w:val="00F36509"/>
    <w:rsid w:val="00F36829"/>
    <w:rsid w:val="00F4062D"/>
    <w:rsid w:val="00F40B90"/>
    <w:rsid w:val="00F40BED"/>
    <w:rsid w:val="00F40E92"/>
    <w:rsid w:val="00F41301"/>
    <w:rsid w:val="00F41B4C"/>
    <w:rsid w:val="00F41DB6"/>
    <w:rsid w:val="00F42D08"/>
    <w:rsid w:val="00F435E1"/>
    <w:rsid w:val="00F43917"/>
    <w:rsid w:val="00F45CF7"/>
    <w:rsid w:val="00F46353"/>
    <w:rsid w:val="00F46386"/>
    <w:rsid w:val="00F46958"/>
    <w:rsid w:val="00F46AF1"/>
    <w:rsid w:val="00F47218"/>
    <w:rsid w:val="00F477A9"/>
    <w:rsid w:val="00F47AEE"/>
    <w:rsid w:val="00F513AE"/>
    <w:rsid w:val="00F51BB2"/>
    <w:rsid w:val="00F526B7"/>
    <w:rsid w:val="00F52AE2"/>
    <w:rsid w:val="00F52AFB"/>
    <w:rsid w:val="00F52CA0"/>
    <w:rsid w:val="00F53AB9"/>
    <w:rsid w:val="00F53D06"/>
    <w:rsid w:val="00F551D5"/>
    <w:rsid w:val="00F55C9E"/>
    <w:rsid w:val="00F56A39"/>
    <w:rsid w:val="00F60082"/>
    <w:rsid w:val="00F603C6"/>
    <w:rsid w:val="00F60B81"/>
    <w:rsid w:val="00F614D6"/>
    <w:rsid w:val="00F616B3"/>
    <w:rsid w:val="00F61A43"/>
    <w:rsid w:val="00F6200E"/>
    <w:rsid w:val="00F6230C"/>
    <w:rsid w:val="00F62FEC"/>
    <w:rsid w:val="00F63257"/>
    <w:rsid w:val="00F642E9"/>
    <w:rsid w:val="00F64992"/>
    <w:rsid w:val="00F656D5"/>
    <w:rsid w:val="00F660C8"/>
    <w:rsid w:val="00F665C1"/>
    <w:rsid w:val="00F700A4"/>
    <w:rsid w:val="00F70367"/>
    <w:rsid w:val="00F720CF"/>
    <w:rsid w:val="00F7249C"/>
    <w:rsid w:val="00F72B6A"/>
    <w:rsid w:val="00F72D4D"/>
    <w:rsid w:val="00F73024"/>
    <w:rsid w:val="00F75DE9"/>
    <w:rsid w:val="00F75E07"/>
    <w:rsid w:val="00F75ECF"/>
    <w:rsid w:val="00F76255"/>
    <w:rsid w:val="00F77098"/>
    <w:rsid w:val="00F8029C"/>
    <w:rsid w:val="00F81861"/>
    <w:rsid w:val="00F8302E"/>
    <w:rsid w:val="00F83655"/>
    <w:rsid w:val="00F83968"/>
    <w:rsid w:val="00F8524A"/>
    <w:rsid w:val="00F85E9A"/>
    <w:rsid w:val="00F8642C"/>
    <w:rsid w:val="00F86DAB"/>
    <w:rsid w:val="00F8711B"/>
    <w:rsid w:val="00F87CAA"/>
    <w:rsid w:val="00F913E3"/>
    <w:rsid w:val="00F9165C"/>
    <w:rsid w:val="00F91FA0"/>
    <w:rsid w:val="00F927F3"/>
    <w:rsid w:val="00F94EB9"/>
    <w:rsid w:val="00FA03AA"/>
    <w:rsid w:val="00FA0C68"/>
    <w:rsid w:val="00FA1878"/>
    <w:rsid w:val="00FA2824"/>
    <w:rsid w:val="00FA2B9E"/>
    <w:rsid w:val="00FA3003"/>
    <w:rsid w:val="00FA35E2"/>
    <w:rsid w:val="00FA4916"/>
    <w:rsid w:val="00FA4FA1"/>
    <w:rsid w:val="00FA5839"/>
    <w:rsid w:val="00FA5CB3"/>
    <w:rsid w:val="00FA5E14"/>
    <w:rsid w:val="00FA6BB6"/>
    <w:rsid w:val="00FA73E3"/>
    <w:rsid w:val="00FA7E5C"/>
    <w:rsid w:val="00FB0886"/>
    <w:rsid w:val="00FB0D89"/>
    <w:rsid w:val="00FB193D"/>
    <w:rsid w:val="00FB1E19"/>
    <w:rsid w:val="00FB3422"/>
    <w:rsid w:val="00FB3F01"/>
    <w:rsid w:val="00FB3F3C"/>
    <w:rsid w:val="00FB4001"/>
    <w:rsid w:val="00FB4068"/>
    <w:rsid w:val="00FB5651"/>
    <w:rsid w:val="00FB59E4"/>
    <w:rsid w:val="00FB5CCD"/>
    <w:rsid w:val="00FB5F01"/>
    <w:rsid w:val="00FB73C1"/>
    <w:rsid w:val="00FC1B45"/>
    <w:rsid w:val="00FC22A2"/>
    <w:rsid w:val="00FC255E"/>
    <w:rsid w:val="00FC2A02"/>
    <w:rsid w:val="00FC2FF8"/>
    <w:rsid w:val="00FC43CE"/>
    <w:rsid w:val="00FC4C22"/>
    <w:rsid w:val="00FC4DD1"/>
    <w:rsid w:val="00FC5671"/>
    <w:rsid w:val="00FC58E2"/>
    <w:rsid w:val="00FC6F66"/>
    <w:rsid w:val="00FC709A"/>
    <w:rsid w:val="00FD01B5"/>
    <w:rsid w:val="00FD0CE7"/>
    <w:rsid w:val="00FD195B"/>
    <w:rsid w:val="00FD19A9"/>
    <w:rsid w:val="00FD1C19"/>
    <w:rsid w:val="00FD224B"/>
    <w:rsid w:val="00FD4126"/>
    <w:rsid w:val="00FD5BF0"/>
    <w:rsid w:val="00FE1778"/>
    <w:rsid w:val="00FE1DCA"/>
    <w:rsid w:val="00FE29E5"/>
    <w:rsid w:val="00FE4DAD"/>
    <w:rsid w:val="00FE5C0C"/>
    <w:rsid w:val="00FE6058"/>
    <w:rsid w:val="00FE663B"/>
    <w:rsid w:val="00FE779A"/>
    <w:rsid w:val="00FE7961"/>
    <w:rsid w:val="00FE7C7F"/>
    <w:rsid w:val="00FF0346"/>
    <w:rsid w:val="00FF0A15"/>
    <w:rsid w:val="00FF3FDC"/>
    <w:rsid w:val="00FF44F9"/>
    <w:rsid w:val="00FF4E29"/>
    <w:rsid w:val="00FF4EDA"/>
    <w:rsid w:val="00FF5067"/>
    <w:rsid w:val="00FF6C3C"/>
    <w:rsid w:val="00FF703C"/>
    <w:rsid w:val="00FF70B8"/>
    <w:rsid w:val="00FF7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E048D3"/>
  <w15:chartTrackingRefBased/>
  <w15:docId w15:val="{E8579F90-C12F-46D7-94F3-8240CBF3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HTML Top of Form" w:locked="0"/>
    <w:lsdException w:name="HTML Bottom of Form" w:locked="0"/>
    <w:lsdException w:name="HTML Definition" w:semiHidden="1" w:unhideWhenUsed="1"/>
    <w:lsdException w:name="HTML Typewriter"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3F6811"/>
    <w:rPr>
      <w:color w:val="605E5C"/>
      <w:shd w:val="clear" w:color="auto" w:fill="E1DFDD"/>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single space Char"/>
    <w:basedOn w:val="Normal"/>
    <w:link w:val="FootnoteTextChar"/>
    <w:locked/>
    <w:rsid w:val="001E61DA"/>
    <w:pPr>
      <w:spacing w:before="0" w:after="0"/>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1E61DA"/>
    <w:rPr>
      <w:rFonts w:ascii="Open Sans" w:eastAsia="MS Mincho" w:hAnsi="Open Sans"/>
    </w:rPr>
  </w:style>
  <w:style w:type="character" w:styleId="FootnoteReference">
    <w:name w:val="footnote reference"/>
    <w:aliases w:val="Footnotes refss"/>
    <w:basedOn w:val="DefaultParagraphFont"/>
    <w:locked/>
    <w:rsid w:val="001E6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6006">
      <w:bodyDiv w:val="1"/>
      <w:marLeft w:val="0"/>
      <w:marRight w:val="0"/>
      <w:marTop w:val="0"/>
      <w:marBottom w:val="0"/>
      <w:divBdr>
        <w:top w:val="none" w:sz="0" w:space="0" w:color="auto"/>
        <w:left w:val="none" w:sz="0" w:space="0" w:color="auto"/>
        <w:bottom w:val="none" w:sz="0" w:space="0" w:color="auto"/>
        <w:right w:val="none" w:sz="0" w:space="0" w:color="auto"/>
      </w:divBdr>
      <w:divsChild>
        <w:div w:id="2107918543">
          <w:marLeft w:val="0"/>
          <w:marRight w:val="0"/>
          <w:marTop w:val="0"/>
          <w:marBottom w:val="0"/>
          <w:divBdr>
            <w:top w:val="none" w:sz="0" w:space="0" w:color="auto"/>
            <w:left w:val="none" w:sz="0" w:space="0" w:color="auto"/>
            <w:bottom w:val="none" w:sz="0" w:space="0" w:color="auto"/>
            <w:right w:val="none" w:sz="0" w:space="0" w:color="auto"/>
          </w:divBdr>
        </w:div>
        <w:div w:id="1275794224">
          <w:marLeft w:val="0"/>
          <w:marRight w:val="0"/>
          <w:marTop w:val="0"/>
          <w:marBottom w:val="0"/>
          <w:divBdr>
            <w:top w:val="none" w:sz="0" w:space="0" w:color="auto"/>
            <w:left w:val="none" w:sz="0" w:space="0" w:color="auto"/>
            <w:bottom w:val="none" w:sz="0" w:space="0" w:color="auto"/>
            <w:right w:val="none" w:sz="0" w:space="0" w:color="auto"/>
          </w:divBdr>
        </w:div>
        <w:div w:id="854536552">
          <w:marLeft w:val="0"/>
          <w:marRight w:val="0"/>
          <w:marTop w:val="0"/>
          <w:marBottom w:val="0"/>
          <w:divBdr>
            <w:top w:val="none" w:sz="0" w:space="0" w:color="auto"/>
            <w:left w:val="none" w:sz="0" w:space="0" w:color="auto"/>
            <w:bottom w:val="none" w:sz="0" w:space="0" w:color="auto"/>
            <w:right w:val="none" w:sz="0" w:space="0" w:color="auto"/>
          </w:divBdr>
        </w:div>
        <w:div w:id="2088912886">
          <w:marLeft w:val="0"/>
          <w:marRight w:val="0"/>
          <w:marTop w:val="0"/>
          <w:marBottom w:val="0"/>
          <w:divBdr>
            <w:top w:val="none" w:sz="0" w:space="0" w:color="auto"/>
            <w:left w:val="none" w:sz="0" w:space="0" w:color="auto"/>
            <w:bottom w:val="none" w:sz="0" w:space="0" w:color="auto"/>
            <w:right w:val="none" w:sz="0" w:space="0" w:color="auto"/>
          </w:divBdr>
        </w:div>
        <w:div w:id="1311135182">
          <w:marLeft w:val="0"/>
          <w:marRight w:val="0"/>
          <w:marTop w:val="0"/>
          <w:marBottom w:val="0"/>
          <w:divBdr>
            <w:top w:val="none" w:sz="0" w:space="0" w:color="auto"/>
            <w:left w:val="none" w:sz="0" w:space="0" w:color="auto"/>
            <w:bottom w:val="none" w:sz="0" w:space="0" w:color="auto"/>
            <w:right w:val="none" w:sz="0" w:space="0" w:color="auto"/>
          </w:divBdr>
        </w:div>
        <w:div w:id="1532183273">
          <w:marLeft w:val="0"/>
          <w:marRight w:val="0"/>
          <w:marTop w:val="0"/>
          <w:marBottom w:val="0"/>
          <w:divBdr>
            <w:top w:val="none" w:sz="0" w:space="0" w:color="auto"/>
            <w:left w:val="none" w:sz="0" w:space="0" w:color="auto"/>
            <w:bottom w:val="none" w:sz="0" w:space="0" w:color="auto"/>
            <w:right w:val="none" w:sz="0" w:space="0" w:color="auto"/>
          </w:divBdr>
        </w:div>
        <w:div w:id="136387540">
          <w:marLeft w:val="0"/>
          <w:marRight w:val="0"/>
          <w:marTop w:val="0"/>
          <w:marBottom w:val="0"/>
          <w:divBdr>
            <w:top w:val="none" w:sz="0" w:space="0" w:color="auto"/>
            <w:left w:val="none" w:sz="0" w:space="0" w:color="auto"/>
            <w:bottom w:val="none" w:sz="0" w:space="0" w:color="auto"/>
            <w:right w:val="none" w:sz="0" w:space="0" w:color="auto"/>
          </w:divBdr>
        </w:div>
        <w:div w:id="753474714">
          <w:marLeft w:val="0"/>
          <w:marRight w:val="0"/>
          <w:marTop w:val="0"/>
          <w:marBottom w:val="0"/>
          <w:divBdr>
            <w:top w:val="none" w:sz="0" w:space="0" w:color="auto"/>
            <w:left w:val="none" w:sz="0" w:space="0" w:color="auto"/>
            <w:bottom w:val="none" w:sz="0" w:space="0" w:color="auto"/>
            <w:right w:val="none" w:sz="0" w:space="0" w:color="auto"/>
          </w:divBdr>
        </w:div>
        <w:div w:id="1141652627">
          <w:marLeft w:val="0"/>
          <w:marRight w:val="0"/>
          <w:marTop w:val="0"/>
          <w:marBottom w:val="0"/>
          <w:divBdr>
            <w:top w:val="none" w:sz="0" w:space="0" w:color="auto"/>
            <w:left w:val="none" w:sz="0" w:space="0" w:color="auto"/>
            <w:bottom w:val="none" w:sz="0" w:space="0" w:color="auto"/>
            <w:right w:val="none" w:sz="0" w:space="0" w:color="auto"/>
          </w:divBdr>
        </w:div>
        <w:div w:id="2073893814">
          <w:marLeft w:val="0"/>
          <w:marRight w:val="0"/>
          <w:marTop w:val="0"/>
          <w:marBottom w:val="0"/>
          <w:divBdr>
            <w:top w:val="none" w:sz="0" w:space="0" w:color="auto"/>
            <w:left w:val="none" w:sz="0" w:space="0" w:color="auto"/>
            <w:bottom w:val="none" w:sz="0" w:space="0" w:color="auto"/>
            <w:right w:val="none" w:sz="0" w:space="0" w:color="auto"/>
          </w:divBdr>
        </w:div>
        <w:div w:id="889927164">
          <w:marLeft w:val="0"/>
          <w:marRight w:val="0"/>
          <w:marTop w:val="0"/>
          <w:marBottom w:val="0"/>
          <w:divBdr>
            <w:top w:val="none" w:sz="0" w:space="0" w:color="auto"/>
            <w:left w:val="none" w:sz="0" w:space="0" w:color="auto"/>
            <w:bottom w:val="none" w:sz="0" w:space="0" w:color="auto"/>
            <w:right w:val="none" w:sz="0" w:space="0" w:color="auto"/>
          </w:divBdr>
        </w:div>
        <w:div w:id="358968492">
          <w:marLeft w:val="0"/>
          <w:marRight w:val="0"/>
          <w:marTop w:val="0"/>
          <w:marBottom w:val="0"/>
          <w:divBdr>
            <w:top w:val="none" w:sz="0" w:space="0" w:color="auto"/>
            <w:left w:val="none" w:sz="0" w:space="0" w:color="auto"/>
            <w:bottom w:val="none" w:sz="0" w:space="0" w:color="auto"/>
            <w:right w:val="none" w:sz="0" w:space="0" w:color="auto"/>
          </w:divBdr>
        </w:div>
        <w:div w:id="840388830">
          <w:marLeft w:val="0"/>
          <w:marRight w:val="0"/>
          <w:marTop w:val="0"/>
          <w:marBottom w:val="0"/>
          <w:divBdr>
            <w:top w:val="none" w:sz="0" w:space="0" w:color="auto"/>
            <w:left w:val="none" w:sz="0" w:space="0" w:color="auto"/>
            <w:bottom w:val="none" w:sz="0" w:space="0" w:color="auto"/>
            <w:right w:val="none" w:sz="0" w:space="0" w:color="auto"/>
          </w:divBdr>
        </w:div>
        <w:div w:id="1573199731">
          <w:marLeft w:val="0"/>
          <w:marRight w:val="0"/>
          <w:marTop w:val="0"/>
          <w:marBottom w:val="0"/>
          <w:divBdr>
            <w:top w:val="none" w:sz="0" w:space="0" w:color="auto"/>
            <w:left w:val="none" w:sz="0" w:space="0" w:color="auto"/>
            <w:bottom w:val="none" w:sz="0" w:space="0" w:color="auto"/>
            <w:right w:val="none" w:sz="0" w:space="0" w:color="auto"/>
          </w:divBdr>
          <w:divsChild>
            <w:div w:id="2054307719">
              <w:marLeft w:val="0"/>
              <w:marRight w:val="0"/>
              <w:marTop w:val="0"/>
              <w:marBottom w:val="0"/>
              <w:divBdr>
                <w:top w:val="none" w:sz="0" w:space="0" w:color="auto"/>
                <w:left w:val="none" w:sz="0" w:space="0" w:color="auto"/>
                <w:bottom w:val="none" w:sz="0" w:space="0" w:color="auto"/>
                <w:right w:val="none" w:sz="0" w:space="0" w:color="auto"/>
              </w:divBdr>
            </w:div>
            <w:div w:id="542402528">
              <w:marLeft w:val="0"/>
              <w:marRight w:val="0"/>
              <w:marTop w:val="0"/>
              <w:marBottom w:val="0"/>
              <w:divBdr>
                <w:top w:val="none" w:sz="0" w:space="0" w:color="auto"/>
                <w:left w:val="none" w:sz="0" w:space="0" w:color="auto"/>
                <w:bottom w:val="none" w:sz="0" w:space="0" w:color="auto"/>
                <w:right w:val="none" w:sz="0" w:space="0" w:color="auto"/>
              </w:divBdr>
            </w:div>
            <w:div w:id="646010587">
              <w:marLeft w:val="0"/>
              <w:marRight w:val="0"/>
              <w:marTop w:val="0"/>
              <w:marBottom w:val="0"/>
              <w:divBdr>
                <w:top w:val="none" w:sz="0" w:space="0" w:color="auto"/>
                <w:left w:val="none" w:sz="0" w:space="0" w:color="auto"/>
                <w:bottom w:val="none" w:sz="0" w:space="0" w:color="auto"/>
                <w:right w:val="none" w:sz="0" w:space="0" w:color="auto"/>
              </w:divBdr>
            </w:div>
            <w:div w:id="810631602">
              <w:marLeft w:val="0"/>
              <w:marRight w:val="0"/>
              <w:marTop w:val="0"/>
              <w:marBottom w:val="0"/>
              <w:divBdr>
                <w:top w:val="none" w:sz="0" w:space="0" w:color="auto"/>
                <w:left w:val="none" w:sz="0" w:space="0" w:color="auto"/>
                <w:bottom w:val="none" w:sz="0" w:space="0" w:color="auto"/>
                <w:right w:val="none" w:sz="0" w:space="0" w:color="auto"/>
              </w:divBdr>
            </w:div>
          </w:divsChild>
        </w:div>
        <w:div w:id="118380474">
          <w:marLeft w:val="0"/>
          <w:marRight w:val="0"/>
          <w:marTop w:val="0"/>
          <w:marBottom w:val="0"/>
          <w:divBdr>
            <w:top w:val="none" w:sz="0" w:space="0" w:color="auto"/>
            <w:left w:val="none" w:sz="0" w:space="0" w:color="auto"/>
            <w:bottom w:val="none" w:sz="0" w:space="0" w:color="auto"/>
            <w:right w:val="none" w:sz="0" w:space="0" w:color="auto"/>
          </w:divBdr>
        </w:div>
        <w:div w:id="291982355">
          <w:marLeft w:val="0"/>
          <w:marRight w:val="0"/>
          <w:marTop w:val="0"/>
          <w:marBottom w:val="0"/>
          <w:divBdr>
            <w:top w:val="none" w:sz="0" w:space="0" w:color="auto"/>
            <w:left w:val="none" w:sz="0" w:space="0" w:color="auto"/>
            <w:bottom w:val="none" w:sz="0" w:space="0" w:color="auto"/>
            <w:right w:val="none" w:sz="0" w:space="0" w:color="auto"/>
          </w:divBdr>
        </w:div>
        <w:div w:id="113646674">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02929625">
      <w:bodyDiv w:val="1"/>
      <w:marLeft w:val="0"/>
      <w:marRight w:val="0"/>
      <w:marTop w:val="0"/>
      <w:marBottom w:val="0"/>
      <w:divBdr>
        <w:top w:val="none" w:sz="0" w:space="0" w:color="auto"/>
        <w:left w:val="none" w:sz="0" w:space="0" w:color="auto"/>
        <w:bottom w:val="none" w:sz="0" w:space="0" w:color="auto"/>
        <w:right w:val="none" w:sz="0" w:space="0" w:color="auto"/>
      </w:divBdr>
      <w:divsChild>
        <w:div w:id="1588884354">
          <w:marLeft w:val="0"/>
          <w:marRight w:val="0"/>
          <w:marTop w:val="0"/>
          <w:marBottom w:val="0"/>
          <w:divBdr>
            <w:top w:val="none" w:sz="0" w:space="0" w:color="auto"/>
            <w:left w:val="none" w:sz="0" w:space="0" w:color="auto"/>
            <w:bottom w:val="none" w:sz="0" w:space="0" w:color="auto"/>
            <w:right w:val="none" w:sz="0" w:space="0" w:color="auto"/>
          </w:divBdr>
        </w:div>
        <w:div w:id="370957841">
          <w:marLeft w:val="0"/>
          <w:marRight w:val="0"/>
          <w:marTop w:val="0"/>
          <w:marBottom w:val="0"/>
          <w:divBdr>
            <w:top w:val="none" w:sz="0" w:space="0" w:color="auto"/>
            <w:left w:val="none" w:sz="0" w:space="0" w:color="auto"/>
            <w:bottom w:val="none" w:sz="0" w:space="0" w:color="auto"/>
            <w:right w:val="none" w:sz="0" w:space="0" w:color="auto"/>
          </w:divBdr>
          <w:divsChild>
            <w:div w:id="1479225054">
              <w:marLeft w:val="0"/>
              <w:marRight w:val="0"/>
              <w:marTop w:val="0"/>
              <w:marBottom w:val="0"/>
              <w:divBdr>
                <w:top w:val="none" w:sz="0" w:space="0" w:color="auto"/>
                <w:left w:val="none" w:sz="0" w:space="0" w:color="auto"/>
                <w:bottom w:val="none" w:sz="0" w:space="0" w:color="auto"/>
                <w:right w:val="none" w:sz="0" w:space="0" w:color="auto"/>
              </w:divBdr>
            </w:div>
            <w:div w:id="352462883">
              <w:marLeft w:val="0"/>
              <w:marRight w:val="0"/>
              <w:marTop w:val="0"/>
              <w:marBottom w:val="0"/>
              <w:divBdr>
                <w:top w:val="none" w:sz="0" w:space="0" w:color="auto"/>
                <w:left w:val="none" w:sz="0" w:space="0" w:color="auto"/>
                <w:bottom w:val="none" w:sz="0" w:space="0" w:color="auto"/>
                <w:right w:val="none" w:sz="0" w:space="0" w:color="auto"/>
              </w:divBdr>
            </w:div>
            <w:div w:id="2036030975">
              <w:marLeft w:val="0"/>
              <w:marRight w:val="0"/>
              <w:marTop w:val="0"/>
              <w:marBottom w:val="0"/>
              <w:divBdr>
                <w:top w:val="none" w:sz="0" w:space="0" w:color="auto"/>
                <w:left w:val="none" w:sz="0" w:space="0" w:color="auto"/>
                <w:bottom w:val="none" w:sz="0" w:space="0" w:color="auto"/>
                <w:right w:val="none" w:sz="0" w:space="0" w:color="auto"/>
              </w:divBdr>
            </w:div>
          </w:divsChild>
        </w:div>
        <w:div w:id="1380281945">
          <w:marLeft w:val="0"/>
          <w:marRight w:val="0"/>
          <w:marTop w:val="0"/>
          <w:marBottom w:val="0"/>
          <w:divBdr>
            <w:top w:val="none" w:sz="0" w:space="0" w:color="auto"/>
            <w:left w:val="none" w:sz="0" w:space="0" w:color="auto"/>
            <w:bottom w:val="none" w:sz="0" w:space="0" w:color="auto"/>
            <w:right w:val="none" w:sz="0" w:space="0" w:color="auto"/>
          </w:divBdr>
        </w:div>
        <w:div w:id="1955166602">
          <w:marLeft w:val="0"/>
          <w:marRight w:val="0"/>
          <w:marTop w:val="0"/>
          <w:marBottom w:val="0"/>
          <w:divBdr>
            <w:top w:val="none" w:sz="0" w:space="0" w:color="auto"/>
            <w:left w:val="none" w:sz="0" w:space="0" w:color="auto"/>
            <w:bottom w:val="none" w:sz="0" w:space="0" w:color="auto"/>
            <w:right w:val="none" w:sz="0" w:space="0" w:color="auto"/>
          </w:divBdr>
        </w:div>
        <w:div w:id="1625652059">
          <w:marLeft w:val="0"/>
          <w:marRight w:val="0"/>
          <w:marTop w:val="0"/>
          <w:marBottom w:val="0"/>
          <w:divBdr>
            <w:top w:val="none" w:sz="0" w:space="0" w:color="auto"/>
            <w:left w:val="none" w:sz="0" w:space="0" w:color="auto"/>
            <w:bottom w:val="none" w:sz="0" w:space="0" w:color="auto"/>
            <w:right w:val="none" w:sz="0" w:space="0" w:color="auto"/>
          </w:divBdr>
        </w:div>
        <w:div w:id="2022970692">
          <w:marLeft w:val="0"/>
          <w:marRight w:val="0"/>
          <w:marTop w:val="0"/>
          <w:marBottom w:val="0"/>
          <w:divBdr>
            <w:top w:val="none" w:sz="0" w:space="0" w:color="auto"/>
            <w:left w:val="none" w:sz="0" w:space="0" w:color="auto"/>
            <w:bottom w:val="none" w:sz="0" w:space="0" w:color="auto"/>
            <w:right w:val="none" w:sz="0" w:space="0" w:color="auto"/>
          </w:divBdr>
        </w:div>
        <w:div w:id="173218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ag.gov.au/LegalSystem/ReducingTheComplexityOfLegislation/Documents/causes-of-complex-legislation-and-strategies-to-address-these.pdf" TargetMode="External"/><Relationship Id="rId13" Type="http://schemas.openxmlformats.org/officeDocument/2006/relationships/hyperlink" Target="https://www.aph.gov.au/DocumentStore.ashx?id=d42f430a-869c-4706-9414-bf0cba934162&amp;subId=461226" TargetMode="External"/><Relationship Id="rId3" Type="http://schemas.openxmlformats.org/officeDocument/2006/relationships/hyperlink" Target="https://www.humanrights.gov.au/our-work/rights-and-freedoms/publications/discussion-paper-priorities-federal-discrimination-law" TargetMode="External"/><Relationship Id="rId7" Type="http://schemas.openxmlformats.org/officeDocument/2006/relationships/hyperlink" Target="https://www.abc.net.au/news/2019-05-07/israel-folau-breached-code-of-conduct-hearing-finds/11089234" TargetMode="External"/><Relationship Id="rId12" Type="http://schemas.openxmlformats.org/officeDocument/2006/relationships/hyperlink" Target="https://webarchive.nla.gov.au/awa/20170408040550/https://www.ag.gov.au/Publications/Budgets/Budget2016-17/Pages/Portfolio-Budget-Statements-2016-17.aspx" TargetMode="External"/><Relationship Id="rId2" Type="http://schemas.openxmlformats.org/officeDocument/2006/relationships/hyperlink" Target="https://www.attorneygeneral.gov.au/Media/Pages/Review-into-the-Framework-of-Religious-Exemptions-in-Anti-discrimination-Legislation-10-april-19.aspx" TargetMode="External"/><Relationship Id="rId1" Type="http://schemas.openxmlformats.org/officeDocument/2006/relationships/hyperlink" Target="https://www.humanrights.gov.au/our-work/legal/submission/religious-freedom-review-2018" TargetMode="External"/><Relationship Id="rId6" Type="http://schemas.openxmlformats.org/officeDocument/2006/relationships/hyperlink" Target="http://www.nswwaratahs.com.au/news/news-article/articleid/18377/rugby-australia-and-nsw-rugby-union-statement-regarding-israel-folau" TargetMode="External"/><Relationship Id="rId11" Type="http://schemas.openxmlformats.org/officeDocument/2006/relationships/hyperlink" Target="https://webarchive.nla.gov.au/awa/20160105001255/https://www.ag.gov.au/Publications/Budgets/Budget2014-15/Pages/PortfolioBudgetStatements2014-15.aspx" TargetMode="External"/><Relationship Id="rId5" Type="http://schemas.openxmlformats.org/officeDocument/2006/relationships/hyperlink" Target="https://www.humanrights.gov.au/our-work/legal/publications/federal-discrimination-law-2016" TargetMode="External"/><Relationship Id="rId15" Type="http://schemas.openxmlformats.org/officeDocument/2006/relationships/hyperlink" Target="https://www.attorneygeneral.gov.au/Media/Pages/Review-into-the-Framework-of-Religious-Exemptions-in-Anti-discrimination-Legislation-10-april-19.aspx" TargetMode="External"/><Relationship Id="rId10" Type="http://schemas.openxmlformats.org/officeDocument/2006/relationships/hyperlink" Target="https://www.humanrights.gov.au/our-work/legal/exemptions" TargetMode="External"/><Relationship Id="rId4" Type="http://schemas.openxmlformats.org/officeDocument/2006/relationships/hyperlink" Target="https://www.humanrights.gov.au/our-work/legal/submission/religious-freedom-review-2018" TargetMode="External"/><Relationship Id="rId9" Type="http://schemas.openxmlformats.org/officeDocument/2006/relationships/hyperlink" Target="https://www1.health.nsw.gov.au/pds/ActivePDSDocuments/PD2014_022.pdf" TargetMode="External"/><Relationship Id="rId14" Type="http://schemas.openxmlformats.org/officeDocument/2006/relationships/hyperlink" Target="https://www.humanrights.gov.au/our-work/legal/submission/religious-freedom-review-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Value>86</Value>
    </TaxCatchAll>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a7ffb815-d6d4-4745-b5c6-c098d7de26cd</TermId>
        </TermInfo>
      </Terms>
    </h1905e97e92e42caaf2a314461ed6a1e>
    <Has_x0020_Attachments xmlns="57f1fb52-79b9-4278-9d54-1e5db41bfcda" xsi:nil="true"/>
    <To xmlns="57f1fb52-79b9-4278-9d54-1e5db41bfcda">Attorney-General's Department</To>
    <From1 xmlns="57f1fb52-79b9-4278-9d54-1e5db41bfcda" xsi:nil="true"/>
    <Subdivider xmlns="57f1fb52-79b9-4278-9d54-1e5db41bfcda" xsi:nil="true"/>
    <_dlc_DocId xmlns="6500fe01-343b-4fb9-a1b0-68ac19d62e01">AHRC-31920988-7154</_dlc_DocId>
    <_dlc_DocIdUrl xmlns="6500fe01-343b-4fb9-a1b0-68ac19d62e01">
      <Url>https://australianhrc.sharepoint.com/sites/LegalServicesWorkspace/_layouts/15/DocIdRedir.aspx?ID=AHRC-31920988-7154</Url>
      <Description>AHRC-31920988-7154</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35" ma:contentTypeDescription="Create a new document." ma:contentTypeScope="" ma:versionID="49c99dfac38e06e9a4a0c74016204dd9">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8de27695f72384fb2ba95bdc5d4c9f87"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To" minOccurs="0"/>
                <xsd:element ref="ns2:From1" minOccurs="0"/>
                <xsd:element ref="ns2:Received_x002f_Sent" minOccurs="0"/>
                <xsd:element ref="ns2:Has_x0020_Attachments" minOccurs="0"/>
                <xsd:element ref="ns4:EmailasAttachmen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To" ma:index="27" nillable="true" ma:displayName="To" ma:internalName="To">
      <xsd:simpleType>
        <xsd:restriction base="dms:Text">
          <xsd:maxLength value="255"/>
        </xsd:restriction>
      </xsd:simpleType>
    </xsd:element>
    <xsd:element name="From1" ma:index="28" nillable="true" ma:displayName="From" ma:internalName="From">
      <xsd:simpleType>
        <xsd:restriction base="dms:Text">
          <xsd:maxLength value="255"/>
        </xsd:restriction>
      </xsd:simpleType>
    </xsd:element>
    <xsd:element name="Received_x002f_Sent" ma:index="29" nillable="true" ma:displayName="Received/Sent" ma:internalName="Received_x002f_Sent">
      <xsd:simpleType>
        <xsd:restriction base="dms:Text">
          <xsd:maxLength value="255"/>
        </xsd:restriction>
      </xsd:simpleType>
    </xsd:element>
    <xsd:element name="Has_x0020_Attachments" ma:index="30" nillable="true" ma:displayName="Has Attachments" ma:internalName="Has_x0020_Attachments">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2"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295F-4CFC-4BD0-8E8C-382C0AB53E28}">
  <ds:schemaRefs>
    <ds:schemaRef ds:uri="http://schemas.microsoft.com/sharepoint/v3/contenttype/forms"/>
  </ds:schemaRefs>
</ds:datastoreItem>
</file>

<file path=customXml/itemProps2.xml><?xml version="1.0" encoding="utf-8"?>
<ds:datastoreItem xmlns:ds="http://schemas.openxmlformats.org/officeDocument/2006/customXml" ds:itemID="{AD89639C-10B6-4EA8-AE42-89FAED48125F}">
  <ds:schemaRefs>
    <ds:schemaRef ds:uri="http://schemas.microsoft.com/office/2006/documentManagement/types"/>
    <ds:schemaRef ds:uri="http://schemas.microsoft.com/office/2006/metadata/properties"/>
    <ds:schemaRef ds:uri="http://purl.org/dc/terms/"/>
    <ds:schemaRef ds:uri="http://purl.org/dc/dcmitype/"/>
    <ds:schemaRef ds:uri="6500fe01-343b-4fb9-a1b0-68ac19d62e01"/>
    <ds:schemaRef ds:uri="http://purl.org/dc/elements/1.1/"/>
    <ds:schemaRef ds:uri="http://www.w3.org/XML/1998/namespace"/>
    <ds:schemaRef ds:uri="1a69bdef-c635-48ac-9cf9-b687dab64bb7"/>
    <ds:schemaRef ds:uri="http://schemas.microsoft.com/office/infopath/2007/PartnerControls"/>
    <ds:schemaRef ds:uri="http://schemas.openxmlformats.org/package/2006/metadata/core-properties"/>
    <ds:schemaRef ds:uri="57f1fb52-79b9-4278-9d54-1e5db41bfcda"/>
  </ds:schemaRefs>
</ds:datastoreItem>
</file>

<file path=customXml/itemProps3.xml><?xml version="1.0" encoding="utf-8"?>
<ds:datastoreItem xmlns:ds="http://schemas.openxmlformats.org/officeDocument/2006/customXml" ds:itemID="{9A6EB579-2D73-42D3-B0F1-B0FC796479E2}">
  <ds:schemaRefs>
    <ds:schemaRef ds:uri="http://schemas.microsoft.com/office/2006/metadata/customXsn"/>
  </ds:schemaRefs>
</ds:datastoreItem>
</file>

<file path=customXml/itemProps4.xml><?xml version="1.0" encoding="utf-8"?>
<ds:datastoreItem xmlns:ds="http://schemas.openxmlformats.org/officeDocument/2006/customXml" ds:itemID="{BC57FB66-2566-496F-9470-9C539E0CCDD8}">
  <ds:schemaRefs>
    <ds:schemaRef ds:uri="Microsoft.SharePoint.Taxonomy.ContentTypeSync"/>
  </ds:schemaRefs>
</ds:datastoreItem>
</file>

<file path=customXml/itemProps5.xml><?xml version="1.0" encoding="utf-8"?>
<ds:datastoreItem xmlns:ds="http://schemas.openxmlformats.org/officeDocument/2006/customXml" ds:itemID="{F9888C97-786C-4A3E-80F3-A6CBFD4F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609833-5C7C-4BE9-ADA1-751E229961E6}">
  <ds:schemaRefs>
    <ds:schemaRef ds:uri="http://schemas.microsoft.com/sharepoint/events"/>
  </ds:schemaRefs>
</ds:datastoreItem>
</file>

<file path=customXml/itemProps7.xml><?xml version="1.0" encoding="utf-8"?>
<ds:datastoreItem xmlns:ds="http://schemas.openxmlformats.org/officeDocument/2006/customXml" ds:itemID="{2173C797-CD75-4F9E-AE2D-188D80BD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386</TotalTime>
  <Pages>53</Pages>
  <Words>16164</Words>
  <Characters>88429</Characters>
  <Application>Microsoft Office Word</Application>
  <DocSecurity>0</DocSecurity>
  <Lines>736</Lines>
  <Paragraphs>208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104385</CharactersWithSpaces>
  <SharedDoc>false</SharedDoc>
  <HLinks>
    <vt:vector size="282" baseType="variant">
      <vt:variant>
        <vt:i4>1835071</vt:i4>
      </vt:variant>
      <vt:variant>
        <vt:i4>188</vt:i4>
      </vt:variant>
      <vt:variant>
        <vt:i4>0</vt:i4>
      </vt:variant>
      <vt:variant>
        <vt:i4>5</vt:i4>
      </vt:variant>
      <vt:variant>
        <vt:lpwstr/>
      </vt:variant>
      <vt:variant>
        <vt:lpwstr>_Toc20419309</vt:lpwstr>
      </vt:variant>
      <vt:variant>
        <vt:i4>1900607</vt:i4>
      </vt:variant>
      <vt:variant>
        <vt:i4>182</vt:i4>
      </vt:variant>
      <vt:variant>
        <vt:i4>0</vt:i4>
      </vt:variant>
      <vt:variant>
        <vt:i4>5</vt:i4>
      </vt:variant>
      <vt:variant>
        <vt:lpwstr/>
      </vt:variant>
      <vt:variant>
        <vt:lpwstr>_Toc20419308</vt:lpwstr>
      </vt:variant>
      <vt:variant>
        <vt:i4>1179711</vt:i4>
      </vt:variant>
      <vt:variant>
        <vt:i4>176</vt:i4>
      </vt:variant>
      <vt:variant>
        <vt:i4>0</vt:i4>
      </vt:variant>
      <vt:variant>
        <vt:i4>5</vt:i4>
      </vt:variant>
      <vt:variant>
        <vt:lpwstr/>
      </vt:variant>
      <vt:variant>
        <vt:lpwstr>_Toc20419307</vt:lpwstr>
      </vt:variant>
      <vt:variant>
        <vt:i4>1245247</vt:i4>
      </vt:variant>
      <vt:variant>
        <vt:i4>170</vt:i4>
      </vt:variant>
      <vt:variant>
        <vt:i4>0</vt:i4>
      </vt:variant>
      <vt:variant>
        <vt:i4>5</vt:i4>
      </vt:variant>
      <vt:variant>
        <vt:lpwstr/>
      </vt:variant>
      <vt:variant>
        <vt:lpwstr>_Toc20419306</vt:lpwstr>
      </vt:variant>
      <vt:variant>
        <vt:i4>1048639</vt:i4>
      </vt:variant>
      <vt:variant>
        <vt:i4>164</vt:i4>
      </vt:variant>
      <vt:variant>
        <vt:i4>0</vt:i4>
      </vt:variant>
      <vt:variant>
        <vt:i4>5</vt:i4>
      </vt:variant>
      <vt:variant>
        <vt:lpwstr/>
      </vt:variant>
      <vt:variant>
        <vt:lpwstr>_Toc20419305</vt:lpwstr>
      </vt:variant>
      <vt:variant>
        <vt:i4>1114175</vt:i4>
      </vt:variant>
      <vt:variant>
        <vt:i4>158</vt:i4>
      </vt:variant>
      <vt:variant>
        <vt:i4>0</vt:i4>
      </vt:variant>
      <vt:variant>
        <vt:i4>5</vt:i4>
      </vt:variant>
      <vt:variant>
        <vt:lpwstr/>
      </vt:variant>
      <vt:variant>
        <vt:lpwstr>_Toc20419304</vt:lpwstr>
      </vt:variant>
      <vt:variant>
        <vt:i4>1441855</vt:i4>
      </vt:variant>
      <vt:variant>
        <vt:i4>152</vt:i4>
      </vt:variant>
      <vt:variant>
        <vt:i4>0</vt:i4>
      </vt:variant>
      <vt:variant>
        <vt:i4>5</vt:i4>
      </vt:variant>
      <vt:variant>
        <vt:lpwstr/>
      </vt:variant>
      <vt:variant>
        <vt:lpwstr>_Toc20419303</vt:lpwstr>
      </vt:variant>
      <vt:variant>
        <vt:i4>1507391</vt:i4>
      </vt:variant>
      <vt:variant>
        <vt:i4>146</vt:i4>
      </vt:variant>
      <vt:variant>
        <vt:i4>0</vt:i4>
      </vt:variant>
      <vt:variant>
        <vt:i4>5</vt:i4>
      </vt:variant>
      <vt:variant>
        <vt:lpwstr/>
      </vt:variant>
      <vt:variant>
        <vt:lpwstr>_Toc20419302</vt:lpwstr>
      </vt:variant>
      <vt:variant>
        <vt:i4>1310783</vt:i4>
      </vt:variant>
      <vt:variant>
        <vt:i4>140</vt:i4>
      </vt:variant>
      <vt:variant>
        <vt:i4>0</vt:i4>
      </vt:variant>
      <vt:variant>
        <vt:i4>5</vt:i4>
      </vt:variant>
      <vt:variant>
        <vt:lpwstr/>
      </vt:variant>
      <vt:variant>
        <vt:lpwstr>_Toc20419301</vt:lpwstr>
      </vt:variant>
      <vt:variant>
        <vt:i4>1376319</vt:i4>
      </vt:variant>
      <vt:variant>
        <vt:i4>134</vt:i4>
      </vt:variant>
      <vt:variant>
        <vt:i4>0</vt:i4>
      </vt:variant>
      <vt:variant>
        <vt:i4>5</vt:i4>
      </vt:variant>
      <vt:variant>
        <vt:lpwstr/>
      </vt:variant>
      <vt:variant>
        <vt:lpwstr>_Toc20419300</vt:lpwstr>
      </vt:variant>
      <vt:variant>
        <vt:i4>1900598</vt:i4>
      </vt:variant>
      <vt:variant>
        <vt:i4>128</vt:i4>
      </vt:variant>
      <vt:variant>
        <vt:i4>0</vt:i4>
      </vt:variant>
      <vt:variant>
        <vt:i4>5</vt:i4>
      </vt:variant>
      <vt:variant>
        <vt:lpwstr/>
      </vt:variant>
      <vt:variant>
        <vt:lpwstr>_Toc20419299</vt:lpwstr>
      </vt:variant>
      <vt:variant>
        <vt:i4>1835062</vt:i4>
      </vt:variant>
      <vt:variant>
        <vt:i4>122</vt:i4>
      </vt:variant>
      <vt:variant>
        <vt:i4>0</vt:i4>
      </vt:variant>
      <vt:variant>
        <vt:i4>5</vt:i4>
      </vt:variant>
      <vt:variant>
        <vt:lpwstr/>
      </vt:variant>
      <vt:variant>
        <vt:lpwstr>_Toc20419298</vt:lpwstr>
      </vt:variant>
      <vt:variant>
        <vt:i4>1245238</vt:i4>
      </vt:variant>
      <vt:variant>
        <vt:i4>116</vt:i4>
      </vt:variant>
      <vt:variant>
        <vt:i4>0</vt:i4>
      </vt:variant>
      <vt:variant>
        <vt:i4>5</vt:i4>
      </vt:variant>
      <vt:variant>
        <vt:lpwstr/>
      </vt:variant>
      <vt:variant>
        <vt:lpwstr>_Toc20419297</vt:lpwstr>
      </vt:variant>
      <vt:variant>
        <vt:i4>1179702</vt:i4>
      </vt:variant>
      <vt:variant>
        <vt:i4>110</vt:i4>
      </vt:variant>
      <vt:variant>
        <vt:i4>0</vt:i4>
      </vt:variant>
      <vt:variant>
        <vt:i4>5</vt:i4>
      </vt:variant>
      <vt:variant>
        <vt:lpwstr/>
      </vt:variant>
      <vt:variant>
        <vt:lpwstr>_Toc20419296</vt:lpwstr>
      </vt:variant>
      <vt:variant>
        <vt:i4>1114166</vt:i4>
      </vt:variant>
      <vt:variant>
        <vt:i4>104</vt:i4>
      </vt:variant>
      <vt:variant>
        <vt:i4>0</vt:i4>
      </vt:variant>
      <vt:variant>
        <vt:i4>5</vt:i4>
      </vt:variant>
      <vt:variant>
        <vt:lpwstr/>
      </vt:variant>
      <vt:variant>
        <vt:lpwstr>_Toc20419295</vt:lpwstr>
      </vt:variant>
      <vt:variant>
        <vt:i4>1048630</vt:i4>
      </vt:variant>
      <vt:variant>
        <vt:i4>98</vt:i4>
      </vt:variant>
      <vt:variant>
        <vt:i4>0</vt:i4>
      </vt:variant>
      <vt:variant>
        <vt:i4>5</vt:i4>
      </vt:variant>
      <vt:variant>
        <vt:lpwstr/>
      </vt:variant>
      <vt:variant>
        <vt:lpwstr>_Toc20419294</vt:lpwstr>
      </vt:variant>
      <vt:variant>
        <vt:i4>1507382</vt:i4>
      </vt:variant>
      <vt:variant>
        <vt:i4>92</vt:i4>
      </vt:variant>
      <vt:variant>
        <vt:i4>0</vt:i4>
      </vt:variant>
      <vt:variant>
        <vt:i4>5</vt:i4>
      </vt:variant>
      <vt:variant>
        <vt:lpwstr/>
      </vt:variant>
      <vt:variant>
        <vt:lpwstr>_Toc20419293</vt:lpwstr>
      </vt:variant>
      <vt:variant>
        <vt:i4>1441846</vt:i4>
      </vt:variant>
      <vt:variant>
        <vt:i4>86</vt:i4>
      </vt:variant>
      <vt:variant>
        <vt:i4>0</vt:i4>
      </vt:variant>
      <vt:variant>
        <vt:i4>5</vt:i4>
      </vt:variant>
      <vt:variant>
        <vt:lpwstr/>
      </vt:variant>
      <vt:variant>
        <vt:lpwstr>_Toc20419292</vt:lpwstr>
      </vt:variant>
      <vt:variant>
        <vt:i4>1376310</vt:i4>
      </vt:variant>
      <vt:variant>
        <vt:i4>80</vt:i4>
      </vt:variant>
      <vt:variant>
        <vt:i4>0</vt:i4>
      </vt:variant>
      <vt:variant>
        <vt:i4>5</vt:i4>
      </vt:variant>
      <vt:variant>
        <vt:lpwstr/>
      </vt:variant>
      <vt:variant>
        <vt:lpwstr>_Toc20419291</vt:lpwstr>
      </vt:variant>
      <vt:variant>
        <vt:i4>1310774</vt:i4>
      </vt:variant>
      <vt:variant>
        <vt:i4>74</vt:i4>
      </vt:variant>
      <vt:variant>
        <vt:i4>0</vt:i4>
      </vt:variant>
      <vt:variant>
        <vt:i4>5</vt:i4>
      </vt:variant>
      <vt:variant>
        <vt:lpwstr/>
      </vt:variant>
      <vt:variant>
        <vt:lpwstr>_Toc20419290</vt:lpwstr>
      </vt:variant>
      <vt:variant>
        <vt:i4>1900599</vt:i4>
      </vt:variant>
      <vt:variant>
        <vt:i4>68</vt:i4>
      </vt:variant>
      <vt:variant>
        <vt:i4>0</vt:i4>
      </vt:variant>
      <vt:variant>
        <vt:i4>5</vt:i4>
      </vt:variant>
      <vt:variant>
        <vt:lpwstr/>
      </vt:variant>
      <vt:variant>
        <vt:lpwstr>_Toc20419289</vt:lpwstr>
      </vt:variant>
      <vt:variant>
        <vt:i4>1835063</vt:i4>
      </vt:variant>
      <vt:variant>
        <vt:i4>62</vt:i4>
      </vt:variant>
      <vt:variant>
        <vt:i4>0</vt:i4>
      </vt:variant>
      <vt:variant>
        <vt:i4>5</vt:i4>
      </vt:variant>
      <vt:variant>
        <vt:lpwstr/>
      </vt:variant>
      <vt:variant>
        <vt:lpwstr>_Toc20419288</vt:lpwstr>
      </vt:variant>
      <vt:variant>
        <vt:i4>1245239</vt:i4>
      </vt:variant>
      <vt:variant>
        <vt:i4>56</vt:i4>
      </vt:variant>
      <vt:variant>
        <vt:i4>0</vt:i4>
      </vt:variant>
      <vt:variant>
        <vt:i4>5</vt:i4>
      </vt:variant>
      <vt:variant>
        <vt:lpwstr/>
      </vt:variant>
      <vt:variant>
        <vt:lpwstr>_Toc20419287</vt:lpwstr>
      </vt:variant>
      <vt:variant>
        <vt:i4>1179703</vt:i4>
      </vt:variant>
      <vt:variant>
        <vt:i4>50</vt:i4>
      </vt:variant>
      <vt:variant>
        <vt:i4>0</vt:i4>
      </vt:variant>
      <vt:variant>
        <vt:i4>5</vt:i4>
      </vt:variant>
      <vt:variant>
        <vt:lpwstr/>
      </vt:variant>
      <vt:variant>
        <vt:lpwstr>_Toc20419286</vt:lpwstr>
      </vt:variant>
      <vt:variant>
        <vt:i4>1114167</vt:i4>
      </vt:variant>
      <vt:variant>
        <vt:i4>44</vt:i4>
      </vt:variant>
      <vt:variant>
        <vt:i4>0</vt:i4>
      </vt:variant>
      <vt:variant>
        <vt:i4>5</vt:i4>
      </vt:variant>
      <vt:variant>
        <vt:lpwstr/>
      </vt:variant>
      <vt:variant>
        <vt:lpwstr>_Toc20419285</vt:lpwstr>
      </vt:variant>
      <vt:variant>
        <vt:i4>1048631</vt:i4>
      </vt:variant>
      <vt:variant>
        <vt:i4>38</vt:i4>
      </vt:variant>
      <vt:variant>
        <vt:i4>0</vt:i4>
      </vt:variant>
      <vt:variant>
        <vt:i4>5</vt:i4>
      </vt:variant>
      <vt:variant>
        <vt:lpwstr/>
      </vt:variant>
      <vt:variant>
        <vt:lpwstr>_Toc20419284</vt:lpwstr>
      </vt:variant>
      <vt:variant>
        <vt:i4>1507383</vt:i4>
      </vt:variant>
      <vt:variant>
        <vt:i4>32</vt:i4>
      </vt:variant>
      <vt:variant>
        <vt:i4>0</vt:i4>
      </vt:variant>
      <vt:variant>
        <vt:i4>5</vt:i4>
      </vt:variant>
      <vt:variant>
        <vt:lpwstr/>
      </vt:variant>
      <vt:variant>
        <vt:lpwstr>_Toc20419283</vt:lpwstr>
      </vt:variant>
      <vt:variant>
        <vt:i4>1441847</vt:i4>
      </vt:variant>
      <vt:variant>
        <vt:i4>26</vt:i4>
      </vt:variant>
      <vt:variant>
        <vt:i4>0</vt:i4>
      </vt:variant>
      <vt:variant>
        <vt:i4>5</vt:i4>
      </vt:variant>
      <vt:variant>
        <vt:lpwstr/>
      </vt:variant>
      <vt:variant>
        <vt:lpwstr>_Toc20419282</vt:lpwstr>
      </vt:variant>
      <vt:variant>
        <vt:i4>1376311</vt:i4>
      </vt:variant>
      <vt:variant>
        <vt:i4>20</vt:i4>
      </vt:variant>
      <vt:variant>
        <vt:i4>0</vt:i4>
      </vt:variant>
      <vt:variant>
        <vt:i4>5</vt:i4>
      </vt:variant>
      <vt:variant>
        <vt:lpwstr/>
      </vt:variant>
      <vt:variant>
        <vt:lpwstr>_Toc20419281</vt:lpwstr>
      </vt:variant>
      <vt:variant>
        <vt:i4>1310775</vt:i4>
      </vt:variant>
      <vt:variant>
        <vt:i4>14</vt:i4>
      </vt:variant>
      <vt:variant>
        <vt:i4>0</vt:i4>
      </vt:variant>
      <vt:variant>
        <vt:i4>5</vt:i4>
      </vt:variant>
      <vt:variant>
        <vt:lpwstr/>
      </vt:variant>
      <vt:variant>
        <vt:lpwstr>_Toc20419280</vt:lpwstr>
      </vt:variant>
      <vt:variant>
        <vt:i4>1900600</vt:i4>
      </vt:variant>
      <vt:variant>
        <vt:i4>8</vt:i4>
      </vt:variant>
      <vt:variant>
        <vt:i4>0</vt:i4>
      </vt:variant>
      <vt:variant>
        <vt:i4>5</vt:i4>
      </vt:variant>
      <vt:variant>
        <vt:lpwstr/>
      </vt:variant>
      <vt:variant>
        <vt:lpwstr>_Toc20419279</vt:lpwstr>
      </vt:variant>
      <vt:variant>
        <vt:i4>1835064</vt:i4>
      </vt:variant>
      <vt:variant>
        <vt:i4>2</vt:i4>
      </vt:variant>
      <vt:variant>
        <vt:i4>0</vt:i4>
      </vt:variant>
      <vt:variant>
        <vt:i4>5</vt:i4>
      </vt:variant>
      <vt:variant>
        <vt:lpwstr/>
      </vt:variant>
      <vt:variant>
        <vt:lpwstr>_Toc20419278</vt:lpwstr>
      </vt:variant>
      <vt:variant>
        <vt:i4>1376326</vt:i4>
      </vt:variant>
      <vt:variant>
        <vt:i4>42</vt:i4>
      </vt:variant>
      <vt:variant>
        <vt:i4>0</vt:i4>
      </vt:variant>
      <vt:variant>
        <vt:i4>5</vt:i4>
      </vt:variant>
      <vt:variant>
        <vt:lpwstr>https://www.attorneygeneral.gov.au/Media/Pages/Review-into-the-Framework-of-Religious-Exemptions-in-Anti-discrimination-Legislation-10-april-19.aspx</vt:lpwstr>
      </vt:variant>
      <vt:variant>
        <vt:lpwstr/>
      </vt:variant>
      <vt:variant>
        <vt:i4>8126566</vt:i4>
      </vt:variant>
      <vt:variant>
        <vt:i4>39</vt:i4>
      </vt:variant>
      <vt:variant>
        <vt:i4>0</vt:i4>
      </vt:variant>
      <vt:variant>
        <vt:i4>5</vt:i4>
      </vt:variant>
      <vt:variant>
        <vt:lpwstr>https://www.humanrights.gov.au/our-work/legal/submission/religious-freedom-review-2018</vt:lpwstr>
      </vt:variant>
      <vt:variant>
        <vt:lpwstr/>
      </vt:variant>
      <vt:variant>
        <vt:i4>3145844</vt:i4>
      </vt:variant>
      <vt:variant>
        <vt:i4>36</vt:i4>
      </vt:variant>
      <vt:variant>
        <vt:i4>0</vt:i4>
      </vt:variant>
      <vt:variant>
        <vt:i4>5</vt:i4>
      </vt:variant>
      <vt:variant>
        <vt:lpwstr>https://www.aph.gov.au/DocumentStore.ashx?id=d42f430a-869c-4706-9414-bf0cba934162&amp;subId=461226</vt:lpwstr>
      </vt:variant>
      <vt:variant>
        <vt:lpwstr/>
      </vt:variant>
      <vt:variant>
        <vt:i4>5374021</vt:i4>
      </vt:variant>
      <vt:variant>
        <vt:i4>33</vt:i4>
      </vt:variant>
      <vt:variant>
        <vt:i4>0</vt:i4>
      </vt:variant>
      <vt:variant>
        <vt:i4>5</vt:i4>
      </vt:variant>
      <vt:variant>
        <vt:lpwstr>https://webarchive.nla.gov.au/awa/20170408040550/https://www.ag.gov.au/Publications/Budgets/Budget2016-17/Pages/Portfolio-Budget-Statements-2016-17.aspx</vt:lpwstr>
      </vt:variant>
      <vt:variant>
        <vt:lpwstr/>
      </vt:variant>
      <vt:variant>
        <vt:i4>4325390</vt:i4>
      </vt:variant>
      <vt:variant>
        <vt:i4>30</vt:i4>
      </vt:variant>
      <vt:variant>
        <vt:i4>0</vt:i4>
      </vt:variant>
      <vt:variant>
        <vt:i4>5</vt:i4>
      </vt:variant>
      <vt:variant>
        <vt:lpwstr>https://webarchive.nla.gov.au/awa/20160105001255/https://www.ag.gov.au/Publications/Budgets/Budget2014-15/Pages/PortfolioBudgetStatements2014-15.aspx</vt:lpwstr>
      </vt:variant>
      <vt:variant>
        <vt:lpwstr/>
      </vt:variant>
      <vt:variant>
        <vt:i4>4587594</vt:i4>
      </vt:variant>
      <vt:variant>
        <vt:i4>27</vt:i4>
      </vt:variant>
      <vt:variant>
        <vt:i4>0</vt:i4>
      </vt:variant>
      <vt:variant>
        <vt:i4>5</vt:i4>
      </vt:variant>
      <vt:variant>
        <vt:lpwstr>https://www.humanrights.gov.au/our-work/legal/exemptions</vt:lpwstr>
      </vt:variant>
      <vt:variant>
        <vt:lpwstr/>
      </vt:variant>
      <vt:variant>
        <vt:i4>6160426</vt:i4>
      </vt:variant>
      <vt:variant>
        <vt:i4>24</vt:i4>
      </vt:variant>
      <vt:variant>
        <vt:i4>0</vt:i4>
      </vt:variant>
      <vt:variant>
        <vt:i4>5</vt:i4>
      </vt:variant>
      <vt:variant>
        <vt:lpwstr>https://www1.health.nsw.gov.au/pds/ActivePDSDocuments/PD2014_022.pdf</vt:lpwstr>
      </vt:variant>
      <vt:variant>
        <vt:lpwstr/>
      </vt:variant>
      <vt:variant>
        <vt:i4>6094849</vt:i4>
      </vt:variant>
      <vt:variant>
        <vt:i4>21</vt:i4>
      </vt:variant>
      <vt:variant>
        <vt:i4>0</vt:i4>
      </vt:variant>
      <vt:variant>
        <vt:i4>5</vt:i4>
      </vt:variant>
      <vt:variant>
        <vt:lpwstr>https://www.ag.gov.au/LegalSystem/ReducingTheComplexityOfLegislation/Documents/causes-of-complex-legislation-and-strategies-to-address-these.pdf</vt:lpwstr>
      </vt:variant>
      <vt:variant>
        <vt:lpwstr/>
      </vt:variant>
      <vt:variant>
        <vt:i4>7798889</vt:i4>
      </vt:variant>
      <vt:variant>
        <vt:i4>18</vt:i4>
      </vt:variant>
      <vt:variant>
        <vt:i4>0</vt:i4>
      </vt:variant>
      <vt:variant>
        <vt:i4>5</vt:i4>
      </vt:variant>
      <vt:variant>
        <vt:lpwstr>https://www.abc.net.au/news/2019-05-07/israel-folau-breached-code-of-conduct-hearing-finds/11089234</vt:lpwstr>
      </vt:variant>
      <vt:variant>
        <vt:lpwstr/>
      </vt:variant>
      <vt:variant>
        <vt:i4>1179648</vt:i4>
      </vt:variant>
      <vt:variant>
        <vt:i4>15</vt:i4>
      </vt:variant>
      <vt:variant>
        <vt:i4>0</vt:i4>
      </vt:variant>
      <vt:variant>
        <vt:i4>5</vt:i4>
      </vt:variant>
      <vt:variant>
        <vt:lpwstr>http://www.nswwaratahs.com.au/news/news-article/articleid/18377/rugby-australia-and-nsw-rugby-union-statement-regarding-israel-folau</vt:lpwstr>
      </vt:variant>
      <vt:variant>
        <vt:lpwstr/>
      </vt:variant>
      <vt:variant>
        <vt:i4>3080247</vt:i4>
      </vt:variant>
      <vt:variant>
        <vt:i4>12</vt:i4>
      </vt:variant>
      <vt:variant>
        <vt:i4>0</vt:i4>
      </vt:variant>
      <vt:variant>
        <vt:i4>5</vt:i4>
      </vt:variant>
      <vt:variant>
        <vt:lpwstr>https://www.humanrights.gov.au/our-work/legal/publications/federal-discrimination-law-2016</vt:lpwstr>
      </vt:variant>
      <vt:variant>
        <vt:lpwstr/>
      </vt:variant>
      <vt:variant>
        <vt:i4>8126566</vt:i4>
      </vt:variant>
      <vt:variant>
        <vt:i4>9</vt:i4>
      </vt:variant>
      <vt:variant>
        <vt:i4>0</vt:i4>
      </vt:variant>
      <vt:variant>
        <vt:i4>5</vt:i4>
      </vt:variant>
      <vt:variant>
        <vt:lpwstr>https://www.humanrights.gov.au/our-work/legal/submission/religious-freedom-review-2018</vt:lpwstr>
      </vt:variant>
      <vt:variant>
        <vt:lpwstr/>
      </vt:variant>
      <vt:variant>
        <vt:i4>6881403</vt:i4>
      </vt:variant>
      <vt:variant>
        <vt:i4>6</vt:i4>
      </vt:variant>
      <vt:variant>
        <vt:i4>0</vt:i4>
      </vt:variant>
      <vt:variant>
        <vt:i4>5</vt:i4>
      </vt:variant>
      <vt:variant>
        <vt:lpwstr>https://www.humanrights.gov.au/our-work/rights-and-freedoms/publications/discussion-paper-priorities-federal-discrimination-law</vt:lpwstr>
      </vt:variant>
      <vt:variant>
        <vt:lpwstr/>
      </vt:variant>
      <vt:variant>
        <vt:i4>1376326</vt:i4>
      </vt:variant>
      <vt:variant>
        <vt:i4>3</vt:i4>
      </vt:variant>
      <vt:variant>
        <vt:i4>0</vt:i4>
      </vt:variant>
      <vt:variant>
        <vt:i4>5</vt:i4>
      </vt:variant>
      <vt:variant>
        <vt:lpwstr>https://www.attorneygeneral.gov.au/Media/Pages/Review-into-the-Framework-of-Religious-Exemptions-in-Anti-discrimination-Legislation-10-april-19.aspx</vt:lpwstr>
      </vt:variant>
      <vt:variant>
        <vt:lpwstr/>
      </vt:variant>
      <vt:variant>
        <vt:i4>8126566</vt:i4>
      </vt:variant>
      <vt:variant>
        <vt:i4>0</vt:i4>
      </vt:variant>
      <vt:variant>
        <vt:i4>0</vt:i4>
      </vt:variant>
      <vt:variant>
        <vt:i4>5</vt:i4>
      </vt:variant>
      <vt:variant>
        <vt:lpwstr>https://www.humanrights.gov.au/our-work/legal/submission/religious-freedom-review-2018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150</cp:revision>
  <cp:lastPrinted>2019-09-27T00:05:00Z</cp:lastPrinted>
  <dcterms:created xsi:type="dcterms:W3CDTF">2019-09-26T07:26:00Z</dcterms:created>
  <dcterms:modified xsi:type="dcterms:W3CDTF">2019-09-27T03:40:00Z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86;#Submission|a7ffb815-d6d4-4745-b5c6-c098d7de26cd</vt:lpwstr>
  </property>
  <property fmtid="{D5CDD505-2E9C-101B-9397-08002B2CF9AE}" pid="5" name="_dlc_DocIdItemGuid">
    <vt:lpwstr>8f4bb70a-097d-4c29-b4c1-644aa655c2b7</vt:lpwstr>
  </property>
</Properties>
</file>